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329" w:rsidRPr="00F74648" w:rsidRDefault="002819F1" w:rsidP="00F74648">
      <w:pPr>
        <w:jc w:val="both"/>
        <w:rPr>
          <w:rFonts w:ascii="Arial" w:hAnsi="Arial" w:cs="Arial"/>
          <w:sz w:val="20"/>
          <w:szCs w:val="20"/>
        </w:rPr>
      </w:pPr>
      <w:r w:rsidRPr="00F74648">
        <w:rPr>
          <w:rFonts w:ascii="Arial" w:hAnsi="Arial" w:cs="Arial"/>
          <w:b/>
          <w:sz w:val="20"/>
          <w:szCs w:val="20"/>
        </w:rPr>
        <w:t>Appendix A. Structured Analytic Rubric for Comparative Narrative Writing Analysis</w:t>
      </w:r>
    </w:p>
    <w:p w:rsidR="00156329" w:rsidRPr="00F74648" w:rsidRDefault="002819F1" w:rsidP="00F74648">
      <w:pPr>
        <w:jc w:val="both"/>
        <w:rPr>
          <w:rFonts w:ascii="Arial" w:hAnsi="Arial" w:cs="Arial"/>
          <w:sz w:val="20"/>
          <w:szCs w:val="20"/>
        </w:rPr>
      </w:pPr>
      <w:r w:rsidRPr="00F74648">
        <w:rPr>
          <w:rFonts w:ascii="Arial" w:hAnsi="Arial" w:cs="Arial"/>
          <w:sz w:val="20"/>
          <w:szCs w:val="20"/>
        </w:rPr>
        <w:t>The analytic rubric below was adapted from Vaezi and Rezaei (201</w:t>
      </w:r>
      <w:r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Pr="00F74648">
        <w:rPr>
          <w:rFonts w:ascii="Arial" w:hAnsi="Arial" w:cs="Arial"/>
          <w:sz w:val="20"/>
          <w:szCs w:val="20"/>
        </w:rPr>
        <w:t xml:space="preserve">) and employed to examine directional changes across participants’ narrative drafts during the two feedback </w:t>
      </w:r>
      <w:r w:rsidRPr="00F74648">
        <w:rPr>
          <w:rFonts w:ascii="Arial" w:hAnsi="Arial" w:cs="Arial"/>
          <w:sz w:val="20"/>
          <w:szCs w:val="20"/>
        </w:rPr>
        <w:t>cycles. The rubric focused on three dimensions of narrative writing development: narrative coherence, reflective depth and authorial voice, and linguistic accuracy and lexical expression. Comparative analysis was conducted across initial and revised drafts</w:t>
      </w:r>
      <w:r w:rsidRPr="00F74648">
        <w:rPr>
          <w:rFonts w:ascii="Arial" w:hAnsi="Arial" w:cs="Arial"/>
          <w:sz w:val="20"/>
          <w:szCs w:val="20"/>
        </w:rPr>
        <w:t xml:space="preserve"> to identify patterns of development following engagement with video-based feedback.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17"/>
        <w:gridCol w:w="1726"/>
        <w:gridCol w:w="1726"/>
        <w:gridCol w:w="1727"/>
        <w:gridCol w:w="1726"/>
      </w:tblGrid>
      <w:tr w:rsidR="00156329" w:rsidRPr="00F74648" w:rsidTr="00F74648">
        <w:tc>
          <w:tcPr>
            <w:tcW w:w="1620" w:type="dxa"/>
          </w:tcPr>
          <w:p w:rsidR="00156329" w:rsidRPr="00F74648" w:rsidRDefault="002819F1" w:rsidP="00F7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Analytic Dimension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Indicators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Substantial Improvement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Minimal Improvement / No Observable Change</w:t>
            </w:r>
          </w:p>
        </w:tc>
      </w:tr>
      <w:tr w:rsidR="00156329" w:rsidRPr="00F74648" w:rsidTr="00F74648">
        <w:tc>
          <w:tcPr>
            <w:tcW w:w="1620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Narrative Coherence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Organisation of narrative struct</w:t>
            </w:r>
            <w:r w:rsidRPr="00F74648">
              <w:rPr>
                <w:rFonts w:ascii="Arial" w:hAnsi="Arial" w:cs="Arial"/>
                <w:sz w:val="20"/>
                <w:szCs w:val="20"/>
              </w:rPr>
              <w:t>ure, sequencing of events, transitions, development of turning points, narrative resolution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Clear and purposeful organisation with coherent progression, effective transitions, and well-developed resolution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Improved organisation and clearer progression, tho</w:t>
            </w:r>
            <w:r w:rsidRPr="00F74648">
              <w:rPr>
                <w:rFonts w:ascii="Arial" w:hAnsi="Arial" w:cs="Arial"/>
                <w:sz w:val="20"/>
                <w:szCs w:val="20"/>
              </w:rPr>
              <w:t>ugh some sequencing or transitions remain uneven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Limited or no meaningful change in organisation or coherence</w:t>
            </w:r>
          </w:p>
        </w:tc>
      </w:tr>
      <w:tr w:rsidR="00156329" w:rsidRPr="00F74648" w:rsidTr="00F74648">
        <w:tc>
          <w:tcPr>
            <w:tcW w:w="1620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Reflective Depth and Authorial Voice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Emotional expression, interpretive reflection, evaluative commentary, personal voice, meaning-making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 xml:space="preserve">Strong </w:t>
            </w:r>
            <w:r w:rsidRPr="00F74648">
              <w:rPr>
                <w:rFonts w:ascii="Arial" w:hAnsi="Arial" w:cs="Arial"/>
                <w:sz w:val="20"/>
                <w:szCs w:val="20"/>
              </w:rPr>
              <w:t>reflective engagement with clear authorial positioning and expressive depth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Increased reflective elements and some development of personal voice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Limited or no observable change in reflective engagement or authorial voice</w:t>
            </w:r>
          </w:p>
        </w:tc>
      </w:tr>
      <w:tr w:rsidR="00156329" w:rsidRPr="00F74648" w:rsidTr="00F74648">
        <w:tc>
          <w:tcPr>
            <w:tcW w:w="1620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Linguistic Accuracy and Lexical Ex</w:t>
            </w:r>
            <w:r w:rsidRPr="00F74648">
              <w:rPr>
                <w:rFonts w:ascii="Arial" w:hAnsi="Arial" w:cs="Arial"/>
                <w:sz w:val="20"/>
                <w:szCs w:val="20"/>
              </w:rPr>
              <w:t>pression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Grammatical accuracy, lexical precision, vocabulary variation, sentence structure, language fluency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Noticeable improvement in grammatical control, lexical precision, and sentence variation with minimal disruption to meaning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Moderate improvement in</w:t>
            </w:r>
            <w:r w:rsidRPr="00F74648">
              <w:rPr>
                <w:rFonts w:ascii="Arial" w:hAnsi="Arial" w:cs="Arial"/>
                <w:sz w:val="20"/>
                <w:szCs w:val="20"/>
              </w:rPr>
              <w:t xml:space="preserve"> language accuracy and vocabulary use, though inconsistencies remain</w:t>
            </w:r>
          </w:p>
        </w:tc>
        <w:tc>
          <w:tcPr>
            <w:tcW w:w="1728" w:type="dxa"/>
          </w:tcPr>
          <w:p w:rsidR="00156329" w:rsidRPr="00F74648" w:rsidRDefault="002819F1" w:rsidP="00F74648">
            <w:pPr>
              <w:rPr>
                <w:rFonts w:ascii="Arial" w:hAnsi="Arial" w:cs="Arial"/>
                <w:sz w:val="20"/>
                <w:szCs w:val="20"/>
              </w:rPr>
            </w:pPr>
            <w:r w:rsidRPr="00F74648">
              <w:rPr>
                <w:rFonts w:ascii="Arial" w:hAnsi="Arial" w:cs="Arial"/>
                <w:sz w:val="20"/>
                <w:szCs w:val="20"/>
              </w:rPr>
              <w:t>Minor surface-level corrections or no meaningful change in linguistic accuracy or lexical expression</w:t>
            </w:r>
          </w:p>
        </w:tc>
      </w:tr>
    </w:tbl>
    <w:p w:rsidR="00156329" w:rsidRPr="00F74648" w:rsidRDefault="00156329" w:rsidP="00F74648">
      <w:pPr>
        <w:jc w:val="both"/>
        <w:rPr>
          <w:rFonts w:ascii="Arial" w:hAnsi="Arial" w:cs="Arial"/>
          <w:sz w:val="20"/>
          <w:szCs w:val="20"/>
        </w:rPr>
      </w:pPr>
    </w:p>
    <w:p w:rsidR="00156329" w:rsidRPr="00F74648" w:rsidRDefault="002819F1" w:rsidP="00F74648">
      <w:pPr>
        <w:jc w:val="both"/>
        <w:rPr>
          <w:rFonts w:ascii="Arial" w:hAnsi="Arial" w:cs="Arial"/>
          <w:sz w:val="20"/>
          <w:szCs w:val="20"/>
        </w:rPr>
      </w:pPr>
      <w:r w:rsidRPr="00F74648">
        <w:rPr>
          <w:rFonts w:ascii="Arial" w:hAnsi="Arial" w:cs="Arial"/>
          <w:b/>
          <w:sz w:val="20"/>
          <w:szCs w:val="20"/>
        </w:rPr>
        <w:t xml:space="preserve">Note: </w:t>
      </w:r>
      <w:r w:rsidRPr="00F74648">
        <w:rPr>
          <w:rFonts w:ascii="Arial" w:hAnsi="Arial" w:cs="Arial"/>
          <w:sz w:val="20"/>
          <w:szCs w:val="20"/>
        </w:rPr>
        <w:t xml:space="preserve">The rubric was applied comparatively across initial and revised narrative </w:t>
      </w:r>
      <w:r w:rsidRPr="00F74648">
        <w:rPr>
          <w:rFonts w:ascii="Arial" w:hAnsi="Arial" w:cs="Arial"/>
          <w:sz w:val="20"/>
          <w:szCs w:val="20"/>
        </w:rPr>
        <w:t>drafts to identify directional patterns of writing development rather than numerical performance scores. To enhance analytic consistency, a second reviewer independently examined a subset of the writing samples using the rubric. Differences in interpretati</w:t>
      </w:r>
      <w:r w:rsidRPr="00F74648">
        <w:rPr>
          <w:rFonts w:ascii="Arial" w:hAnsi="Arial" w:cs="Arial"/>
          <w:sz w:val="20"/>
          <w:szCs w:val="20"/>
        </w:rPr>
        <w:t>on were discussed and resolved through consensus.</w:t>
      </w:r>
    </w:p>
    <w:sectPr w:rsidR="00156329" w:rsidRPr="00F746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6329"/>
    <w:rsid w:val="002819F1"/>
    <w:rsid w:val="0029639D"/>
    <w:rsid w:val="00326F90"/>
    <w:rsid w:val="00AA1D8D"/>
    <w:rsid w:val="00B47730"/>
    <w:rsid w:val="00CB0664"/>
    <w:rsid w:val="00F746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175D2"/>
  <w14:defaultImageDpi w14:val="300"/>
  <w15:docId w15:val="{5F1CAFB6-F75D-4BBA-8313-D83314F8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B7E9AA-D52D-4EBD-83C4-E187EE19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</cp:lastModifiedBy>
  <cp:revision>3</cp:revision>
  <dcterms:created xsi:type="dcterms:W3CDTF">2026-05-14T06:42:00Z</dcterms:created>
  <dcterms:modified xsi:type="dcterms:W3CDTF">2026-05-14T06:44:00Z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08d9afec-cb10-4db6-951b-89fd85f6d0e1</vt:lpwstr>
  </property>
</Properties>
</file>