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jc w:val="center"/>
        <w:rPr>
          <w:rFonts w:ascii="Times New Roman" w:hAnsi="Times New Roman" w:cs="Times New Roman"/>
          <w:szCs w:val="24"/>
        </w:rPr>
      </w:pPr>
      <w:r>
        <w:rPr>
          <w:rFonts w:cs="Times New Roman" w:ascii="Times New Roman" w:hAnsi="Times New Roman"/>
          <w:b/>
          <w:bCs/>
          <w:szCs w:val="24"/>
        </w:rPr>
        <w:t>Appendix</w:t>
      </w:r>
    </w:p>
    <w:p>
      <w:pPr>
        <w:pStyle w:val="Normal"/>
        <w:spacing w:before="0" w:after="360"/>
        <w:jc w:val="center"/>
        <w:rPr>
          <w:rFonts w:ascii="Times New Roman" w:hAnsi="Times New Roman" w:cs="Times New Roman"/>
          <w:szCs w:val="24"/>
        </w:rPr>
      </w:pPr>
      <w:r>
        <w:rPr>
          <w:rFonts w:cs="Times New Roman" w:ascii="Times New Roman" w:hAnsi="Times New Roman"/>
          <w:b/>
          <w:bCs/>
          <w:szCs w:val="24"/>
        </w:rPr>
        <w:t>Configurational Sufficiency for Engagement</w:t>
      </w:r>
    </w:p>
    <w:p>
      <w:pPr>
        <w:pStyle w:val="Normal"/>
        <w:spacing w:lineRule="auto" w:line="360" w:before="120" w:after="120"/>
        <w:jc w:val="both"/>
        <w:rPr>
          <w:rFonts w:ascii="Times New Roman" w:hAnsi="Times New Roman" w:cs="Times New Roman"/>
          <w:szCs w:val="24"/>
        </w:rPr>
      </w:pPr>
      <w:r>
        <w:rPr>
          <w:rFonts w:cs="Times New Roman" w:ascii="Times New Roman" w:hAnsi="Times New Roman"/>
          <w:b/>
          <w:bCs/>
          <w:szCs w:val="24"/>
        </w:rPr>
        <w:t>A1. Analytical Design and Sample</w:t>
      </w:r>
    </w:p>
    <w:p>
      <w:pPr>
        <w:pStyle w:val="Normal"/>
        <w:spacing w:lineRule="auto" w:line="360" w:before="0" w:after="360"/>
        <w:jc w:val="both"/>
        <w:rPr>
          <w:rFonts w:ascii="Times New Roman" w:hAnsi="Times New Roman" w:cs="Times New Roman"/>
          <w:szCs w:val="24"/>
        </w:rPr>
      </w:pPr>
      <w:r>
        <w:rPr>
          <w:rFonts w:cs="Times New Roman" w:ascii="Times New Roman" w:hAnsi="Times New Roman"/>
          <w:szCs w:val="24"/>
        </w:rPr>
        <w:t xml:space="preserve">This appendix reports the results of a fuzzy-set qualitative comparative analysis (fsQCA) conducted to provide exploratory evidence for Proposition 4 (P4) of the Propositional Set on Configurational Incentives (PSCI). P4 posits that multiple distinct configurations of structure, symbolic meaning, and contextual capacity can produce equally high participation outcomes. Of the 374 valid responses retained for the main analyses, 34 cases whose fuzzy-set membership score in the outcome condition was exactly 0.50 were excluded to avoid the well-documented maximum-ambiguity problem at the crossover point. Cases at the 0.50 threshold are neither clearly “in” nor “out” of a set and can distort truth table assignments and inclusion scores. The effective sample for the fsQCA was therefore </w:t>
      </w:r>
      <w:r>
        <w:rPr>
          <w:rFonts w:cs="Times New Roman" w:ascii="Times New Roman" w:hAnsi="Times New Roman"/>
          <w:i/>
          <w:iCs/>
          <w:szCs w:val="24"/>
        </w:rPr>
        <w:t>N</w:t>
      </w:r>
      <w:r>
        <w:rPr>
          <w:rFonts w:cs="Times New Roman" w:ascii="Times New Roman" w:hAnsi="Times New Roman"/>
          <w:szCs w:val="24"/>
        </w:rPr>
        <w:t xml:space="preserve"> = 340. The fsQCA employed six calibrated conditions with participant engagement (ENG) as the outcome. Whereas the SEM and RSA analyses in the main text test the causal mechanism from structural antecedents (PFI, CFI) through symbolic mediators to outcomes, the fsQCA operates at the </w:t>
      </w:r>
      <w:r>
        <w:rPr>
          <w:rFonts w:cs="Times New Roman" w:ascii="Times New Roman" w:hAnsi="Times New Roman"/>
          <w:i/>
          <w:iCs/>
          <w:szCs w:val="24"/>
        </w:rPr>
        <w:t>perception level</w:t>
      </w:r>
      <w:r>
        <w:rPr>
          <w:rFonts w:cs="Times New Roman" w:ascii="Times New Roman" w:hAnsi="Times New Roman"/>
          <w:szCs w:val="24"/>
        </w:rPr>
        <w:t xml:space="preserve">—examining which combinations of perceived structural, symbolic, and contextual conditions are jointly sufficient for high engagement. This design choice is deliberate: fsQCA tests configurational sufficiency among the proximal perceptual conditions that directly shape participant responses, rather than re-testing distal stimulus effects already examined via SEM. Table A1 maps the six conditions to the three PSCI dimensions. Fuzzy-set calibration was performed using the direct method. The truth table analysis applied a frequency threshold of </w:t>
      </w:r>
      <w:r>
        <w:rPr>
          <w:rFonts w:cs="Times New Roman" w:ascii="Times New Roman" w:hAnsi="Times New Roman"/>
          <w:i/>
          <w:iCs/>
          <w:szCs w:val="24"/>
        </w:rPr>
        <w:t>n</w:t>
      </w:r>
      <w:r>
        <w:rPr>
          <w:rFonts w:cs="Times New Roman" w:ascii="Times New Roman" w:hAnsi="Times New Roman"/>
          <w:szCs w:val="24"/>
        </w:rPr>
        <w:t xml:space="preserve"> ≥ 5 and a consistency threshold of 0.95.</w:t>
      </w:r>
    </w:p>
    <w:p>
      <w:pPr>
        <w:pStyle w:val="Normal"/>
        <w:spacing w:lineRule="auto" w:line="360" w:before="0" w:after="360"/>
        <w:jc w:val="both"/>
        <w:rPr>
          <w:rFonts w:ascii="Times New Roman" w:hAnsi="Times New Roman" w:cs="Times New Roman"/>
          <w:szCs w:val="24"/>
        </w:rPr>
      </w:pPr>
      <w:r>
        <w:rPr>
          <w:rFonts w:cs="Times New Roman" w:ascii="Times New Roman" w:hAnsi="Times New Roman"/>
          <w:b/>
          <w:bCs/>
          <w:szCs w:val="24"/>
        </w:rPr>
        <w:t xml:space="preserve">Table A1. </w:t>
      </w:r>
      <w:r>
        <w:rPr>
          <w:rFonts w:cs="Times New Roman" w:ascii="Times New Roman" w:hAnsi="Times New Roman"/>
          <w:i/>
          <w:iCs/>
          <w:szCs w:val="24"/>
        </w:rPr>
        <w:t>Mapping of fsQCA Conditions to PSCI Dimensions</w:t>
      </w:r>
    </w:p>
    <w:tbl>
      <w:tblPr>
        <w:tblW w:w="9026" w:type="dxa"/>
        <w:jc w:val="left"/>
        <w:tblInd w:w="0" w:type="dxa"/>
        <w:tblLayout w:type="fixed"/>
        <w:tblCellMar>
          <w:top w:w="40" w:type="dxa"/>
          <w:left w:w="80" w:type="dxa"/>
          <w:bottom w:w="40" w:type="dxa"/>
          <w:right w:w="80" w:type="dxa"/>
        </w:tblCellMar>
        <w:tblLook w:firstRow="1" w:noVBand="1" w:lastRow="0" w:firstColumn="1" w:lastColumn="0" w:noHBand="0" w:val="04a0"/>
      </w:tblPr>
      <w:tblGrid>
        <w:gridCol w:w="2199"/>
        <w:gridCol w:w="2801"/>
        <w:gridCol w:w="4026"/>
      </w:tblGrid>
      <w:tr>
        <w:trPr/>
        <w:tc>
          <w:tcPr>
            <w:tcW w:w="219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PSCI Dimension</w:t>
            </w:r>
          </w:p>
        </w:tc>
        <w:tc>
          <w:tcPr>
            <w:tcW w:w="2801"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fsQCA Conditions</w:t>
            </w:r>
          </w:p>
        </w:tc>
        <w:tc>
          <w:tcPr>
            <w:tcW w:w="4026"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Rationale</w:t>
            </w:r>
          </w:p>
        </w:tc>
      </w:tr>
      <w:tr>
        <w:trPr/>
        <w:tc>
          <w:tcPr>
            <w:tcW w:w="2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b/>
                <w:bCs/>
                <w:szCs w:val="24"/>
              </w:rPr>
              <w:t>Structure (perceived)</w:t>
            </w:r>
          </w:p>
        </w:tc>
        <w:tc>
          <w:tcPr>
            <w:tcW w:w="2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PF, TIP</w:t>
            </w:r>
          </w:p>
        </w:tc>
        <w:tc>
          <w:tcPr>
            <w:tcW w:w="4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Captures participants’ perceived fairness and tourism incentive value, reflecting structural design as experienced</w:t>
            </w:r>
          </w:p>
        </w:tc>
      </w:tr>
      <w:tr>
        <w:trPr/>
        <w:tc>
          <w:tcPr>
            <w:tcW w:w="2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b/>
                <w:bCs/>
                <w:szCs w:val="24"/>
              </w:rPr>
              <w:t>Symbolic meaning</w:t>
            </w:r>
          </w:p>
        </w:tc>
        <w:tc>
          <w:tcPr>
            <w:tcW w:w="2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PA, PCE</w:t>
            </w:r>
          </w:p>
        </w:tc>
        <w:tc>
          <w:tcPr>
            <w:tcW w:w="4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Reflects perceived authenticity and community effort—the meaning-making dimensions of incentive interpretation</w:t>
            </w:r>
          </w:p>
        </w:tc>
      </w:tr>
      <w:tr>
        <w:trPr/>
        <w:tc>
          <w:tcPr>
            <w:tcW w:w="21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b/>
                <w:bCs/>
                <w:szCs w:val="24"/>
              </w:rPr>
              <w:t>Contextual capacity</w:t>
            </w:r>
          </w:p>
        </w:tc>
        <w:tc>
          <w:tcPr>
            <w:tcW w:w="2801"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PRA, PCI</w:t>
            </w:r>
          </w:p>
        </w:tc>
        <w:tc>
          <w:tcPr>
            <w:tcW w:w="4026"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Represents perceived resource abundance and community involvement—the enabling context for incentive effectiveness</w:t>
            </w:r>
          </w:p>
        </w:tc>
      </w:tr>
    </w:tbl>
    <w:p>
      <w:pPr>
        <w:pStyle w:val="Normal"/>
        <w:spacing w:before="0" w:after="200"/>
        <w:jc w:val="both"/>
        <w:rPr>
          <w:rFonts w:ascii="Times New Roman" w:hAnsi="Times New Roman" w:cs="Times New Roman"/>
          <w:szCs w:val="24"/>
        </w:rPr>
      </w:pPr>
      <w:r>
        <w:rPr>
          <w:rFonts w:cs="Times New Roman" w:ascii="Times New Roman" w:hAnsi="Times New Roman"/>
          <w:i/>
          <w:iCs/>
          <w:szCs w:val="24"/>
        </w:rPr>
        <w:t xml:space="preserve">Note. </w:t>
      </w:r>
      <w:r>
        <w:rPr>
          <w:rFonts w:cs="Times New Roman" w:ascii="Times New Roman" w:hAnsi="Times New Roman"/>
          <w:szCs w:val="24"/>
        </w:rPr>
        <w:t>PRA = perceived resource abundance; PA = perceived authenticity; PCE = perceived community effort; PCI = perceived community involvement; TIP = tourism incentive perception; PF = perceived fairness. PFI (perceived financial incentive) and CFI (community-based incentive) are structural antecedents tested in the SEM; their downstream perceptual reflections (PF, TIP, PA, PCE, PRA, PCI) serve as the fsQCA conditions.</w:t>
      </w:r>
    </w:p>
    <w:p>
      <w:pPr>
        <w:pStyle w:val="Normal"/>
        <w:spacing w:lineRule="auto" w:line="360" w:before="240" w:after="120"/>
        <w:jc w:val="both"/>
        <w:rPr>
          <w:rFonts w:ascii="Times New Roman" w:hAnsi="Times New Roman" w:cs="Times New Roman"/>
          <w:szCs w:val="24"/>
        </w:rPr>
      </w:pPr>
      <w:r>
        <w:rPr>
          <w:rFonts w:cs="Times New Roman" w:ascii="Times New Roman" w:hAnsi="Times New Roman"/>
          <w:b/>
          <w:bCs/>
          <w:szCs w:val="24"/>
        </w:rPr>
        <w:t>A2. Truth Table</w:t>
      </w:r>
    </w:p>
    <w:p>
      <w:pPr>
        <w:pStyle w:val="Normal"/>
        <w:spacing w:lineRule="auto" w:line="360"/>
        <w:jc w:val="both"/>
        <w:rPr>
          <w:rFonts w:ascii="Times New Roman" w:hAnsi="Times New Roman" w:cs="Times New Roman"/>
          <w:szCs w:val="24"/>
        </w:rPr>
      </w:pPr>
      <w:r>
        <w:rPr>
          <w:rFonts w:cs="Times New Roman" w:ascii="Times New Roman" w:hAnsi="Times New Roman"/>
          <w:szCs w:val="24"/>
        </w:rPr>
        <w:t xml:space="preserve">Table A2 presents the truth table rows that met the frequency threshold. Of the 14 configurations with </w:t>
      </w:r>
      <w:r>
        <w:rPr>
          <w:rFonts w:cs="Times New Roman" w:ascii="Times New Roman" w:hAnsi="Times New Roman"/>
          <w:i/>
          <w:iCs/>
          <w:szCs w:val="24"/>
        </w:rPr>
        <w:t>n</w:t>
      </w:r>
      <w:r>
        <w:rPr>
          <w:rFonts w:cs="Times New Roman" w:ascii="Times New Roman" w:hAnsi="Times New Roman"/>
          <w:szCs w:val="24"/>
        </w:rPr>
        <w:t xml:space="preserve"> ≥ 5, seven exceeded the consistency threshold of 0.95 and were coded as sufficient for high engagement (OUT = 1).</w:t>
      </w:r>
    </w:p>
    <w:p>
      <w:pPr>
        <w:pStyle w:val="Normal"/>
        <w:spacing w:before="0" w:after="120"/>
        <w:jc w:val="both"/>
        <w:rPr>
          <w:rFonts w:ascii="Times New Roman" w:hAnsi="Times New Roman" w:cs="Times New Roman"/>
          <w:szCs w:val="24"/>
        </w:rPr>
      </w:pPr>
      <w:r>
        <w:rPr>
          <w:rFonts w:cs="Times New Roman" w:ascii="Times New Roman" w:hAnsi="Times New Roman"/>
          <w:b/>
          <w:bCs/>
          <w:szCs w:val="24"/>
        </w:rPr>
        <w:t xml:space="preserve">Table A2. </w:t>
      </w:r>
      <w:r>
        <w:rPr>
          <w:rFonts w:cs="Times New Roman" w:ascii="Times New Roman" w:hAnsi="Times New Roman"/>
          <w:i/>
          <w:iCs/>
          <w:szCs w:val="24"/>
        </w:rPr>
        <w:t>Truth Table for Engagement (ENG)</w:t>
      </w:r>
    </w:p>
    <w:tbl>
      <w:tblPr>
        <w:tblW w:w="9026" w:type="dxa"/>
        <w:jc w:val="left"/>
        <w:tblInd w:w="0" w:type="dxa"/>
        <w:tblLayout w:type="fixed"/>
        <w:tblCellMar>
          <w:top w:w="40" w:type="dxa"/>
          <w:left w:w="80" w:type="dxa"/>
          <w:bottom w:w="40" w:type="dxa"/>
          <w:right w:w="80" w:type="dxa"/>
        </w:tblCellMar>
        <w:tblLook w:firstRow="1" w:noVBand="1" w:lastRow="0" w:firstColumn="1" w:lastColumn="0" w:noHBand="0" w:val="04a0"/>
      </w:tblPr>
      <w:tblGrid>
        <w:gridCol w:w="700"/>
        <w:gridCol w:w="800"/>
        <w:gridCol w:w="750"/>
        <w:gridCol w:w="799"/>
        <w:gridCol w:w="800"/>
        <w:gridCol w:w="750"/>
        <w:gridCol w:w="750"/>
        <w:gridCol w:w="801"/>
        <w:gridCol w:w="699"/>
        <w:gridCol w:w="1089"/>
        <w:gridCol w:w="1086"/>
      </w:tblGrid>
      <w:tr>
        <w:trPr/>
        <w:tc>
          <w:tcPr>
            <w:tcW w:w="70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Row</w:t>
            </w:r>
          </w:p>
        </w:tc>
        <w:tc>
          <w:tcPr>
            <w:tcW w:w="80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PRA</w:t>
            </w:r>
          </w:p>
        </w:tc>
        <w:tc>
          <w:tcPr>
            <w:tcW w:w="75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PA</w:t>
            </w:r>
          </w:p>
        </w:tc>
        <w:tc>
          <w:tcPr>
            <w:tcW w:w="79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PCE</w:t>
            </w:r>
          </w:p>
        </w:tc>
        <w:tc>
          <w:tcPr>
            <w:tcW w:w="80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PCI</w:t>
            </w:r>
          </w:p>
        </w:tc>
        <w:tc>
          <w:tcPr>
            <w:tcW w:w="75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TIP</w:t>
            </w:r>
          </w:p>
        </w:tc>
        <w:tc>
          <w:tcPr>
            <w:tcW w:w="75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PF</w:t>
            </w:r>
          </w:p>
        </w:tc>
        <w:tc>
          <w:tcPr>
            <w:tcW w:w="801"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OUT</w:t>
            </w:r>
          </w:p>
        </w:tc>
        <w:tc>
          <w:tcPr>
            <w:tcW w:w="69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n</w:t>
            </w:r>
          </w:p>
        </w:tc>
        <w:tc>
          <w:tcPr>
            <w:tcW w:w="108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Incl.</w:t>
            </w:r>
          </w:p>
        </w:tc>
        <w:tc>
          <w:tcPr>
            <w:tcW w:w="1086"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PRI</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62</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13</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0.985</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0.940</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9</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0.981</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0.906</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28</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0.979</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0.865</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32</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10</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0.977</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0.881</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60</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7</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0.975</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0.880</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55</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0.958</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0.725</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17</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0.954</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0.688</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56</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12</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0.953</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0.764</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19</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0.950</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0.642</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48</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0.945</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0.633</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33</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0.944</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0.508</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64</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164</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0.944</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0.885</w:t>
            </w:r>
          </w:p>
        </w:tc>
      </w:tr>
      <w:tr>
        <w:trPr/>
        <w:tc>
          <w:tcPr>
            <w:tcW w:w="7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8</w:t>
            </w:r>
          </w:p>
        </w:tc>
        <w:tc>
          <w:tcPr>
            <w:tcW w:w="108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0.931</w:t>
            </w:r>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0.429</w:t>
            </w:r>
          </w:p>
        </w:tc>
      </w:tr>
      <w:tr>
        <w:trPr/>
        <w:tc>
          <w:tcPr>
            <w:tcW w:w="7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40</w:t>
            </w:r>
          </w:p>
        </w:tc>
        <w:tc>
          <w:tcPr>
            <w:tcW w:w="8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7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8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75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c>
          <w:tcPr>
            <w:tcW w:w="801"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c>
          <w:tcPr>
            <w:tcW w:w="6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28</w:t>
            </w:r>
          </w:p>
        </w:tc>
        <w:tc>
          <w:tcPr>
            <w:tcW w:w="108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0.841</w:t>
            </w:r>
          </w:p>
        </w:tc>
        <w:tc>
          <w:tcPr>
            <w:tcW w:w="1086"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0.304</w:t>
            </w:r>
          </w:p>
        </w:tc>
      </w:tr>
    </w:tbl>
    <w:p>
      <w:pPr>
        <w:pStyle w:val="Normal"/>
        <w:spacing w:before="0" w:after="360"/>
        <w:jc w:val="both"/>
        <w:rPr>
          <w:rFonts w:ascii="Times New Roman" w:hAnsi="Times New Roman" w:cs="Times New Roman"/>
          <w:szCs w:val="24"/>
        </w:rPr>
      </w:pPr>
      <w:r>
        <w:rPr>
          <w:rFonts w:cs="Times New Roman" w:ascii="Times New Roman" w:hAnsi="Times New Roman"/>
          <w:i/>
          <w:iCs/>
          <w:szCs w:val="24"/>
        </w:rPr>
        <w:t xml:space="preserve">Note. </w:t>
      </w:r>
      <w:r>
        <w:rPr>
          <w:rFonts w:cs="Times New Roman" w:ascii="Times New Roman" w:hAnsi="Times New Roman"/>
          <w:szCs w:val="24"/>
        </w:rPr>
        <w:t xml:space="preserve">OUT = output value (1 = sufficient for high ENG); </w:t>
      </w:r>
      <w:r>
        <w:rPr>
          <w:rFonts w:cs="Times New Roman" w:ascii="Times New Roman" w:hAnsi="Times New Roman"/>
          <w:i/>
          <w:iCs/>
          <w:szCs w:val="24"/>
        </w:rPr>
        <w:t>n</w:t>
      </w:r>
      <w:r>
        <w:rPr>
          <w:rFonts w:cs="Times New Roman" w:ascii="Times New Roman" w:hAnsi="Times New Roman"/>
          <w:szCs w:val="24"/>
        </w:rPr>
        <w:t xml:space="preserve"> = number of cases in configuration; Incl. = sufficiency inclusion score; PRI = proportional reduction in inconsistency. Rows ordered by inclusion score. </w:t>
      </w:r>
      <w:r>
        <w:rPr>
          <w:rFonts w:cs="Times New Roman" w:ascii="Times New Roman" w:hAnsi="Times New Roman"/>
          <w:i/>
          <w:iCs/>
          <w:szCs w:val="24"/>
        </w:rPr>
        <w:t>N</w:t>
      </w:r>
      <w:r>
        <w:rPr>
          <w:rFonts w:cs="Times New Roman" w:ascii="Times New Roman" w:hAnsi="Times New Roman"/>
          <w:szCs w:val="24"/>
        </w:rPr>
        <w:t xml:space="preserve"> = 340 (34 cases at fuzzy membership = 0.50 excluded).</w:t>
      </w:r>
    </w:p>
    <w:p>
      <w:pPr>
        <w:pStyle w:val="Normal"/>
        <w:spacing w:lineRule="auto" w:line="360" w:before="240" w:after="120"/>
        <w:jc w:val="both"/>
        <w:rPr>
          <w:rFonts w:ascii="Times New Roman" w:hAnsi="Times New Roman" w:cs="Times New Roman"/>
          <w:szCs w:val="24"/>
        </w:rPr>
      </w:pPr>
      <w:r>
        <w:rPr>
          <w:rFonts w:cs="Times New Roman" w:ascii="Times New Roman" w:hAnsi="Times New Roman"/>
          <w:b/>
          <w:bCs/>
          <w:szCs w:val="24"/>
        </w:rPr>
        <w:t>A3. Intermediate Solution</w:t>
      </w:r>
    </w:p>
    <w:p>
      <w:pPr>
        <w:pStyle w:val="Normal"/>
        <w:spacing w:lineRule="auto" w:line="360"/>
        <w:jc w:val="both"/>
        <w:rPr>
          <w:rFonts w:ascii="Times New Roman" w:hAnsi="Times New Roman" w:cs="Times New Roman"/>
          <w:szCs w:val="24"/>
        </w:rPr>
      </w:pPr>
      <w:r>
        <w:rPr>
          <w:rFonts w:cs="Times New Roman" w:ascii="Times New Roman" w:hAnsi="Times New Roman"/>
          <w:szCs w:val="24"/>
        </w:rPr>
        <w:t>Logical minimization yielded an intermediate solution comprising three sufficient configurations for high engagement. The solution formula (C1P1) is:</w:t>
      </w:r>
    </w:p>
    <w:p>
      <w:pPr>
        <w:pStyle w:val="Normal"/>
        <w:spacing w:lineRule="auto" w:line="360" w:before="0" w:after="200"/>
        <w:jc w:val="center"/>
        <w:rPr>
          <w:rFonts w:ascii="Times New Roman" w:hAnsi="Times New Roman" w:cs="Times New Roman"/>
          <w:szCs w:val="24"/>
        </w:rPr>
      </w:pPr>
      <w:r>
        <w:rPr>
          <w:rFonts w:cs="Times New Roman" w:ascii="Times New Roman" w:hAnsi="Times New Roman"/>
          <w:b/>
          <w:bCs/>
          <w:szCs w:val="24"/>
        </w:rPr>
        <w:t>M1: PRA*PA*PCE*PCI + PA*PCE*TIP*PF + PRA*PA*PCI*TIP*PF → ENG</w:t>
      </w:r>
    </w:p>
    <w:p>
      <w:pPr>
        <w:pStyle w:val="Normal"/>
        <w:spacing w:lineRule="auto" w:line="360" w:before="0" w:after="120"/>
        <w:jc w:val="both"/>
        <w:rPr>
          <w:rFonts w:ascii="Times New Roman" w:hAnsi="Times New Roman" w:cs="Times New Roman"/>
          <w:szCs w:val="24"/>
        </w:rPr>
      </w:pPr>
      <w:r>
        <w:rPr>
          <w:rFonts w:cs="Times New Roman" w:ascii="Times New Roman" w:hAnsi="Times New Roman"/>
          <w:szCs w:val="24"/>
        </w:rPr>
        <w:t>The three pathways can be substantively interpreted as follows:</w:t>
      </w:r>
    </w:p>
    <w:p>
      <w:pPr>
        <w:pStyle w:val="Normal"/>
        <w:spacing w:lineRule="auto" w:line="360" w:before="0" w:after="100"/>
        <w:ind w:left="360" w:hanging="0"/>
        <w:jc w:val="both"/>
        <w:rPr>
          <w:rFonts w:ascii="Times New Roman" w:hAnsi="Times New Roman" w:cs="Times New Roman"/>
          <w:b/>
          <w:bCs/>
          <w:szCs w:val="24"/>
        </w:rPr>
      </w:pPr>
      <w:r>
        <w:rPr>
          <w:rFonts w:cs="Times New Roman" w:ascii="Times New Roman" w:hAnsi="Times New Roman"/>
          <w:b/>
          <w:bCs/>
          <w:szCs w:val="24"/>
        </w:rPr>
        <w:t>Configuration 1-- Resource-rich symbolic alignment:</w:t>
      </w:r>
      <w:r>
        <w:rPr>
          <w:rFonts w:cs="Times New Roman" w:ascii="Times New Roman" w:hAnsi="Times New Roman"/>
          <w:b/>
          <w:bCs/>
          <w:szCs w:val="24"/>
          <w:lang w:val="en-US"/>
        </w:rPr>
        <w:t xml:space="preserve"> </w:t>
      </w:r>
      <w:r>
        <w:rPr>
          <w:rFonts w:cs="Times New Roman" w:ascii="Times New Roman" w:hAnsi="Times New Roman"/>
          <w:b/>
          <w:bCs/>
          <w:szCs w:val="24"/>
        </w:rPr>
        <w:t>PRA*PA*PCE*PCI</w:t>
      </w:r>
    </w:p>
    <w:p>
      <w:pPr>
        <w:pStyle w:val="Normal"/>
        <w:spacing w:lineRule="auto" w:line="360" w:before="0" w:after="100"/>
        <w:ind w:left="360" w:hanging="0"/>
        <w:jc w:val="both"/>
        <w:rPr>
          <w:rFonts w:ascii="Times New Roman" w:hAnsi="Times New Roman" w:cs="Times New Roman"/>
          <w:szCs w:val="24"/>
        </w:rPr>
      </w:pPr>
      <w:r>
        <w:rPr>
          <w:rFonts w:cs="Times New Roman" w:ascii="Times New Roman" w:hAnsi="Times New Roman"/>
          <w:szCs w:val="24"/>
        </w:rPr>
        <w:t>High resource abundance combined with perceived authenticity, community effort, and community involvement. Structural and symbolic elements converge under favorable contextual conditions. Notably, neither tourism incentive perception nor fairness is required—suggesting that when community-level symbolic alignment is strong and resources are abundant, engagement emerges without explicit incentive salience.</w:t>
      </w:r>
    </w:p>
    <w:p>
      <w:pPr>
        <w:pStyle w:val="Normal"/>
        <w:spacing w:lineRule="auto" w:line="360" w:before="0" w:after="100"/>
        <w:ind w:left="360" w:hanging="0"/>
        <w:jc w:val="both"/>
        <w:rPr>
          <w:rFonts w:ascii="Times New Roman" w:hAnsi="Times New Roman" w:cs="Times New Roman"/>
          <w:b/>
          <w:bCs/>
          <w:szCs w:val="24"/>
        </w:rPr>
      </w:pPr>
      <w:r>
        <w:rPr>
          <w:rFonts w:cs="Times New Roman" w:ascii="Times New Roman" w:hAnsi="Times New Roman"/>
          <w:b/>
          <w:bCs/>
          <w:szCs w:val="24"/>
        </w:rPr>
        <w:t xml:space="preserve">Configuration 2-- Meaning-driven incentive: PA*PCE*TIP*PF </w:t>
      </w:r>
    </w:p>
    <w:p>
      <w:pPr>
        <w:pStyle w:val="Normal"/>
        <w:spacing w:lineRule="auto" w:line="360" w:before="0" w:after="100"/>
        <w:ind w:left="360" w:hanging="0"/>
        <w:jc w:val="both"/>
        <w:rPr>
          <w:rFonts w:ascii="Times New Roman" w:hAnsi="Times New Roman" w:cs="Times New Roman"/>
          <w:szCs w:val="24"/>
        </w:rPr>
      </w:pPr>
      <w:r>
        <w:rPr>
          <w:rFonts w:cs="Times New Roman" w:ascii="Times New Roman" w:hAnsi="Times New Roman"/>
          <w:szCs w:val="24"/>
        </w:rPr>
        <w:t>High perceived authenticity, community effort, tourism incentive perception, and fairness—irrespective of resource abundance (PRA) or community involvement (PCI). When symbolic meaning (PA, PCE) and structural fairness (PF, TIP) are jointly present, engagement can be achieved without resource abundance, illustrating the compensatory potential of symbolic coherence.</w:t>
      </w:r>
    </w:p>
    <w:p>
      <w:pPr>
        <w:pStyle w:val="Normal"/>
        <w:spacing w:lineRule="auto" w:line="360" w:before="0" w:after="240"/>
        <w:ind w:left="360" w:hanging="0"/>
        <w:jc w:val="both"/>
        <w:rPr>
          <w:rFonts w:ascii="Times New Roman" w:hAnsi="Times New Roman" w:cs="Times New Roman"/>
          <w:b/>
          <w:bCs/>
          <w:szCs w:val="24"/>
        </w:rPr>
      </w:pPr>
      <w:r>
        <w:rPr>
          <w:rFonts w:cs="Times New Roman" w:ascii="Times New Roman" w:hAnsi="Times New Roman"/>
          <w:b/>
          <w:bCs/>
          <w:szCs w:val="24"/>
        </w:rPr>
        <w:t xml:space="preserve">Configuration 3-- Comprehensive incentive alignment: PRA*PA*PCI*TIP*PF </w:t>
      </w:r>
    </w:p>
    <w:p>
      <w:pPr>
        <w:pStyle w:val="Normal"/>
        <w:spacing w:lineRule="auto" w:line="360" w:before="0" w:after="240"/>
        <w:ind w:left="360" w:hanging="0"/>
        <w:jc w:val="both"/>
        <w:rPr>
          <w:rFonts w:ascii="Times New Roman" w:hAnsi="Times New Roman" w:cs="Times New Roman"/>
          <w:szCs w:val="24"/>
        </w:rPr>
      </w:pPr>
      <w:r>
        <w:rPr>
          <w:rFonts w:cs="Times New Roman" w:ascii="Times New Roman" w:hAnsi="Times New Roman"/>
          <w:szCs w:val="24"/>
        </w:rPr>
        <w:t>High resource abundance, perceived authenticity, community involvement, tourism incentive perception, and fairness. This pathway combines both structural and symbolic components under resource-sufficient conditions, substituting community effort (PCE) with community involvement (PCI) relative to Configuration 2.</w:t>
      </w:r>
    </w:p>
    <w:p>
      <w:pPr>
        <w:pStyle w:val="Normal"/>
        <w:spacing w:before="0" w:after="120"/>
        <w:jc w:val="both"/>
        <w:rPr>
          <w:rFonts w:ascii="Times New Roman" w:hAnsi="Times New Roman" w:cs="Times New Roman"/>
          <w:szCs w:val="24"/>
        </w:rPr>
      </w:pPr>
      <w:r>
        <w:rPr>
          <w:rFonts w:cs="Times New Roman" w:ascii="Times New Roman" w:hAnsi="Times New Roman"/>
          <w:b/>
          <w:bCs/>
          <w:szCs w:val="24"/>
        </w:rPr>
        <w:t xml:space="preserve">Table A3. </w:t>
      </w:r>
      <w:r>
        <w:rPr>
          <w:rFonts w:cs="Times New Roman" w:ascii="Times New Roman" w:hAnsi="Times New Roman"/>
          <w:i/>
          <w:iCs/>
          <w:szCs w:val="24"/>
        </w:rPr>
        <w:t>Intermediate Solution: Sufficiency Parameters for Engagement (ENG)</w:t>
      </w:r>
    </w:p>
    <w:tbl>
      <w:tblPr>
        <w:tblW w:w="7600" w:type="dxa"/>
        <w:jc w:val="left"/>
        <w:tblInd w:w="0" w:type="dxa"/>
        <w:tblLayout w:type="fixed"/>
        <w:tblCellMar>
          <w:top w:w="40" w:type="dxa"/>
          <w:left w:w="80" w:type="dxa"/>
          <w:bottom w:w="40" w:type="dxa"/>
          <w:right w:w="80" w:type="dxa"/>
        </w:tblCellMar>
        <w:tblLook w:firstRow="1" w:noVBand="1" w:lastRow="0" w:firstColumn="1" w:lastColumn="0" w:noHBand="0" w:val="04a0"/>
      </w:tblPr>
      <w:tblGrid>
        <w:gridCol w:w="2599"/>
        <w:gridCol w:w="1301"/>
        <w:gridCol w:w="1200"/>
        <w:gridCol w:w="1299"/>
        <w:gridCol w:w="1201"/>
      </w:tblGrid>
      <w:tr>
        <w:trPr/>
        <w:tc>
          <w:tcPr>
            <w:tcW w:w="259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Configuration</w:t>
            </w:r>
          </w:p>
        </w:tc>
        <w:tc>
          <w:tcPr>
            <w:tcW w:w="1301"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Cons.Suf</w:t>
            </w:r>
          </w:p>
        </w:tc>
        <w:tc>
          <w:tcPr>
            <w:tcW w:w="120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PRI</w:t>
            </w:r>
          </w:p>
        </w:tc>
        <w:tc>
          <w:tcPr>
            <w:tcW w:w="129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Cov.Suf</w:t>
            </w:r>
          </w:p>
        </w:tc>
        <w:tc>
          <w:tcPr>
            <w:tcW w:w="1201"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Cov.U</w:t>
            </w:r>
          </w:p>
        </w:tc>
      </w:tr>
      <w:tr>
        <w:trPr/>
        <w:tc>
          <w:tcPr>
            <w:tcW w:w="25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PRA*PA*PCE*PCI</w:t>
            </w:r>
          </w:p>
        </w:tc>
        <w:tc>
          <w:tcPr>
            <w:tcW w:w="13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0.941</w:t>
            </w:r>
          </w:p>
        </w:tc>
        <w:tc>
          <w:tcPr>
            <w:tcW w:w="12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0.886</w:t>
            </w:r>
          </w:p>
        </w:tc>
        <w:tc>
          <w:tcPr>
            <w:tcW w:w="12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0.770</w:t>
            </w:r>
          </w:p>
        </w:tc>
        <w:tc>
          <w:tcPr>
            <w:tcW w:w="12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0.055</w:t>
            </w:r>
          </w:p>
        </w:tc>
      </w:tr>
      <w:tr>
        <w:trPr/>
        <w:tc>
          <w:tcPr>
            <w:tcW w:w="25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PA*PCE*TIP*PF</w:t>
            </w:r>
          </w:p>
        </w:tc>
        <w:tc>
          <w:tcPr>
            <w:tcW w:w="13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0.942</w:t>
            </w:r>
          </w:p>
        </w:tc>
        <w:tc>
          <w:tcPr>
            <w:tcW w:w="12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0.885</w:t>
            </w:r>
          </w:p>
        </w:tc>
        <w:tc>
          <w:tcPr>
            <w:tcW w:w="12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0.757</w:t>
            </w:r>
          </w:p>
        </w:tc>
        <w:tc>
          <w:tcPr>
            <w:tcW w:w="12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0.042</w:t>
            </w:r>
          </w:p>
        </w:tc>
      </w:tr>
      <w:tr>
        <w:trPr/>
        <w:tc>
          <w:tcPr>
            <w:tcW w:w="25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PRA*PA*PCI*TIP*PF</w:t>
            </w:r>
          </w:p>
        </w:tc>
        <w:tc>
          <w:tcPr>
            <w:tcW w:w="13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0.927</w:t>
            </w:r>
          </w:p>
        </w:tc>
        <w:tc>
          <w:tcPr>
            <w:tcW w:w="12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0.855</w:t>
            </w:r>
          </w:p>
        </w:tc>
        <w:tc>
          <w:tcPr>
            <w:tcW w:w="12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0.730</w:t>
            </w:r>
          </w:p>
        </w:tc>
        <w:tc>
          <w:tcPr>
            <w:tcW w:w="12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0.015</w:t>
            </w:r>
          </w:p>
        </w:tc>
      </w:tr>
      <w:tr>
        <w:trPr/>
        <w:tc>
          <w:tcPr>
            <w:tcW w:w="25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b/>
                <w:bCs/>
                <w:szCs w:val="24"/>
              </w:rPr>
              <w:t>Solution formula</w:t>
            </w:r>
          </w:p>
        </w:tc>
        <w:tc>
          <w:tcPr>
            <w:tcW w:w="1301"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0.924</w:t>
            </w:r>
          </w:p>
        </w:tc>
        <w:tc>
          <w:tcPr>
            <w:tcW w:w="12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0.861</w:t>
            </w:r>
          </w:p>
        </w:tc>
        <w:tc>
          <w:tcPr>
            <w:tcW w:w="12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0.827</w:t>
            </w:r>
          </w:p>
        </w:tc>
        <w:tc>
          <w:tcPr>
            <w:tcW w:w="1201"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r>
          </w:p>
        </w:tc>
      </w:tr>
    </w:tbl>
    <w:p>
      <w:pPr>
        <w:pStyle w:val="Normal"/>
        <w:spacing w:before="0" w:after="200"/>
        <w:jc w:val="both"/>
        <w:rPr>
          <w:rFonts w:ascii="Times New Roman" w:hAnsi="Times New Roman" w:cs="Times New Roman"/>
          <w:szCs w:val="24"/>
        </w:rPr>
      </w:pPr>
      <w:r>
        <w:rPr>
          <w:rFonts w:cs="Times New Roman" w:ascii="Times New Roman" w:hAnsi="Times New Roman"/>
          <w:i/>
          <w:iCs/>
          <w:szCs w:val="24"/>
        </w:rPr>
        <w:t xml:space="preserve">Note. </w:t>
      </w:r>
      <w:r>
        <w:rPr>
          <w:rFonts w:cs="Times New Roman" w:ascii="Times New Roman" w:hAnsi="Times New Roman"/>
          <w:szCs w:val="24"/>
        </w:rPr>
        <w:t>Cons.Suf = sufficiency consistency; PRI = proportional reduction in inconsistency; Cov.Suf = sufficiency coverage (raw); Cov.U = unique coverage. Solution consistency = 0.924; solution coverage = 0.827.</w:t>
      </w:r>
    </w:p>
    <w:p>
      <w:pPr>
        <w:pStyle w:val="Normal"/>
        <w:spacing w:lineRule="auto" w:line="360" w:before="0" w:after="360"/>
        <w:jc w:val="both"/>
        <w:rPr>
          <w:rFonts w:ascii="Times New Roman" w:hAnsi="Times New Roman" w:cs="Times New Roman"/>
          <w:szCs w:val="24"/>
        </w:rPr>
      </w:pPr>
      <w:r>
        <w:rPr>
          <w:rFonts w:cs="Times New Roman" w:ascii="Times New Roman" w:hAnsi="Times New Roman"/>
          <w:szCs w:val="24"/>
        </w:rPr>
        <w:t>The solution exhibits high consistency (0.924) and substantial coverage (0.827), indicating that the three pathways collectively account for approximately 83% of membership in the high-engagement outcome while maintaining strong sufficiency claims. All individual pathways exceed the 0.90 consistency benchmark recommended for sufficiency claims. Unique coverage values indicate that Configurations 1 and 2 each contribute distinct explanatory scope, while Configuration 3 largely overlaps with the others—consistent with its role as a comprehensive combination subsuming elements of both alternative routes.</w:t>
      </w:r>
    </w:p>
    <w:p>
      <w:pPr>
        <w:pStyle w:val="Normal"/>
        <w:rPr>
          <w:rFonts w:ascii="Times New Roman" w:hAnsi="Times New Roman" w:cs="Times New Roman"/>
          <w:szCs w:val="24"/>
        </w:rPr>
      </w:pPr>
      <w:r>
        <w:rPr>
          <w:rFonts w:cs="Times New Roman" w:ascii="Times New Roman" w:hAnsi="Times New Roman"/>
          <w:szCs w:val="24"/>
        </w:rPr>
      </w:r>
      <w:r>
        <w:br w:type="page"/>
      </w:r>
    </w:p>
    <w:p>
      <w:pPr>
        <w:pStyle w:val="Normal"/>
        <w:spacing w:lineRule="auto" w:line="360" w:before="240" w:after="120"/>
        <w:jc w:val="both"/>
        <w:rPr>
          <w:rFonts w:ascii="Times New Roman" w:hAnsi="Times New Roman" w:cs="Times New Roman"/>
          <w:szCs w:val="24"/>
        </w:rPr>
      </w:pPr>
      <w:r>
        <w:rPr>
          <w:rFonts w:cs="Times New Roman" w:ascii="Times New Roman" w:hAnsi="Times New Roman"/>
          <w:b/>
          <w:bCs/>
          <w:szCs w:val="24"/>
        </w:rPr>
        <w:t>A4. Formal Test of Sufficiency</w:t>
      </w:r>
    </w:p>
    <w:p>
      <w:pPr>
        <w:pStyle w:val="Normal"/>
        <w:spacing w:lineRule="auto" w:line="360" w:before="0" w:after="240"/>
        <w:jc w:val="both"/>
        <w:rPr>
          <w:rFonts w:ascii="Times New Roman" w:hAnsi="Times New Roman" w:cs="Times New Roman"/>
          <w:szCs w:val="24"/>
        </w:rPr>
      </w:pPr>
      <w:r>
        <w:rPr>
          <w:rFonts w:cs="Times New Roman" w:ascii="Times New Roman" w:hAnsi="Times New Roman"/>
          <w:szCs w:val="24"/>
        </w:rPr>
        <w:t xml:space="preserve">A formal test of fit was conducted to evaluate alignment between the empirical solution and a theoretically specified expectation. The theory expression was set as </w:t>
      </w:r>
      <w:r>
        <w:rPr>
          <w:rFonts w:cs="Times New Roman" w:ascii="Times New Roman" w:hAnsi="Times New Roman"/>
          <w:b/>
          <w:bCs/>
          <w:szCs w:val="24"/>
        </w:rPr>
        <w:t>PCI*PCE*PA</w:t>
      </w:r>
      <w:r>
        <w:rPr>
          <w:rFonts w:cs="Times New Roman" w:ascii="Times New Roman" w:hAnsi="Times New Roman"/>
          <w:szCs w:val="24"/>
        </w:rPr>
        <w:t>, representing the core symbolic-meaning cluster anticipated by PSCI. This expression captures the theoretical expectation that the combination of perceived community involvement, community effort, and authenticity constitutes the central mechanism through which incentive configurations produce engagement. The formal test partitions cases into four quadrants based on the intersection of theory (T) and solution (S) membership.</w:t>
      </w:r>
    </w:p>
    <w:p>
      <w:pPr>
        <w:pStyle w:val="Normal"/>
        <w:spacing w:before="0" w:after="120"/>
        <w:jc w:val="both"/>
        <w:rPr>
          <w:rFonts w:ascii="Times New Roman" w:hAnsi="Times New Roman" w:cs="Times New Roman"/>
          <w:szCs w:val="24"/>
        </w:rPr>
      </w:pPr>
      <w:r>
        <w:rPr>
          <w:rFonts w:cs="Times New Roman" w:ascii="Times New Roman" w:hAnsi="Times New Roman"/>
          <w:b/>
          <w:bCs/>
          <w:szCs w:val="24"/>
        </w:rPr>
        <w:t xml:space="preserve">Table A4. </w:t>
      </w:r>
      <w:r>
        <w:rPr>
          <w:rFonts w:cs="Times New Roman" w:ascii="Times New Roman" w:hAnsi="Times New Roman"/>
          <w:i/>
          <w:iCs/>
          <w:szCs w:val="24"/>
        </w:rPr>
        <w:t>Formal Test of Fit: Solution and Theory Evaluation for Engagement (ENG)</w:t>
      </w:r>
    </w:p>
    <w:tbl>
      <w:tblPr>
        <w:tblW w:w="9026" w:type="dxa"/>
        <w:jc w:val="left"/>
        <w:tblInd w:w="0" w:type="dxa"/>
        <w:tblLayout w:type="fixed"/>
        <w:tblCellMar>
          <w:top w:w="40" w:type="dxa"/>
          <w:left w:w="80" w:type="dxa"/>
          <w:bottom w:w="40" w:type="dxa"/>
          <w:right w:w="80" w:type="dxa"/>
        </w:tblCellMar>
        <w:tblLook w:firstRow="1" w:noVBand="1" w:lastRow="0" w:firstColumn="1" w:lastColumn="0" w:noHBand="0" w:val="04a0"/>
      </w:tblPr>
      <w:tblGrid>
        <w:gridCol w:w="3199"/>
        <w:gridCol w:w="1801"/>
        <w:gridCol w:w="1800"/>
        <w:gridCol w:w="2225"/>
      </w:tblGrid>
      <w:tr>
        <w:trPr/>
        <w:tc>
          <w:tcPr>
            <w:tcW w:w="319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r>
          </w:p>
        </w:tc>
        <w:tc>
          <w:tcPr>
            <w:tcW w:w="1801"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Cons.Suf</w:t>
            </w:r>
          </w:p>
        </w:tc>
        <w:tc>
          <w:tcPr>
            <w:tcW w:w="180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Cov.Suf</w:t>
            </w:r>
          </w:p>
        </w:tc>
        <w:tc>
          <w:tcPr>
            <w:tcW w:w="2225"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PRI</w:t>
            </w:r>
          </w:p>
        </w:tc>
      </w:tr>
      <w:tr>
        <w:trPr/>
        <w:tc>
          <w:tcPr>
            <w:tcW w:w="3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PRA*PA*PCE*PCI</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0.941</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0.770</w:t>
            </w:r>
          </w:p>
        </w:tc>
        <w:tc>
          <w:tcPr>
            <w:tcW w:w="2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0.886</w:t>
            </w:r>
          </w:p>
        </w:tc>
      </w:tr>
      <w:tr>
        <w:trPr/>
        <w:tc>
          <w:tcPr>
            <w:tcW w:w="3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PA*PCE*TIP*PF</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0.942</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0.757</w:t>
            </w:r>
          </w:p>
        </w:tc>
        <w:tc>
          <w:tcPr>
            <w:tcW w:w="2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0.885</w:t>
            </w:r>
          </w:p>
        </w:tc>
      </w:tr>
      <w:tr>
        <w:trPr/>
        <w:tc>
          <w:tcPr>
            <w:tcW w:w="3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PRA*PA*PCI*TIP*PF</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0.927</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0.730</w:t>
            </w:r>
          </w:p>
        </w:tc>
        <w:tc>
          <w:tcPr>
            <w:tcW w:w="2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0.855</w:t>
            </w:r>
          </w:p>
        </w:tc>
      </w:tr>
      <w:tr>
        <w:trPr/>
        <w:tc>
          <w:tcPr>
            <w:tcW w:w="31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b/>
                <w:bCs/>
                <w:szCs w:val="24"/>
              </w:rPr>
              <w:t>Solution formula</w:t>
            </w:r>
          </w:p>
        </w:tc>
        <w:tc>
          <w:tcPr>
            <w:tcW w:w="1801"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0.924</w:t>
            </w:r>
          </w:p>
        </w:tc>
        <w:tc>
          <w:tcPr>
            <w:tcW w:w="18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0.827</w:t>
            </w:r>
          </w:p>
        </w:tc>
        <w:tc>
          <w:tcPr>
            <w:tcW w:w="2225"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0.861</w:t>
            </w:r>
          </w:p>
        </w:tc>
      </w:tr>
      <w:tr>
        <w:trPr/>
        <w:tc>
          <w:tcPr>
            <w:tcW w:w="31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i/>
                <w:iCs/>
                <w:szCs w:val="24"/>
              </w:rPr>
              <w:t>Theory (PCI*PCE*PA)</w:t>
            </w:r>
          </w:p>
        </w:tc>
        <w:tc>
          <w:tcPr>
            <w:tcW w:w="1801"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0.939</w:t>
            </w:r>
          </w:p>
        </w:tc>
        <w:tc>
          <w:tcPr>
            <w:tcW w:w="18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0.796</w:t>
            </w:r>
          </w:p>
        </w:tc>
        <w:tc>
          <w:tcPr>
            <w:tcW w:w="2225"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0.885</w:t>
            </w:r>
          </w:p>
        </w:tc>
      </w:tr>
      <w:tr>
        <w:trPr/>
        <w:tc>
          <w:tcPr>
            <w:tcW w:w="3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b/>
                <w:bCs/>
                <w:i/>
                <w:iCs/>
                <w:szCs w:val="24"/>
              </w:rPr>
              <w:t>Theory Evaluation</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r>
          </w:p>
        </w:tc>
        <w:tc>
          <w:tcPr>
            <w:tcW w:w="2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r>
          </w:p>
        </w:tc>
      </w:tr>
      <w:tr>
        <w:trPr/>
        <w:tc>
          <w:tcPr>
            <w:tcW w:w="3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T*S (Covered Most Likely)</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0.940</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0.789</w:t>
            </w:r>
          </w:p>
        </w:tc>
        <w:tc>
          <w:tcPr>
            <w:tcW w:w="2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0.886</w:t>
            </w:r>
          </w:p>
        </w:tc>
      </w:tr>
      <w:tr>
        <w:trPr/>
        <w:tc>
          <w:tcPr>
            <w:tcW w:w="3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~T*S (Covered Least Likely)</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0.953</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0.518</w:t>
            </w:r>
          </w:p>
        </w:tc>
        <w:tc>
          <w:tcPr>
            <w:tcW w:w="2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0.830</w:t>
            </w:r>
          </w:p>
        </w:tc>
      </w:tr>
      <w:tr>
        <w:trPr/>
        <w:tc>
          <w:tcPr>
            <w:tcW w:w="31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T*~S (Uncovered Most Likely)</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0.966</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0.479</w:t>
            </w:r>
          </w:p>
        </w:tc>
        <w:tc>
          <w:tcPr>
            <w:tcW w:w="2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0.860</w:t>
            </w:r>
          </w:p>
        </w:tc>
      </w:tr>
      <w:tr>
        <w:trPr/>
        <w:tc>
          <w:tcPr>
            <w:tcW w:w="31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~T*~S (Uncovered Least Likely)</w:t>
            </w:r>
          </w:p>
        </w:tc>
        <w:tc>
          <w:tcPr>
            <w:tcW w:w="1801"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0.758</w:t>
            </w:r>
          </w:p>
        </w:tc>
        <w:tc>
          <w:tcPr>
            <w:tcW w:w="18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0.551</w:t>
            </w:r>
          </w:p>
        </w:tc>
        <w:tc>
          <w:tcPr>
            <w:tcW w:w="2225"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0.437</w:t>
            </w:r>
          </w:p>
        </w:tc>
      </w:tr>
    </w:tbl>
    <w:p>
      <w:pPr>
        <w:pStyle w:val="Normal"/>
        <w:spacing w:before="0" w:after="240"/>
        <w:jc w:val="both"/>
        <w:rPr>
          <w:rFonts w:ascii="Times New Roman" w:hAnsi="Times New Roman" w:cs="Times New Roman"/>
          <w:szCs w:val="24"/>
        </w:rPr>
      </w:pPr>
      <w:r>
        <w:rPr>
          <w:rFonts w:cs="Times New Roman" w:ascii="Times New Roman" w:hAnsi="Times New Roman"/>
          <w:i/>
          <w:iCs/>
          <w:szCs w:val="24"/>
        </w:rPr>
        <w:t xml:space="preserve">Note. </w:t>
      </w:r>
      <w:r>
        <w:rPr>
          <w:rFonts w:cs="Times New Roman" w:ascii="Times New Roman" w:hAnsi="Times New Roman"/>
          <w:szCs w:val="24"/>
        </w:rPr>
        <w:t>T = theory set (PCI*PCE*PA); S = solution set. T*S = cases covered by both theory and solution; ~T*S = cases covered by solution but not theory; T*~S = cases covered by theory but not solution; ~T*~S = cases covered by neither.</w:t>
      </w:r>
    </w:p>
    <w:p>
      <w:pPr>
        <w:pStyle w:val="Normal"/>
        <w:spacing w:lineRule="auto" w:line="360" w:before="0" w:after="360"/>
        <w:jc w:val="both"/>
        <w:rPr>
          <w:rFonts w:ascii="Times New Roman" w:hAnsi="Times New Roman" w:cs="Times New Roman"/>
          <w:szCs w:val="24"/>
        </w:rPr>
      </w:pPr>
      <w:r>
        <w:rPr>
          <w:rFonts w:cs="Times New Roman" w:ascii="Times New Roman" w:hAnsi="Times New Roman"/>
          <w:szCs w:val="24"/>
        </w:rPr>
        <w:t>The results indicate strong alignment between the empirical solution and the theoretical expectation. The theory–solution intersection (T*S) exhibits high consistency (0.940) and substantial coverage (0.789), confirming that the majority of high-engagement cases are captured by both the theoretical expectation and the empirical solution. Cases covered by the solution but outside the theory (~T*S: Cons. = 0.953, Cov. = 0.518) reflect empirical extensions with high consistency, suggesting that the solution identifies additional sufficient configurations not fully anticipated by the symbolic-meaning core alone. The residual space (~T*~S: Cons. = 0.758, Cov. = 0.551) exhibits notably lower consistency, reinforcing the discriminant validity of both theory and solution.</w:t>
      </w:r>
    </w:p>
    <w:p>
      <w:pPr>
        <w:pStyle w:val="Normal"/>
        <w:spacing w:before="0" w:after="120"/>
        <w:jc w:val="both"/>
        <w:rPr>
          <w:rFonts w:ascii="Times New Roman" w:hAnsi="Times New Roman" w:cs="Times New Roman"/>
          <w:szCs w:val="24"/>
        </w:rPr>
      </w:pPr>
      <w:r>
        <w:rPr>
          <w:rFonts w:cs="Times New Roman" w:ascii="Times New Roman" w:hAnsi="Times New Roman"/>
          <w:b/>
          <w:bCs/>
          <w:szCs w:val="24"/>
        </w:rPr>
        <w:t xml:space="preserve">Table A5. </w:t>
      </w:r>
      <w:r>
        <w:rPr>
          <w:rFonts w:cs="Times New Roman" w:ascii="Times New Roman" w:hAnsi="Times New Roman"/>
          <w:i/>
          <w:iCs/>
          <w:szCs w:val="24"/>
        </w:rPr>
        <w:t>Case Distribution Across Theory–Solution Quadrants (N = 340)</w:t>
      </w:r>
    </w:p>
    <w:tbl>
      <w:tblPr>
        <w:tblW w:w="9026" w:type="dxa"/>
        <w:jc w:val="left"/>
        <w:tblInd w:w="0" w:type="dxa"/>
        <w:tblLayout w:type="fixed"/>
        <w:tblCellMar>
          <w:top w:w="40" w:type="dxa"/>
          <w:left w:w="80" w:type="dxa"/>
          <w:bottom w:w="40" w:type="dxa"/>
          <w:right w:w="80" w:type="dxa"/>
        </w:tblCellMar>
        <w:tblLook w:firstRow="1" w:noVBand="1" w:lastRow="0" w:firstColumn="1" w:lastColumn="0" w:noHBand="0" w:val="04a0"/>
      </w:tblPr>
      <w:tblGrid>
        <w:gridCol w:w="3400"/>
        <w:gridCol w:w="1799"/>
        <w:gridCol w:w="1800"/>
        <w:gridCol w:w="2026"/>
      </w:tblGrid>
      <w:tr>
        <w:trPr/>
        <w:tc>
          <w:tcPr>
            <w:tcW w:w="340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Case Category</w:t>
            </w:r>
          </w:p>
        </w:tc>
        <w:tc>
          <w:tcPr>
            <w:tcW w:w="1799"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 of Total</w:t>
            </w:r>
          </w:p>
        </w:tc>
        <w:tc>
          <w:tcPr>
            <w:tcW w:w="1800"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 of Subset</w:t>
            </w:r>
          </w:p>
        </w:tc>
        <w:tc>
          <w:tcPr>
            <w:tcW w:w="2026" w:type="dxa"/>
            <w:tcBorders>
              <w:top w:val="single" w:sz="2"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b/>
                <w:bCs/>
                <w:szCs w:val="24"/>
              </w:rPr>
              <w:t>n</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Covered Most Likely (T*S, Y &gt; 0.5)</w:t>
            </w:r>
          </w:p>
        </w:tc>
        <w:tc>
          <w:tcPr>
            <w:tcW w:w="1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52.35%</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72.65%</w:t>
            </w:r>
          </w:p>
        </w:tc>
        <w:tc>
          <w:tcPr>
            <w:tcW w:w="2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178</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Covered Least Likely (~T*S, Y &gt; 0.5)</w:t>
            </w:r>
          </w:p>
        </w:tc>
        <w:tc>
          <w:tcPr>
            <w:tcW w:w="1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5.59%</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7.76%</w:t>
            </w:r>
          </w:p>
        </w:tc>
        <w:tc>
          <w:tcPr>
            <w:tcW w:w="2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19</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Uncovered Most Likely (T*~S, Y &gt; 0.5)</w:t>
            </w:r>
          </w:p>
        </w:tc>
        <w:tc>
          <w:tcPr>
            <w:tcW w:w="1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0.88%</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1.22%</w:t>
            </w:r>
          </w:p>
        </w:tc>
        <w:tc>
          <w:tcPr>
            <w:tcW w:w="2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3</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Uncovered Least Likely (~T*~S, Y &gt; 0.5)</w:t>
            </w:r>
          </w:p>
        </w:tc>
        <w:tc>
          <w:tcPr>
            <w:tcW w:w="1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13.24%</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18.37%</w:t>
            </w:r>
          </w:p>
        </w:tc>
        <w:tc>
          <w:tcPr>
            <w:tcW w:w="2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45</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Inconsistent Most Likely (T*S, Y &lt; 0.5)</w:t>
            </w:r>
          </w:p>
        </w:tc>
        <w:tc>
          <w:tcPr>
            <w:tcW w:w="1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0.00%</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0.00%</w:t>
            </w:r>
          </w:p>
        </w:tc>
        <w:tc>
          <w:tcPr>
            <w:tcW w:w="2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Inconsistent Least Likely (~T*S, Y &lt; 0.5)</w:t>
            </w:r>
          </w:p>
        </w:tc>
        <w:tc>
          <w:tcPr>
            <w:tcW w:w="1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1.47%</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5.26%</w:t>
            </w:r>
          </w:p>
        </w:tc>
        <w:tc>
          <w:tcPr>
            <w:tcW w:w="2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5</w:t>
            </w:r>
          </w:p>
        </w:tc>
      </w:tr>
      <w:tr>
        <w:trPr/>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Consistent Most Likely (T*~S, Y &lt; 0.5)</w:t>
            </w:r>
          </w:p>
        </w:tc>
        <w:tc>
          <w:tcPr>
            <w:tcW w:w="179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0.29%</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1.05%</w:t>
            </w:r>
          </w:p>
        </w:tc>
        <w:tc>
          <w:tcPr>
            <w:tcW w:w="202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1</w:t>
            </w:r>
          </w:p>
        </w:tc>
      </w:tr>
      <w:tr>
        <w:trPr/>
        <w:tc>
          <w:tcPr>
            <w:tcW w:w="34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rPr>
                <w:rFonts w:ascii="Times New Roman" w:hAnsi="Times New Roman" w:cs="Times New Roman"/>
                <w:szCs w:val="24"/>
              </w:rPr>
            </w:pPr>
            <w:r>
              <w:rPr>
                <w:rFonts w:cs="Times New Roman" w:ascii="Times New Roman" w:hAnsi="Times New Roman"/>
                <w:szCs w:val="24"/>
              </w:rPr>
              <w:t>Consistent Least Likely (~T*~S, Y &lt; 0.5)</w:t>
            </w:r>
          </w:p>
        </w:tc>
        <w:tc>
          <w:tcPr>
            <w:tcW w:w="1799"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20.29%</w:t>
            </w:r>
          </w:p>
        </w:tc>
        <w:tc>
          <w:tcPr>
            <w:tcW w:w="1800"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72.63%</w:t>
            </w:r>
          </w:p>
        </w:tc>
        <w:tc>
          <w:tcPr>
            <w:tcW w:w="2026" w:type="dxa"/>
            <w:tcBorders>
              <w:top w:val="single" w:sz="4" w:space="0" w:color="000000"/>
              <w:left w:val="single" w:sz="4" w:space="0" w:color="000000"/>
              <w:bottom w:val="single" w:sz="2" w:space="0" w:color="000000"/>
              <w:right w:val="single" w:sz="4" w:space="0" w:color="000000"/>
            </w:tcBorders>
          </w:tcPr>
          <w:p>
            <w:pPr>
              <w:pStyle w:val="Normal"/>
              <w:widowControl w:val="false"/>
              <w:spacing w:before="0" w:after="160"/>
              <w:jc w:val="center"/>
              <w:rPr>
                <w:rFonts w:ascii="Times New Roman" w:hAnsi="Times New Roman" w:cs="Times New Roman"/>
                <w:szCs w:val="24"/>
              </w:rPr>
            </w:pPr>
            <w:r>
              <w:rPr>
                <w:rFonts w:cs="Times New Roman" w:ascii="Times New Roman" w:hAnsi="Times New Roman"/>
                <w:szCs w:val="24"/>
              </w:rPr>
              <w:t>69</w:t>
            </w:r>
          </w:p>
        </w:tc>
      </w:tr>
    </w:tbl>
    <w:p>
      <w:pPr>
        <w:pStyle w:val="Normal"/>
        <w:spacing w:before="0" w:after="240"/>
        <w:jc w:val="both"/>
        <w:rPr>
          <w:rFonts w:ascii="Times New Roman" w:hAnsi="Times New Roman" w:cs="Times New Roman"/>
          <w:szCs w:val="24"/>
        </w:rPr>
      </w:pPr>
      <w:r>
        <w:rPr>
          <w:rFonts w:cs="Times New Roman" w:ascii="Times New Roman" w:hAnsi="Times New Roman"/>
          <w:i/>
          <w:iCs/>
          <w:szCs w:val="24"/>
        </w:rPr>
        <w:t xml:space="preserve">Note. </w:t>
      </w:r>
      <w:r>
        <w:rPr>
          <w:rFonts w:cs="Times New Roman" w:ascii="Times New Roman" w:hAnsi="Times New Roman"/>
          <w:szCs w:val="24"/>
        </w:rPr>
        <w:t xml:space="preserve">T = theory set; S = solution set; Y = fuzzy membership in the outcome (ENG). Subset column reports percentage within the relevant outcome group (Y &gt; 0.5: </w:t>
      </w:r>
      <w:r>
        <w:rPr>
          <w:rFonts w:cs="Times New Roman" w:ascii="Times New Roman" w:hAnsi="Times New Roman"/>
          <w:i/>
          <w:iCs/>
          <w:szCs w:val="24"/>
        </w:rPr>
        <w:t>n</w:t>
      </w:r>
      <w:r>
        <w:rPr>
          <w:rFonts w:cs="Times New Roman" w:ascii="Times New Roman" w:hAnsi="Times New Roman"/>
          <w:szCs w:val="24"/>
        </w:rPr>
        <w:t xml:space="preserve"> = 245; Y &lt; 0.5: </w:t>
      </w:r>
      <w:r>
        <w:rPr>
          <w:rFonts w:cs="Times New Roman" w:ascii="Times New Roman" w:hAnsi="Times New Roman"/>
          <w:i/>
          <w:iCs/>
          <w:szCs w:val="24"/>
        </w:rPr>
        <w:t>n</w:t>
      </w:r>
      <w:r>
        <w:rPr>
          <w:rFonts w:cs="Times New Roman" w:ascii="Times New Roman" w:hAnsi="Times New Roman"/>
          <w:szCs w:val="24"/>
        </w:rPr>
        <w:t xml:space="preserve"> = 95). Cases at fuzzy membership = 0.50 were excluded prior to analysis.</w:t>
      </w:r>
    </w:p>
    <w:p>
      <w:pPr>
        <w:pStyle w:val="Normal"/>
        <w:spacing w:lineRule="auto" w:line="360" w:before="0" w:after="360"/>
        <w:jc w:val="both"/>
        <w:rPr>
          <w:rFonts w:ascii="Times New Roman" w:hAnsi="Times New Roman" w:cs="Times New Roman"/>
          <w:szCs w:val="24"/>
        </w:rPr>
      </w:pPr>
      <w:r>
        <w:rPr>
          <w:rFonts w:cs="Times New Roman" w:ascii="Times New Roman" w:hAnsi="Times New Roman"/>
          <w:szCs w:val="24"/>
        </w:rPr>
        <w:t>The case distribution provides additional diagnostic evidence. The largest positive-outcome category, Covered Most Likely (T*S, Y &gt; 0.5), encompasses 72.65% of high-engagement cases, indicating that the theory–solution intersection captures the substantial majority. The Inconsistent Most Likely category (T*S, Y &lt; 0.5) contains zero cases, meaning no observations within the core theory–solution space contradict the sufficiency claim. The Consistent Least Likely category (~T*~S, Y &lt; 0.5) accounts for 72.63% of negative-outcome cases, reinforcing the discriminant validity of the configurational model: cases outside both the theoretical and empirical solution spaces are overwhelmingly associated with low engagement.</w:t>
      </w:r>
    </w:p>
    <w:p>
      <w:pPr>
        <w:pStyle w:val="Normal"/>
        <w:rPr>
          <w:rFonts w:ascii="Times New Roman" w:hAnsi="Times New Roman" w:cs="Times New Roman"/>
          <w:szCs w:val="24"/>
        </w:rPr>
      </w:pPr>
      <w:r>
        <w:rPr>
          <w:rFonts w:cs="Times New Roman" w:ascii="Times New Roman" w:hAnsi="Times New Roman"/>
          <w:szCs w:val="24"/>
        </w:rPr>
      </w:r>
      <w:r>
        <w:br w:type="page"/>
      </w:r>
    </w:p>
    <w:p>
      <w:pPr>
        <w:pStyle w:val="Normal"/>
        <w:spacing w:lineRule="auto" w:line="360" w:before="240" w:after="120"/>
        <w:jc w:val="both"/>
        <w:rPr>
          <w:rFonts w:ascii="Times New Roman" w:hAnsi="Times New Roman" w:cs="Times New Roman"/>
          <w:szCs w:val="24"/>
        </w:rPr>
      </w:pPr>
      <w:r>
        <w:rPr>
          <w:rFonts w:cs="Times New Roman" w:ascii="Times New Roman" w:hAnsi="Times New Roman"/>
          <w:b/>
          <w:bCs/>
          <w:szCs w:val="24"/>
        </w:rPr>
        <w:t>A5. Robustness: Alternative Minimization (C1P2–C1P5)</w:t>
      </w:r>
    </w:p>
    <w:p>
      <w:pPr>
        <w:pStyle w:val="Normal"/>
        <w:spacing w:lineRule="auto" w:line="360"/>
        <w:jc w:val="both"/>
        <w:rPr>
          <w:rFonts w:ascii="Times New Roman" w:hAnsi="Times New Roman" w:cs="Times New Roman"/>
          <w:szCs w:val="24"/>
        </w:rPr>
      </w:pPr>
      <w:r>
        <w:rPr>
          <w:rFonts w:cs="Times New Roman" w:ascii="Times New Roman" w:hAnsi="Times New Roman"/>
          <w:szCs w:val="24"/>
        </w:rPr>
        <w:t>Alternative minimization paths (C1P2 through C1P5) yielded a consistent variant solution:</w:t>
      </w:r>
    </w:p>
    <w:p>
      <w:pPr>
        <w:pStyle w:val="Normal"/>
        <w:spacing w:lineRule="auto" w:line="360" w:before="0" w:after="200"/>
        <w:jc w:val="center"/>
        <w:rPr>
          <w:rFonts w:ascii="Times New Roman" w:hAnsi="Times New Roman" w:cs="Times New Roman"/>
          <w:szCs w:val="24"/>
        </w:rPr>
      </w:pPr>
      <w:r>
        <w:rPr>
          <w:rFonts w:cs="Times New Roman" w:ascii="Times New Roman" w:hAnsi="Times New Roman"/>
          <w:b/>
          <w:bCs/>
          <w:szCs w:val="24"/>
        </w:rPr>
        <w:t>M1: PA*PCE*TIP*PF + PRA*PA*PCE*PCI*~TIP + PRA*PA*PCI*TIP*PF → ENG</w:t>
      </w:r>
    </w:p>
    <w:p>
      <w:pPr>
        <w:pStyle w:val="Normal"/>
        <w:spacing w:lineRule="auto" w:line="360" w:before="0" w:after="200"/>
        <w:jc w:val="both"/>
        <w:rPr>
          <w:rFonts w:ascii="Times New Roman" w:hAnsi="Times New Roman" w:cs="Times New Roman"/>
          <w:szCs w:val="24"/>
        </w:rPr>
      </w:pPr>
      <w:r>
        <w:rPr>
          <w:rFonts w:cs="Times New Roman" w:ascii="Times New Roman" w:hAnsi="Times New Roman"/>
          <w:szCs w:val="24"/>
        </w:rPr>
        <w:t xml:space="preserve">This alternative retains two of the three original pathways (PA*PCE*TIP*PF and PRA*PA*PCI*TIP*PF) and replaces the first configuration with a more restrictive variant (PRA*PA*PCE*PCI*~TIP), which specifies the </w:t>
      </w:r>
      <w:r>
        <w:rPr>
          <w:rFonts w:cs="Times New Roman" w:ascii="Times New Roman" w:hAnsi="Times New Roman"/>
          <w:i/>
          <w:iCs/>
          <w:szCs w:val="24"/>
        </w:rPr>
        <w:t>absence</w:t>
      </w:r>
      <w:r>
        <w:rPr>
          <w:rFonts w:cs="Times New Roman" w:ascii="Times New Roman" w:hAnsi="Times New Roman"/>
          <w:szCs w:val="24"/>
        </w:rPr>
        <w:t xml:space="preserve"> of high tourism incentive perception as a boundary condition. Solution parameters remain comparable (Cons. = 0.927, Cov. = 0.803, PRI = 0.863). The pathway PRA*PA*PCE*PCI*~TIP exhibits the highest individual consistency (0.983) but limited coverage (0.447), identifying a niche configuration in which full symbolic alignment compensates for low tourism incentive salience.</w:t>
      </w:r>
    </w:p>
    <w:p>
      <w:pPr>
        <w:pStyle w:val="Normal"/>
        <w:spacing w:lineRule="auto" w:line="360" w:before="0" w:after="360"/>
        <w:jc w:val="both"/>
        <w:rPr>
          <w:rFonts w:ascii="Times New Roman" w:hAnsi="Times New Roman" w:cs="Times New Roman"/>
          <w:szCs w:val="24"/>
        </w:rPr>
      </w:pPr>
      <w:r>
        <w:rPr>
          <w:rFonts w:cs="Times New Roman" w:ascii="Times New Roman" w:hAnsi="Times New Roman"/>
          <w:szCs w:val="24"/>
        </w:rPr>
        <w:t>Formal tests across C1P2–C1P5 produced identical results, with theory–solution intersection consistency of 0.944 and coverage of 0.765. These results confirm the stability of the configurational solution across alternative minimization strategies and reinforce the equifinality interpretation central to PSCI Proposition 4.</w:t>
      </w:r>
    </w:p>
    <w:p>
      <w:pPr>
        <w:pStyle w:val="Normal"/>
        <w:spacing w:lineRule="auto" w:line="240" w:before="0" w:after="0"/>
        <w:jc w:val="left"/>
        <w:rPr>
          <w:rFonts w:ascii="Times New Roman" w:hAnsi="Times New Roman" w:cs="Times New Roman"/>
          <w:color w:val="000000" w:themeColor="text1"/>
          <w:szCs w:val="24"/>
        </w:rPr>
      </w:pPr>
      <w:r>
        <w:rPr/>
      </w:r>
    </w:p>
    <w:sectPr>
      <w:footerReference w:type="even" r:id="rId2"/>
      <w:footerReference w:type="default" r:id="rId3"/>
      <w:footerReference w:type="first" r:id="rId4"/>
      <w:type w:val="nextPage"/>
      <w:pgSz w:w="12240" w:h="15840"/>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69180594"/>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pPr>
      <w:pStyle w:val="Footer"/>
      <w:ind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33096130"/>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p>
    <w:pPr>
      <w:pStyle w:val="Footer"/>
      <w:ind w:right="360" w:hanging="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6432910"/>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p>
    <w:pPr>
      <w:pStyle w:val="Footer"/>
      <w:ind w:right="360" w:hanging="0"/>
      <w:rPr/>
    </w:pPr>
    <w:r>
      <w:rPr/>
    </w:r>
  </w:p>
</w:ftr>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TH" w:eastAsia="" w:bidi="th-TH"/>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Cordia New" w:asciiTheme="minorHAnsi" w:cstheme="minorBidi" w:eastAsiaTheme="minorHAnsi" w:hAnsiTheme="minorHAnsi"/>
        <w:kern w:val="2"/>
        <w:sz w:val="24"/>
        <w:szCs w:val="30"/>
        <w:lang w:val="en-TH" w:eastAsia="en-US" w:bidi="th-TH"/>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cs="Angsana New" w:ascii="Aptos" w:hAnsi="Aptos" w:eastAsia="Aptos" w:asciiTheme="minorHAnsi" w:eastAsiaTheme="minorHAnsi" w:hAnsiTheme="minorHAnsi"/>
      <w:color w:val="auto"/>
      <w:kern w:val="2"/>
      <w:sz w:val="24"/>
      <w:szCs w:val="30"/>
      <w:lang w:val="en-TH" w:eastAsia="en-US" w:bidi="th-TH"/>
      <w14:ligatures w14:val="standardContextual"/>
    </w:rPr>
  </w:style>
  <w:style w:type="paragraph" w:styleId="Heading1">
    <w:name w:val="Heading 1"/>
    <w:basedOn w:val="Normal"/>
    <w:next w:val="Normal"/>
    <w:link w:val="Heading1Char"/>
    <w:uiPriority w:val="9"/>
    <w:qFormat/>
    <w:rsid w:val="00f0026c"/>
    <w:pPr>
      <w:keepNext w:val="true"/>
      <w:keepLines/>
      <w:spacing w:before="360" w:after="80"/>
      <w:outlineLvl w:val="0"/>
    </w:pPr>
    <w:rPr>
      <w:rFonts w:ascii="Aptos Display" w:hAnsi="Aptos Display" w:eastAsia="" w:cs="Angsana New" w:asciiTheme="majorHAnsi" w:cstheme="majorBidi" w:eastAsiaTheme="majorEastAsia" w:hAnsiTheme="majorHAnsi"/>
      <w:color w:val="0F4761" w:themeColor="accent1" w:themeShade="bf"/>
      <w:sz w:val="40"/>
      <w:szCs w:val="50"/>
    </w:rPr>
  </w:style>
  <w:style w:type="paragraph" w:styleId="Heading2">
    <w:name w:val="Heading 2"/>
    <w:basedOn w:val="Normal"/>
    <w:next w:val="Normal"/>
    <w:link w:val="Heading2Char"/>
    <w:uiPriority w:val="9"/>
    <w:semiHidden/>
    <w:unhideWhenUsed/>
    <w:qFormat/>
    <w:rsid w:val="00f0026c"/>
    <w:pPr>
      <w:keepNext w:val="true"/>
      <w:keepLines/>
      <w:spacing w:before="160" w:after="80"/>
      <w:outlineLvl w:val="1"/>
    </w:pPr>
    <w:rPr>
      <w:rFonts w:ascii="Aptos Display" w:hAnsi="Aptos Display" w:eastAsia="" w:cs="Angsana New" w:asciiTheme="majorHAnsi" w:cstheme="majorBidi" w:eastAsiaTheme="majorEastAsia" w:hAnsiTheme="majorHAnsi"/>
      <w:color w:val="0F4761" w:themeColor="accent1" w:themeShade="bf"/>
      <w:sz w:val="32"/>
      <w:szCs w:val="40"/>
    </w:rPr>
  </w:style>
  <w:style w:type="paragraph" w:styleId="Heading3">
    <w:name w:val="Heading 3"/>
    <w:basedOn w:val="Normal"/>
    <w:next w:val="Normal"/>
    <w:link w:val="Heading3Char"/>
    <w:uiPriority w:val="9"/>
    <w:semiHidden/>
    <w:unhideWhenUsed/>
    <w:qFormat/>
    <w:rsid w:val="00f0026c"/>
    <w:pPr>
      <w:keepNext w:val="true"/>
      <w:keepLines/>
      <w:spacing w:before="160" w:after="80"/>
      <w:outlineLvl w:val="2"/>
    </w:pPr>
    <w:rPr>
      <w:rFonts w:eastAsia="" w:cs="Angsana New" w:cstheme="majorBidi" w:eastAsiaTheme="majorEastAsia"/>
      <w:color w:val="0F4761" w:themeColor="accent1" w:themeShade="bf"/>
      <w:sz w:val="28"/>
      <w:szCs w:val="35"/>
    </w:rPr>
  </w:style>
  <w:style w:type="paragraph" w:styleId="Heading4">
    <w:name w:val="Heading 4"/>
    <w:basedOn w:val="Normal"/>
    <w:next w:val="Normal"/>
    <w:link w:val="Heading4Char"/>
    <w:uiPriority w:val="9"/>
    <w:unhideWhenUsed/>
    <w:qFormat/>
    <w:rsid w:val="00f0026c"/>
    <w:pPr>
      <w:keepNext w:val="true"/>
      <w:keepLines/>
      <w:spacing w:before="80" w:after="40"/>
      <w:outlineLvl w:val="3"/>
    </w:pPr>
    <w:rPr>
      <w:rFonts w:eastAsia="" w:cs="Angsana New" w:cstheme="majorBidi"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f0026c"/>
    <w:pPr>
      <w:keepNext w:val="true"/>
      <w:keepLines/>
      <w:spacing w:before="80" w:after="40"/>
      <w:outlineLvl w:val="4"/>
    </w:pPr>
    <w:rPr>
      <w:rFonts w:eastAsia="" w:cs="Angsana New" w:cstheme="majorBidi" w:eastAsiaTheme="majorEastAsia"/>
      <w:color w:val="0F4761" w:themeColor="accent1" w:themeShade="bf"/>
    </w:rPr>
  </w:style>
  <w:style w:type="paragraph" w:styleId="Heading6">
    <w:name w:val="Heading 6"/>
    <w:basedOn w:val="Normal"/>
    <w:next w:val="Normal"/>
    <w:link w:val="Heading6Char"/>
    <w:uiPriority w:val="9"/>
    <w:semiHidden/>
    <w:unhideWhenUsed/>
    <w:qFormat/>
    <w:rsid w:val="00f0026c"/>
    <w:pPr>
      <w:keepNext w:val="true"/>
      <w:keepLines/>
      <w:spacing w:before="40" w:after="0"/>
      <w:outlineLvl w:val="5"/>
    </w:pPr>
    <w:rPr>
      <w:rFonts w:eastAsia="" w:cs="Angsana New"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f0026c"/>
    <w:pPr>
      <w:keepNext w:val="true"/>
      <w:keepLines/>
      <w:spacing w:before="40" w:after="0"/>
      <w:outlineLvl w:val="6"/>
    </w:pPr>
    <w:rPr>
      <w:rFonts w:eastAsia="" w:cs="Angsana New"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f0026c"/>
    <w:pPr>
      <w:keepNext w:val="true"/>
      <w:keepLines/>
      <w:spacing w:before="0" w:after="0"/>
      <w:outlineLvl w:val="7"/>
    </w:pPr>
    <w:rPr>
      <w:rFonts w:eastAsia="" w:cs="Angsana New"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f0026c"/>
    <w:pPr>
      <w:keepNext w:val="true"/>
      <w:keepLines/>
      <w:spacing w:before="0" w:after="0"/>
      <w:outlineLvl w:val="8"/>
    </w:pPr>
    <w:rPr>
      <w:rFonts w:eastAsia="" w:cs="Angsana New"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0026c"/>
    <w:rPr>
      <w:rFonts w:ascii="Aptos Display" w:hAnsi="Aptos Display" w:eastAsia="" w:cs="Angsana New" w:asciiTheme="majorHAnsi" w:cstheme="majorBidi" w:eastAsiaTheme="majorEastAsia" w:hAnsiTheme="majorHAnsi"/>
      <w:color w:val="0F4761" w:themeColor="accent1" w:themeShade="bf"/>
      <w:sz w:val="40"/>
      <w:szCs w:val="50"/>
    </w:rPr>
  </w:style>
  <w:style w:type="character" w:styleId="Heading2Char" w:customStyle="1">
    <w:name w:val="Heading 2 Char"/>
    <w:basedOn w:val="DefaultParagraphFont"/>
    <w:link w:val="Heading2"/>
    <w:uiPriority w:val="9"/>
    <w:semiHidden/>
    <w:qFormat/>
    <w:rsid w:val="00f0026c"/>
    <w:rPr>
      <w:rFonts w:ascii="Aptos Display" w:hAnsi="Aptos Display" w:eastAsia="" w:cs="Angsana New" w:asciiTheme="majorHAnsi" w:cstheme="majorBidi" w:eastAsiaTheme="majorEastAsia" w:hAnsiTheme="majorHAnsi"/>
      <w:color w:val="0F4761" w:themeColor="accent1" w:themeShade="bf"/>
      <w:sz w:val="32"/>
      <w:szCs w:val="40"/>
    </w:rPr>
  </w:style>
  <w:style w:type="character" w:styleId="Heading3Char" w:customStyle="1">
    <w:name w:val="Heading 3 Char"/>
    <w:basedOn w:val="DefaultParagraphFont"/>
    <w:link w:val="Heading3"/>
    <w:uiPriority w:val="9"/>
    <w:semiHidden/>
    <w:qFormat/>
    <w:rsid w:val="00f0026c"/>
    <w:rPr>
      <w:rFonts w:eastAsia="" w:cs="Angsana New" w:cstheme="majorBidi" w:eastAsiaTheme="majorEastAsia"/>
      <w:color w:val="0F4761" w:themeColor="accent1" w:themeShade="bf"/>
      <w:sz w:val="28"/>
      <w:szCs w:val="35"/>
    </w:rPr>
  </w:style>
  <w:style w:type="character" w:styleId="Heading4Char" w:customStyle="1">
    <w:name w:val="Heading 4 Char"/>
    <w:basedOn w:val="DefaultParagraphFont"/>
    <w:link w:val="Heading4"/>
    <w:uiPriority w:val="9"/>
    <w:qFormat/>
    <w:rsid w:val="00f0026c"/>
    <w:rPr>
      <w:rFonts w:eastAsia="" w:cs="Angsana New" w:cstheme="majorBidi" w:eastAsiaTheme="majorEastAsia"/>
      <w:i/>
      <w:iCs/>
      <w:color w:val="0F4761" w:themeColor="accent1" w:themeShade="bf"/>
    </w:rPr>
  </w:style>
  <w:style w:type="character" w:styleId="Heading5Char" w:customStyle="1">
    <w:name w:val="Heading 5 Char"/>
    <w:basedOn w:val="DefaultParagraphFont"/>
    <w:link w:val="Heading5"/>
    <w:uiPriority w:val="9"/>
    <w:semiHidden/>
    <w:qFormat/>
    <w:rsid w:val="00f0026c"/>
    <w:rPr>
      <w:rFonts w:eastAsia="" w:cs="Angsana New" w:cstheme="majorBidi" w:eastAsiaTheme="majorEastAsia"/>
      <w:color w:val="0F4761" w:themeColor="accent1" w:themeShade="bf"/>
    </w:rPr>
  </w:style>
  <w:style w:type="character" w:styleId="Heading6Char" w:customStyle="1">
    <w:name w:val="Heading 6 Char"/>
    <w:basedOn w:val="DefaultParagraphFont"/>
    <w:link w:val="Heading6"/>
    <w:uiPriority w:val="9"/>
    <w:semiHidden/>
    <w:qFormat/>
    <w:rsid w:val="00f0026c"/>
    <w:rPr>
      <w:rFonts w:eastAsia="" w:cs="Angsana New"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f0026c"/>
    <w:rPr>
      <w:rFonts w:eastAsia="" w:cs="Angsana New"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f0026c"/>
    <w:rPr>
      <w:rFonts w:eastAsia="" w:cs="Angsana New"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f0026c"/>
    <w:rPr>
      <w:rFonts w:eastAsia="" w:cs="Angsana New" w:cstheme="majorBidi" w:eastAsiaTheme="majorEastAsia"/>
      <w:color w:val="272727" w:themeColor="text1" w:themeTint="d8"/>
    </w:rPr>
  </w:style>
  <w:style w:type="character" w:styleId="TitleChar" w:customStyle="1">
    <w:name w:val="Title Char"/>
    <w:basedOn w:val="DefaultParagraphFont"/>
    <w:link w:val="Title"/>
    <w:uiPriority w:val="10"/>
    <w:qFormat/>
    <w:rsid w:val="00f0026c"/>
    <w:rPr>
      <w:rFonts w:ascii="Aptos Display" w:hAnsi="Aptos Display" w:eastAsia="" w:cs="Angsana New" w:asciiTheme="majorHAnsi" w:cstheme="majorBidi" w:eastAsiaTheme="majorEastAsia" w:hAnsiTheme="majorHAnsi"/>
      <w:spacing w:val="-10"/>
      <w:kern w:val="2"/>
      <w:sz w:val="56"/>
      <w:szCs w:val="71"/>
    </w:rPr>
  </w:style>
  <w:style w:type="character" w:styleId="SubtitleChar" w:customStyle="1">
    <w:name w:val="Subtitle Char"/>
    <w:basedOn w:val="DefaultParagraphFont"/>
    <w:link w:val="Subtitle"/>
    <w:uiPriority w:val="11"/>
    <w:qFormat/>
    <w:rsid w:val="00f0026c"/>
    <w:rPr>
      <w:rFonts w:eastAsia="" w:cs="Angsana New" w:cstheme="majorBidi" w:eastAsiaTheme="majorEastAsia"/>
      <w:color w:val="595959" w:themeColor="text1" w:themeTint="a6"/>
      <w:spacing w:val="15"/>
      <w:sz w:val="28"/>
      <w:szCs w:val="35"/>
    </w:rPr>
  </w:style>
  <w:style w:type="character" w:styleId="QuoteChar" w:customStyle="1">
    <w:name w:val="Quote Char"/>
    <w:basedOn w:val="DefaultParagraphFont"/>
    <w:link w:val="Quote"/>
    <w:uiPriority w:val="29"/>
    <w:qFormat/>
    <w:rsid w:val="00f0026c"/>
    <w:rPr>
      <w:rFonts w:cs="Angsana New"/>
      <w:i/>
      <w:iCs/>
      <w:color w:val="404040" w:themeColor="text1" w:themeTint="bf"/>
    </w:rPr>
  </w:style>
  <w:style w:type="character" w:styleId="IntenseEmphasis">
    <w:name w:val="Intense Emphasis"/>
    <w:basedOn w:val="DefaultParagraphFont"/>
    <w:uiPriority w:val="21"/>
    <w:qFormat/>
    <w:rsid w:val="00f0026c"/>
    <w:rPr>
      <w:i/>
      <w:iCs/>
      <w:color w:val="0F4761" w:themeColor="accent1" w:themeShade="bf"/>
    </w:rPr>
  </w:style>
  <w:style w:type="character" w:styleId="IntenseQuoteChar" w:customStyle="1">
    <w:name w:val="Intense Quote Char"/>
    <w:basedOn w:val="DefaultParagraphFont"/>
    <w:link w:val="IntenseQuote"/>
    <w:uiPriority w:val="30"/>
    <w:qFormat/>
    <w:rsid w:val="00f0026c"/>
    <w:rPr>
      <w:rFonts w:cs="Angsana New"/>
      <w:i/>
      <w:iCs/>
      <w:color w:val="0F4761" w:themeColor="accent1" w:themeShade="bf"/>
    </w:rPr>
  </w:style>
  <w:style w:type="character" w:styleId="IntenseReference">
    <w:name w:val="Intense Reference"/>
    <w:basedOn w:val="DefaultParagraphFont"/>
    <w:uiPriority w:val="32"/>
    <w:qFormat/>
    <w:rsid w:val="00f0026c"/>
    <w:rPr>
      <w:b/>
      <w:bCs/>
      <w:smallCaps/>
      <w:color w:val="0F4761" w:themeColor="accent1" w:themeShade="bf"/>
      <w:spacing w:val="5"/>
    </w:rPr>
  </w:style>
  <w:style w:type="character" w:styleId="Strong">
    <w:name w:val="Strong"/>
    <w:basedOn w:val="DefaultParagraphFont"/>
    <w:uiPriority w:val="22"/>
    <w:qFormat/>
    <w:rsid w:val="00f0026c"/>
    <w:rPr>
      <w:b/>
      <w:bCs/>
    </w:rPr>
  </w:style>
  <w:style w:type="character" w:styleId="Emphasis">
    <w:name w:val="Emphasis"/>
    <w:basedOn w:val="DefaultParagraphFont"/>
    <w:uiPriority w:val="20"/>
    <w:qFormat/>
    <w:rsid w:val="00f0026c"/>
    <w:rPr>
      <w:i/>
      <w:iCs/>
    </w:rPr>
  </w:style>
  <w:style w:type="character" w:styleId="Apple-converted-space" w:customStyle="1">
    <w:name w:val="apple-converted-space"/>
    <w:basedOn w:val="DefaultParagraphFont"/>
    <w:qFormat/>
    <w:rsid w:val="00f0026c"/>
    <w:rPr/>
  </w:style>
  <w:style w:type="character" w:styleId="FooterChar" w:customStyle="1">
    <w:name w:val="Footer Char"/>
    <w:basedOn w:val="DefaultParagraphFont"/>
    <w:link w:val="Footer"/>
    <w:uiPriority w:val="99"/>
    <w:qFormat/>
    <w:rsid w:val="00be40e4"/>
    <w:rPr>
      <w:rFonts w:cs="Angsana New"/>
    </w:rPr>
  </w:style>
  <w:style w:type="character" w:styleId="Pagenumber">
    <w:name w:val="page number"/>
    <w:basedOn w:val="DefaultParagraphFont"/>
    <w:uiPriority w:val="99"/>
    <w:semiHidden/>
    <w:unhideWhenUsed/>
    <w:qFormat/>
    <w:rsid w:val="00be40e4"/>
    <w:rPr/>
  </w:style>
  <w:style w:type="character" w:styleId="EndNoteBibliographyTitleChar" w:customStyle="1">
    <w:name w:val="EndNote Bibliography Title Char"/>
    <w:basedOn w:val="DefaultParagraphFont"/>
    <w:link w:val="EndNoteBibliographyTitle"/>
    <w:qFormat/>
    <w:rsid w:val="00951884"/>
    <w:rPr>
      <w:rFonts w:ascii="Aptos" w:hAnsi="Aptos" w:cs="Angsana New"/>
      <w:lang w:val="en-US"/>
    </w:rPr>
  </w:style>
  <w:style w:type="character" w:styleId="EndNoteBibliographyChar" w:customStyle="1">
    <w:name w:val="EndNote Bibliography Char"/>
    <w:basedOn w:val="DefaultParagraphFont"/>
    <w:link w:val="EndNoteBibliography"/>
    <w:qFormat/>
    <w:rsid w:val="00951884"/>
    <w:rPr>
      <w:rFonts w:ascii="Aptos" w:hAnsi="Aptos" w:cs="Angsana New"/>
      <w:lang w:val="en-US"/>
    </w:rPr>
  </w:style>
  <w:style w:type="character" w:styleId="InternetLink">
    <w:name w:val="Hyperlink"/>
    <w:basedOn w:val="DefaultParagraphFont"/>
    <w:uiPriority w:val="99"/>
    <w:unhideWhenUsed/>
    <w:rsid w:val="00951884"/>
    <w:rPr>
      <w:color w:val="467886" w:themeColor="hyperlink"/>
      <w:u w:val="single"/>
    </w:rPr>
  </w:style>
  <w:style w:type="character" w:styleId="UnresolvedMention1" w:customStyle="1">
    <w:name w:val="Unresolved Mention1"/>
    <w:basedOn w:val="DefaultParagraphFont"/>
    <w:uiPriority w:val="99"/>
    <w:semiHidden/>
    <w:unhideWhenUsed/>
    <w:qFormat/>
    <w:rsid w:val="00951884"/>
    <w:rPr>
      <w:color w:val="605E5C"/>
      <w:shd w:fill="E1DFDD" w:val="clear"/>
    </w:rPr>
  </w:style>
  <w:style w:type="character" w:styleId="UnresolvedMention">
    <w:name w:val="Unresolved Mention"/>
    <w:basedOn w:val="DefaultParagraphFont"/>
    <w:uiPriority w:val="99"/>
    <w:semiHidden/>
    <w:unhideWhenUsed/>
    <w:qFormat/>
    <w:rsid w:val="00ab3205"/>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f0026c"/>
    <w:pPr>
      <w:spacing w:lineRule="auto" w:line="240" w:before="0" w:after="80"/>
      <w:contextualSpacing/>
    </w:pPr>
    <w:rPr>
      <w:rFonts w:ascii="Aptos Display" w:hAnsi="Aptos Display" w:eastAsia="" w:cs="Angsana New" w:asciiTheme="majorHAnsi" w:cstheme="majorBidi" w:eastAsiaTheme="majorEastAsia" w:hAnsiTheme="majorHAnsi"/>
      <w:spacing w:val="-10"/>
      <w:kern w:val="2"/>
      <w:sz w:val="56"/>
      <w:szCs w:val="71"/>
    </w:rPr>
  </w:style>
  <w:style w:type="paragraph" w:styleId="Subtitle">
    <w:name w:val="Subtitle"/>
    <w:basedOn w:val="Normal"/>
    <w:next w:val="Normal"/>
    <w:link w:val="SubtitleChar"/>
    <w:uiPriority w:val="11"/>
    <w:qFormat/>
    <w:rsid w:val="00f0026c"/>
    <w:pPr/>
    <w:rPr>
      <w:rFonts w:eastAsia="" w:cs="Angsana New" w:cstheme="majorBidi" w:eastAsiaTheme="majorEastAsia"/>
      <w:color w:val="595959" w:themeColor="text1" w:themeTint="a6"/>
      <w:spacing w:val="15"/>
      <w:sz w:val="28"/>
      <w:szCs w:val="35"/>
    </w:rPr>
  </w:style>
  <w:style w:type="paragraph" w:styleId="Quote">
    <w:name w:val="Quote"/>
    <w:basedOn w:val="Normal"/>
    <w:next w:val="Normal"/>
    <w:link w:val="QuoteChar"/>
    <w:uiPriority w:val="29"/>
    <w:qFormat/>
    <w:rsid w:val="00f0026c"/>
    <w:pPr>
      <w:spacing w:before="160" w:after="160"/>
      <w:jc w:val="center"/>
    </w:pPr>
    <w:rPr>
      <w:i/>
      <w:iCs/>
      <w:color w:val="404040" w:themeColor="text1" w:themeTint="bf"/>
    </w:rPr>
  </w:style>
  <w:style w:type="paragraph" w:styleId="ListParagraph">
    <w:name w:val="List Paragraph"/>
    <w:basedOn w:val="Normal"/>
    <w:uiPriority w:val="34"/>
    <w:qFormat/>
    <w:rsid w:val="00f0026c"/>
    <w:pPr>
      <w:spacing w:before="0" w:after="160"/>
      <w:ind w:left="720" w:hanging="0"/>
      <w:contextualSpacing/>
    </w:pPr>
    <w:rPr/>
  </w:style>
  <w:style w:type="paragraph" w:styleId="IntenseQuote">
    <w:name w:val="Intense Quote"/>
    <w:basedOn w:val="Normal"/>
    <w:next w:val="Normal"/>
    <w:link w:val="IntenseQuoteChar"/>
    <w:uiPriority w:val="30"/>
    <w:qFormat/>
    <w:rsid w:val="00f0026c"/>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NormalWeb">
    <w:name w:val="Normal (Web)"/>
    <w:basedOn w:val="Normal"/>
    <w:uiPriority w:val="99"/>
    <w:semiHidden/>
    <w:unhideWhenUsed/>
    <w:qFormat/>
    <w:rsid w:val="00f0026c"/>
    <w:pPr>
      <w:spacing w:lineRule="auto" w:line="240" w:beforeAutospacing="1" w:afterAutospacing="1"/>
    </w:pPr>
    <w:rPr>
      <w:rFonts w:ascii="Times New Roman" w:hAnsi="Times New Roman" w:eastAsia="Times New Roman" w:cs="Times New Roman"/>
      <w:kern w:val="0"/>
      <w:szCs w:val="24"/>
      <w14:ligatures w14:val="none"/>
    </w:rPr>
  </w:style>
  <w:style w:type="paragraph" w:styleId="HeaderandFooter">
    <w:name w:val="Header and Footer"/>
    <w:basedOn w:val="Normal"/>
    <w:qFormat/>
    <w:pPr/>
    <w:rPr/>
  </w:style>
  <w:style w:type="paragraph" w:styleId="Footer">
    <w:name w:val="Footer"/>
    <w:basedOn w:val="Normal"/>
    <w:link w:val="FooterChar"/>
    <w:uiPriority w:val="99"/>
    <w:unhideWhenUsed/>
    <w:rsid w:val="00be40e4"/>
    <w:pPr>
      <w:tabs>
        <w:tab w:val="clear" w:pos="720"/>
        <w:tab w:val="center" w:pos="4680" w:leader="none"/>
        <w:tab w:val="right" w:pos="9360" w:leader="none"/>
      </w:tabs>
      <w:spacing w:lineRule="auto" w:line="240" w:before="0" w:after="0"/>
    </w:pPr>
    <w:rPr/>
  </w:style>
  <w:style w:type="paragraph" w:styleId="EndNoteBibliographyTitle" w:customStyle="1">
    <w:name w:val="EndNote Bibliography Title"/>
    <w:basedOn w:val="Normal"/>
    <w:link w:val="EndNoteBibliographyTitleChar"/>
    <w:qFormat/>
    <w:rsid w:val="00951884"/>
    <w:pPr>
      <w:spacing w:before="0" w:after="0"/>
      <w:jc w:val="center"/>
    </w:pPr>
    <w:rPr>
      <w:rFonts w:ascii="Aptos" w:hAnsi="Aptos"/>
      <w:lang w:val="en-US"/>
    </w:rPr>
  </w:style>
  <w:style w:type="paragraph" w:styleId="EndNoteBibliography" w:customStyle="1">
    <w:name w:val="EndNote Bibliography"/>
    <w:basedOn w:val="Normal"/>
    <w:link w:val="EndNoteBibliographyChar"/>
    <w:qFormat/>
    <w:rsid w:val="00951884"/>
    <w:pPr>
      <w:spacing w:lineRule="auto" w:line="240"/>
      <w:jc w:val="left"/>
    </w:pPr>
    <w:rPr>
      <w:rFonts w:ascii="Aptos" w:hAnsi="Aptos"/>
      <w:lang w:val="en-US"/>
    </w:rPr>
  </w:style>
  <w:style w:type="paragraph" w:styleId="Font-claude-response-body" w:customStyle="1">
    <w:name w:val="font-claude-response-body"/>
    <w:basedOn w:val="Normal"/>
    <w:qFormat/>
    <w:rsid w:val="00ab3205"/>
    <w:pPr>
      <w:spacing w:lineRule="auto" w:line="240" w:beforeAutospacing="1" w:afterAutospacing="1"/>
    </w:pPr>
    <w:rPr>
      <w:rFonts w:ascii="Times New Roman" w:hAnsi="Times New Roman" w:eastAsia="Times New Roman" w:cs="Times New Roman"/>
      <w:kern w:val="0"/>
      <w:szCs w:val="24"/>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e52c1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LibreOffice/7.5.2.2$Windows_X86_64 LibreOffice_project/53bb9681a964705cf672590721dbc85eb4d0c3a2</Application>
  <AppVersion>15.0000</AppVersion>
  <Pages>8</Pages>
  <Words>1651</Words>
  <Characters>9554</Characters>
  <CharactersWithSpaces>10887</CharactersWithSpaces>
  <Paragraphs>315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2026-02-19T16:31:00Z</dcterms:created>
  <dc:creator>Noppadol Manosuthi</dc:creator>
  <dc:description/>
  <dc:language>en-US</dc:language>
  <cp:lastModifiedBy/>
  <cp:lastPrinted>2025-10-23T12:58:00Z</cp:lastPrinted>
  <dcterms:modified xsi:type="dcterms:W3CDTF">2026-03-27T16:02:25Z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7bf83466-2455-43b4-94a2-23498c0dc14b</vt:lpwstr>
  </property>
</Properties>
</file>