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A1761" w14:textId="77777777" w:rsidR="00542152" w:rsidRPr="009361EB" w:rsidRDefault="00542152" w:rsidP="00542152">
      <w:pPr>
        <w:pStyle w:val="Heading2"/>
        <w:jc w:val="thaiDistribute"/>
        <w:rPr>
          <w:rFonts w:ascii="Times New Roman" w:hAnsi="Times New Roman" w:cs="Times New Roman"/>
          <w:b/>
          <w:bCs/>
          <w:color w:val="auto"/>
          <w:sz w:val="24"/>
          <w:szCs w:val="24"/>
        </w:rPr>
      </w:pPr>
      <w:bookmarkStart w:id="0" w:name="Xe05b6ca7e69f3c687b0319fde2fb311026a01b7"/>
      <w:r w:rsidRPr="009361EB">
        <w:rPr>
          <w:rFonts w:ascii="Times New Roman" w:hAnsi="Times New Roman" w:cs="Times New Roman"/>
          <w:b/>
          <w:bCs/>
          <w:color w:val="auto"/>
          <w:sz w:val="24"/>
          <w:szCs w:val="24"/>
        </w:rPr>
        <w:t>Appendix A. Illustrative Example for Pipeline Verification on Synthetic Cases</w:t>
      </w:r>
    </w:p>
    <w:p w14:paraId="14DFA55B"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The illustrative example rehearses the full pipeline, namely encoding, screening, calibration, necessity, truth table, three solutions, and interpretation, on thirteen synthetic cases, using the same instrument architecture as the pilot. Its purpose is to verify that the pipeline executes correctly before it is trusted with real data, and it surfaces three concrete preconditions worth observing before fielding the real instrument.</w:t>
      </w:r>
    </w:p>
    <w:p w14:paraId="62D7419D"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 xml:space="preserve">The </w:t>
      </w:r>
      <w:proofErr w:type="spellStart"/>
      <w:r w:rsidRPr="009361EB">
        <w:rPr>
          <w:rFonts w:ascii="Times New Roman" w:hAnsi="Times New Roman" w:cs="Times New Roman"/>
        </w:rPr>
        <w:t>straightline</w:t>
      </w:r>
      <w:proofErr w:type="spellEnd"/>
      <w:r w:rsidRPr="009361EB">
        <w:rPr>
          <w:rFonts w:ascii="Times New Roman" w:hAnsi="Times New Roman" w:cs="Times New Roman"/>
        </w:rPr>
        <w:t>-detection specification should exclude the instructed-response attention item.</w:t>
      </w:r>
    </w:p>
    <w:p w14:paraId="76FD0EA8"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Calibration crossover anchors for scale-based conditions should be chosen so that no value the underlying item can actually produce lands on the crossover exactly, in order to avoid silent truth-table exclusion.</w:t>
      </w:r>
    </w:p>
    <w:p w14:paraId="65282F13"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A stated minimum-retained-N expectation should be set before fielding, so that the researcher can judge in advance roughly how many respondents are expected to survive screening.</w:t>
      </w:r>
    </w:p>
    <w:p w14:paraId="51A2E942" w14:textId="77777777" w:rsidR="00542152" w:rsidRPr="009361EB" w:rsidRDefault="00542152" w:rsidP="00542152">
      <w:pPr>
        <w:pStyle w:val="Heading2"/>
        <w:jc w:val="thaiDistribute"/>
        <w:rPr>
          <w:rFonts w:ascii="Times New Roman" w:hAnsi="Times New Roman" w:cs="Times New Roman"/>
          <w:b/>
          <w:bCs/>
          <w:color w:val="auto"/>
          <w:sz w:val="24"/>
          <w:szCs w:val="24"/>
        </w:rPr>
      </w:pPr>
      <w:bookmarkStart w:id="1" w:name="appendix-b.-full-instrument"/>
      <w:bookmarkEnd w:id="0"/>
      <w:r w:rsidRPr="009361EB">
        <w:rPr>
          <w:rFonts w:ascii="Times New Roman" w:hAnsi="Times New Roman" w:cs="Times New Roman"/>
          <w:b/>
          <w:bCs/>
          <w:color w:val="auto"/>
          <w:sz w:val="24"/>
          <w:szCs w:val="24"/>
        </w:rPr>
        <w:t>Appendix B. Full Instrument</w:t>
      </w:r>
    </w:p>
    <w:p w14:paraId="71DB5E64"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This appendix reports the complete item wording for the outcome measure and all four pilot conditions (Sections 5.4 and 5.6 of the main text). The main text states each item’s membership meaning (Step 2) and design rationale (Step 3) but, for length, refers here for the full rung-by-rung wording.</w:t>
      </w:r>
    </w:p>
    <w:p w14:paraId="07C1253B"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2" w:name="Xf7fab13c921773eca1b86762997611cf7cf0acc"/>
      <w:r w:rsidRPr="009361EB">
        <w:rPr>
          <w:rFonts w:ascii="Times New Roman" w:hAnsi="Times New Roman" w:cs="Times New Roman"/>
          <w:b/>
          <w:bCs/>
          <w:color w:val="auto"/>
          <w:sz w:val="24"/>
          <w:szCs w:val="24"/>
        </w:rPr>
        <w:t>B.1 Outcome Measure for Destination Choice</w:t>
      </w:r>
    </w:p>
    <w:p w14:paraId="17BE0880"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b/>
          <w:bCs/>
        </w:rPr>
        <w:t>Stage 1, the forced-choice stage.</w:t>
      </w:r>
    </w:p>
    <w:p w14:paraId="7058D596"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“If you had to choose one destination for this trip, which would you choose?” A / B / Undecided.</w:t>
      </w:r>
    </w:p>
    <w:p w14:paraId="1B06D973"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b/>
          <w:bCs/>
          <w:szCs w:val="24"/>
        </w:rPr>
        <w:t>Stage 2, the degree stage, branches by the Stage 1 response.</w:t>
      </w:r>
    </w:p>
    <w:p w14:paraId="70D0D14A"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i/>
          <w:iCs/>
          <w:szCs w:val="24"/>
        </w:rPr>
        <w:t>If B was chosen</w:t>
      </w:r>
      <w:r w:rsidRPr="009361EB">
        <w:rPr>
          <w:rFonts w:ascii="Times New Roman" w:hAnsi="Times New Roman" w:cs="Times New Roman"/>
          <w:szCs w:val="24"/>
        </w:rPr>
        <w:t>, a ladder from weakest to strongest commitment applies.</w:t>
      </w:r>
    </w:p>
    <w:p w14:paraId="15F9ECC9"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 would choose B only if it cost the same and were equally convenient as A, since the sustainability features alone do not offset any trade-off.</w:t>
      </w:r>
    </w:p>
    <w:p w14:paraId="2FFD99E3"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…only if the premium and inconvenience were both minor (close to 0%, negligible extra time).</w:t>
      </w:r>
    </w:p>
    <w:p w14:paraId="2F055C27"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…only if the price premium or inconvenience were smaller than stated (e.g., closer to 10%, or one of the two factors only).</w:t>
      </w:r>
    </w:p>
    <w:p w14:paraId="7BAD10F7"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…at roughly the stated terms (20% more, slightly less convenient), but not much beyond.</w:t>
      </w:r>
    </w:p>
    <w:p w14:paraId="3970DAE7"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…at the stated terms or somewhat beyond.</w:t>
      </w:r>
    </w:p>
    <w:p w14:paraId="398A9D78"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…even if it cost about 30% more and was noticeably less convenient.</w:t>
      </w:r>
    </w:p>
    <w:p w14:paraId="15C7DE5C"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…even if it cost 40%+ more and was significantly less convenient.</w:t>
      </w:r>
    </w:p>
    <w:p w14:paraId="2FAA3A20"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i/>
          <w:iCs/>
        </w:rPr>
        <w:t>If A was chosen</w:t>
      </w:r>
      <w:r w:rsidRPr="009361EB">
        <w:rPr>
          <w:rFonts w:ascii="Times New Roman" w:hAnsi="Times New Roman" w:cs="Times New Roman"/>
        </w:rPr>
        <w:t>, a mirrored ladder applies, with 1 indicating the weakest preference for A, closest to the crossover, and 7 the strongest.</w:t>
      </w:r>
    </w:p>
    <w:p w14:paraId="3084BB23"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lastRenderedPageBreak/>
        <w:t>I am choosing A only by a small margin, and even a slight improvement in B’s terms would change my mind.</w:t>
      </w:r>
    </w:p>
    <w:p w14:paraId="6F0BFB90"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I’d switch to B fairly easily, since close to the stated terms would be enough.</w:t>
      </w:r>
    </w:p>
    <w:p w14:paraId="39BEB8F3"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I’d switch to B if its premium dropped closer to the stated 20% but convenience improved a little.</w:t>
      </w:r>
    </w:p>
    <w:p w14:paraId="64CA22DC"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I’d switch to B if its premium dropped to around 10% and convenience improved somewhat.</w:t>
      </w:r>
    </w:p>
    <w:p w14:paraId="39A830EF"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 would choose A unless B’s premium dropped substantially (e.g., to around 5–10%) and convenience improved.</w:t>
      </w:r>
    </w:p>
    <w:p w14:paraId="046A0098"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 would choose A unless B’s premium dropped to near 0% and convenience became equal.</w:t>
      </w:r>
    </w:p>
    <w:p w14:paraId="71A56A6F"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 xml:space="preserve">I would stay with </w:t>
      </w:r>
      <w:proofErr w:type="spellStart"/>
      <w:r w:rsidRPr="009361EB">
        <w:rPr>
          <w:rFonts w:ascii="Times New Roman" w:hAnsi="Times New Roman" w:cs="Times New Roman"/>
        </w:rPr>
        <w:t>A</w:t>
      </w:r>
      <w:proofErr w:type="spellEnd"/>
      <w:r w:rsidRPr="009361EB">
        <w:rPr>
          <w:rFonts w:ascii="Times New Roman" w:hAnsi="Times New Roman" w:cs="Times New Roman"/>
        </w:rPr>
        <w:t xml:space="preserve"> even if B’s premium dropped to 0% and convenience became equal, since the certification itself is not a draw for me.</w:t>
      </w:r>
    </w:p>
    <w:p w14:paraId="71F10C66"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i/>
          <w:iCs/>
        </w:rPr>
        <w:t>If undecided</w:t>
      </w:r>
      <w:r w:rsidRPr="009361EB">
        <w:rPr>
          <w:rFonts w:ascii="Times New Roman" w:hAnsi="Times New Roman" w:cs="Times New Roman"/>
        </w:rPr>
        <w:t>, a soft-lean follow-up is used to resolve what would otherwise be an exact-crossover dropout problem, namely “You indicated you’re undecided. If you had to lean slightly toward one option right now, which would it be?” with the options Lean toward B, Lean toward A, and Truly no lean either way. A leaning respondent is then asked how slight that lean is (Barely or Somewhat). A respondent with truly no lean is the only group left sitting at the literal crossover.</w:t>
      </w:r>
    </w:p>
    <w:p w14:paraId="47758A6F"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3" w:name="b.2-certification-credibility-cert"/>
      <w:bookmarkEnd w:id="2"/>
      <w:r w:rsidRPr="009361EB">
        <w:rPr>
          <w:rFonts w:ascii="Times New Roman" w:hAnsi="Times New Roman" w:cs="Times New Roman"/>
          <w:b/>
          <w:bCs/>
          <w:color w:val="auto"/>
          <w:sz w:val="24"/>
          <w:szCs w:val="24"/>
        </w:rPr>
        <w:t>B.2 Certification Credibility (CERT)</w:t>
      </w:r>
    </w:p>
    <w:p w14:paraId="034C9507"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b/>
          <w:bCs/>
        </w:rPr>
        <w:t>Stage 1.</w:t>
      </w:r>
    </w:p>
    <w:p w14:paraId="2BFDD2B5"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“Destination X’s sustainability certification is issued by an independent third-party auditor with public inspection reports. Destination Y’s is a label the destination created and monitors itself. If both cost the same, which would you choose?” X (independently audited) / Y (self-certified) / No difference.</w:t>
      </w:r>
    </w:p>
    <w:p w14:paraId="43894731"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i/>
          <w:iCs/>
          <w:szCs w:val="24"/>
        </w:rPr>
        <w:t>If X was chosen</w:t>
      </w:r>
      <w:r w:rsidRPr="009361EB">
        <w:rPr>
          <w:rFonts w:ascii="Times New Roman" w:hAnsi="Times New Roman" w:cs="Times New Roman"/>
          <w:szCs w:val="24"/>
        </w:rPr>
        <w:t>, the ladder asks how much more the audited option is worth, from weakest to strongest.</w:t>
      </w:r>
    </w:p>
    <w:p w14:paraId="047D00B1"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Only if X cost exactly the same as Y, since the independent audit alone does not justify any premium.</w:t>
      </w:r>
    </w:p>
    <w:p w14:paraId="4A902A44"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…if X cost only a little more than Y (close to 0%, negligible).</w:t>
      </w:r>
    </w:p>
    <w:p w14:paraId="17B253BD"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…if X cost up to about 10% more than Y.</w:t>
      </w:r>
    </w:p>
    <w:p w14:paraId="2F4335C1"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…if X cost up to about 20% more than Y.</w:t>
      </w:r>
    </w:p>
    <w:p w14:paraId="4071FA84"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…if X cost up to about 25% more than Y.</w:t>
      </w:r>
    </w:p>
    <w:p w14:paraId="6FA465C7"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…even if X cost about 30% more than Y.</w:t>
      </w:r>
    </w:p>
    <w:p w14:paraId="10E17C9B"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…even if X cost 30%+ more than Y, since the independent audit itself is what matters to me.</w:t>
      </w:r>
    </w:p>
    <w:p w14:paraId="3575FCC8"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i/>
          <w:iCs/>
        </w:rPr>
        <w:t>If Y was chosen</w:t>
      </w:r>
      <w:r w:rsidRPr="009361EB">
        <w:rPr>
          <w:rFonts w:ascii="Times New Roman" w:hAnsi="Times New Roman" w:cs="Times New Roman"/>
        </w:rPr>
        <w:t>, a mirrored ladder asks what it would take to switch to the audited option.</w:t>
      </w:r>
    </w:p>
    <w:p w14:paraId="0A6F6086"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 am choosing Y only by a small margin, and even a small premium for X would change my mind.</w:t>
      </w:r>
    </w:p>
    <w:p w14:paraId="6DD69C50"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I’d switch to X fairly easily, for a small premium.</w:t>
      </w:r>
    </w:p>
    <w:p w14:paraId="5D37ACA3"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I’d switch to X if its premium over Y were under about 10%.</w:t>
      </w:r>
    </w:p>
    <w:p w14:paraId="3BE6C18E"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lastRenderedPageBreak/>
        <w:t>I’d switch to X if its premium over Y were under about 20%.</w:t>
      </w:r>
    </w:p>
    <w:p w14:paraId="1E9C4459"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 would stick with Y unless X’s premium dropped well below 20%.</w:t>
      </w:r>
    </w:p>
    <w:p w14:paraId="6BF6C30D"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 would stick with Y even if X’s premium were only about 10%.</w:t>
      </w:r>
    </w:p>
    <w:p w14:paraId="74A5B6D1"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 would stick with Y regardless of price, since an independent audit does not matter to me.</w:t>
      </w:r>
    </w:p>
    <w:p w14:paraId="14635BC0"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i/>
          <w:iCs/>
        </w:rPr>
        <w:t>If no difference</w:t>
      </w:r>
      <w:r w:rsidRPr="009361EB">
        <w:rPr>
          <w:rFonts w:ascii="Times New Roman" w:hAnsi="Times New Roman" w:cs="Times New Roman"/>
        </w:rPr>
        <w:t>, the same soft-lean-plus-strength fallback as the outcome measure is used here as well.</w:t>
      </w:r>
    </w:p>
    <w:p w14:paraId="42C396E9"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4" w:name="b.3-price-premium-acceptance-price"/>
      <w:bookmarkEnd w:id="3"/>
      <w:r w:rsidRPr="009361EB">
        <w:rPr>
          <w:rFonts w:ascii="Times New Roman" w:hAnsi="Times New Roman" w:cs="Times New Roman"/>
          <w:b/>
          <w:bCs/>
          <w:color w:val="auto"/>
          <w:sz w:val="24"/>
          <w:szCs w:val="24"/>
        </w:rPr>
        <w:t>B.3 Price Premium Acceptance (PRICE)</w:t>
      </w:r>
    </w:p>
    <w:p w14:paraId="64815164"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A single-stage ladder, deliberately placed in a purchase domain unrelated to travel so that it cannot simply restate the outcome measure.</w:t>
      </w:r>
    </w:p>
    <w:p w14:paraId="501C66FB"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“For everyday purchases unrelated to travel, namely coffee, clothing, and groceries, what’s the most you’d typically pay extra for a certified/ethical option over a standard one?”</w:t>
      </w:r>
    </w:p>
    <w:p w14:paraId="6CA79C79"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Nothing extra, since price has to be the same.</w:t>
      </w:r>
    </w:p>
    <w:p w14:paraId="752AC05F"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Up to about 5% more.</w:t>
      </w:r>
    </w:p>
    <w:p w14:paraId="0422E471"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Up to about 10% more.</w:t>
      </w:r>
    </w:p>
    <w:p w14:paraId="49A27421"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Up to about 15% more.</w:t>
      </w:r>
    </w:p>
    <w:p w14:paraId="784DEEDA"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Up to about 20% more.</w:t>
      </w:r>
    </w:p>
    <w:p w14:paraId="60D10B5E"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Up to about 25% more.</w:t>
      </w:r>
    </w:p>
    <w:p w14:paraId="4EADFDD3"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30% or more.</w:t>
      </w:r>
    </w:p>
    <w:p w14:paraId="03EF57FB"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5" w:name="b.4-environmental-concern-env"/>
      <w:bookmarkEnd w:id="4"/>
      <w:r w:rsidRPr="009361EB">
        <w:rPr>
          <w:rFonts w:ascii="Times New Roman" w:hAnsi="Times New Roman" w:cs="Times New Roman"/>
          <w:b/>
          <w:bCs/>
          <w:color w:val="auto"/>
          <w:sz w:val="24"/>
          <w:szCs w:val="24"/>
        </w:rPr>
        <w:t>B.4 Environmental Concern (ENV)</w:t>
      </w:r>
    </w:p>
    <w:p w14:paraId="100EE0DF"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A three-item behaviorally anchored battery, rated on the same 7-point agreement scale used throughout the instrument.</w:t>
      </w:r>
    </w:p>
    <w:p w14:paraId="25D596B1"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 have changed a travel plan, paid more, taken a less convenient route, specifically to reduce my environmental impact.</w:t>
      </w:r>
    </w:p>
    <w:p w14:paraId="0E02C950"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When planning a trip, I actively look for ways to reduce my environmental impact, even if it takes extra effort.</w:t>
      </w:r>
    </w:p>
    <w:p w14:paraId="1BF1C0B5"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Reducing my environmental impact while traveling is something I actually act on, not just something I agree with in principle.</w:t>
      </w:r>
    </w:p>
    <w:p w14:paraId="247A8D89"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6" w:name="b.5-subjective-norm-norm"/>
      <w:bookmarkEnd w:id="5"/>
      <w:r w:rsidRPr="009361EB">
        <w:rPr>
          <w:rFonts w:ascii="Times New Roman" w:hAnsi="Times New Roman" w:cs="Times New Roman"/>
          <w:b/>
          <w:bCs/>
          <w:color w:val="auto"/>
          <w:sz w:val="24"/>
          <w:szCs w:val="24"/>
        </w:rPr>
        <w:t>B.5 Subjective Norm (NORM)</w:t>
      </w:r>
    </w:p>
    <w:p w14:paraId="0C9499F0"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b/>
          <w:bCs/>
        </w:rPr>
        <w:t>Stage 1.</w:t>
      </w:r>
    </w:p>
    <w:p w14:paraId="3BE24582"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“When your closest friends or family clearly prefer a different travel destination than the one you’re personally drawn to, what do you usually do?” Follow their expectation / Follow my own preference / Depends, since I’d compromise or feel torn.</w:t>
      </w:r>
    </w:p>
    <w:p w14:paraId="72916457"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i/>
          <w:iCs/>
          <w:szCs w:val="24"/>
        </w:rPr>
        <w:t>If “follow their expectation”</w:t>
      </w:r>
      <w:r w:rsidRPr="009361EB">
        <w:rPr>
          <w:rFonts w:ascii="Times New Roman" w:hAnsi="Times New Roman" w:cs="Times New Roman"/>
          <w:szCs w:val="24"/>
        </w:rPr>
        <w:t>, the ladder asks how strong the respondent’s own pull would have to be before they would stop deferring.</w:t>
      </w:r>
    </w:p>
    <w:p w14:paraId="4EC34ED2"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 would follow their preference only if I did not have a strong pull toward my own choice to begin with.</w:t>
      </w:r>
    </w:p>
    <w:p w14:paraId="35B3B9D0"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lastRenderedPageBreak/>
        <w:t>…if my own preference was fairly weak.</w:t>
      </w:r>
    </w:p>
    <w:p w14:paraId="4AEC2D24"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…even if my own preference was moderate.</w:t>
      </w:r>
    </w:p>
    <w:p w14:paraId="618C89FB"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…even if my own preference was fairly clear.</w:t>
      </w:r>
    </w:p>
    <w:p w14:paraId="67963C18"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…even if my own preference was fairly strong.</w:t>
      </w:r>
    </w:p>
    <w:p w14:paraId="098C63BA"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…even if my own preference was quite strong.</w:t>
      </w:r>
    </w:p>
    <w:p w14:paraId="69DA8579" w14:textId="77777777" w:rsidR="00542152" w:rsidRPr="009361EB" w:rsidRDefault="00542152" w:rsidP="00542152">
      <w:pPr>
        <w:pStyle w:val="Compact"/>
        <w:numPr>
          <w:ilvl w:val="0"/>
          <w:numId w:val="1"/>
        </w:numPr>
        <w:jc w:val="thaiDistribute"/>
        <w:rPr>
          <w:rFonts w:ascii="Times New Roman" w:hAnsi="Times New Roman" w:cs="Times New Roman"/>
        </w:rPr>
      </w:pPr>
      <w:r w:rsidRPr="009361EB">
        <w:rPr>
          <w:rFonts w:ascii="Times New Roman" w:hAnsi="Times New Roman" w:cs="Times New Roman"/>
        </w:rPr>
        <w:t>I would follow their preference even if I had a strong and clear preference of my own, since what they want matters more to me than my own initial pull.</w:t>
      </w:r>
    </w:p>
    <w:p w14:paraId="7F3F67EB"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i/>
          <w:iCs/>
        </w:rPr>
        <w:t>If “follow my own preference”</w:t>
      </w:r>
      <w:r w:rsidRPr="009361EB">
        <w:rPr>
          <w:rFonts w:ascii="Times New Roman" w:hAnsi="Times New Roman" w:cs="Times New Roman"/>
        </w:rPr>
        <w:t>, a mirrored ladder asks how strong the others’ preference would have to be to change the respondent’s mind.</w:t>
      </w:r>
    </w:p>
    <w:p w14:paraId="3E8290F7" w14:textId="77777777" w:rsidR="00542152" w:rsidRPr="009361EB" w:rsidRDefault="00542152" w:rsidP="00542152">
      <w:pPr>
        <w:pStyle w:val="Compact"/>
        <w:numPr>
          <w:ilvl w:val="0"/>
          <w:numId w:val="10"/>
        </w:numPr>
        <w:jc w:val="thaiDistribute"/>
        <w:rPr>
          <w:rFonts w:ascii="Times New Roman" w:hAnsi="Times New Roman" w:cs="Times New Roman"/>
        </w:rPr>
      </w:pPr>
      <w:r w:rsidRPr="009361EB">
        <w:rPr>
          <w:rFonts w:ascii="Times New Roman" w:hAnsi="Times New Roman" w:cs="Times New Roman"/>
        </w:rPr>
        <w:t>I would switch to their preference even if they only mildly preferred it.</w:t>
      </w:r>
    </w:p>
    <w:p w14:paraId="32003178" w14:textId="77777777" w:rsidR="00542152" w:rsidRPr="009361EB" w:rsidRDefault="00542152" w:rsidP="00542152">
      <w:pPr>
        <w:pStyle w:val="Compact"/>
        <w:numPr>
          <w:ilvl w:val="0"/>
          <w:numId w:val="10"/>
        </w:numPr>
        <w:jc w:val="thaiDistribute"/>
        <w:rPr>
          <w:rFonts w:ascii="Times New Roman" w:hAnsi="Times New Roman" w:cs="Times New Roman"/>
        </w:rPr>
      </w:pPr>
      <w:r w:rsidRPr="009361EB">
        <w:rPr>
          <w:rFonts w:ascii="Times New Roman" w:hAnsi="Times New Roman" w:cs="Times New Roman"/>
        </w:rPr>
        <w:t>…if they preferred it fairly clearly.</w:t>
      </w:r>
    </w:p>
    <w:p w14:paraId="4C7684FC" w14:textId="77777777" w:rsidR="00542152" w:rsidRPr="009361EB" w:rsidRDefault="00542152" w:rsidP="00542152">
      <w:pPr>
        <w:pStyle w:val="Compact"/>
        <w:numPr>
          <w:ilvl w:val="0"/>
          <w:numId w:val="10"/>
        </w:numPr>
        <w:jc w:val="thaiDistribute"/>
        <w:rPr>
          <w:rFonts w:ascii="Times New Roman" w:hAnsi="Times New Roman" w:cs="Times New Roman"/>
        </w:rPr>
      </w:pPr>
      <w:r w:rsidRPr="009361EB">
        <w:rPr>
          <w:rFonts w:ascii="Times New Roman" w:hAnsi="Times New Roman" w:cs="Times New Roman"/>
        </w:rPr>
        <w:t>…if they preferred it moderately strongly.</w:t>
      </w:r>
    </w:p>
    <w:p w14:paraId="79D8A0D1" w14:textId="77777777" w:rsidR="00542152" w:rsidRPr="009361EB" w:rsidRDefault="00542152" w:rsidP="00542152">
      <w:pPr>
        <w:pStyle w:val="Compact"/>
        <w:numPr>
          <w:ilvl w:val="0"/>
          <w:numId w:val="10"/>
        </w:numPr>
        <w:jc w:val="thaiDistribute"/>
        <w:rPr>
          <w:rFonts w:ascii="Times New Roman" w:hAnsi="Times New Roman" w:cs="Times New Roman"/>
        </w:rPr>
      </w:pPr>
      <w:r w:rsidRPr="009361EB">
        <w:rPr>
          <w:rFonts w:ascii="Times New Roman" w:hAnsi="Times New Roman" w:cs="Times New Roman"/>
        </w:rPr>
        <w:t>…if they preferred it fairly strongly.</w:t>
      </w:r>
    </w:p>
    <w:p w14:paraId="069E7A00" w14:textId="77777777" w:rsidR="00542152" w:rsidRPr="009361EB" w:rsidRDefault="00542152" w:rsidP="00542152">
      <w:pPr>
        <w:pStyle w:val="Compact"/>
        <w:numPr>
          <w:ilvl w:val="0"/>
          <w:numId w:val="10"/>
        </w:numPr>
        <w:jc w:val="thaiDistribute"/>
        <w:rPr>
          <w:rFonts w:ascii="Times New Roman" w:hAnsi="Times New Roman" w:cs="Times New Roman"/>
        </w:rPr>
      </w:pPr>
      <w:r w:rsidRPr="009361EB">
        <w:rPr>
          <w:rFonts w:ascii="Times New Roman" w:hAnsi="Times New Roman" w:cs="Times New Roman"/>
        </w:rPr>
        <w:t>I would stick with my own choice unless their preference was very strong.</w:t>
      </w:r>
    </w:p>
    <w:p w14:paraId="08BB0016" w14:textId="77777777" w:rsidR="00542152" w:rsidRPr="009361EB" w:rsidRDefault="00542152" w:rsidP="00542152">
      <w:pPr>
        <w:pStyle w:val="Compact"/>
        <w:numPr>
          <w:ilvl w:val="0"/>
          <w:numId w:val="10"/>
        </w:numPr>
        <w:jc w:val="thaiDistribute"/>
        <w:rPr>
          <w:rFonts w:ascii="Times New Roman" w:hAnsi="Times New Roman" w:cs="Times New Roman"/>
        </w:rPr>
      </w:pPr>
      <w:r w:rsidRPr="009361EB">
        <w:rPr>
          <w:rFonts w:ascii="Times New Roman" w:hAnsi="Times New Roman" w:cs="Times New Roman"/>
        </w:rPr>
        <w:t>I would stick with my own choice unless their preference was extremely strong and clearly stated.</w:t>
      </w:r>
    </w:p>
    <w:p w14:paraId="08FEF44F" w14:textId="77777777" w:rsidR="00542152" w:rsidRPr="009361EB" w:rsidRDefault="00542152" w:rsidP="00542152">
      <w:pPr>
        <w:pStyle w:val="Compact"/>
        <w:numPr>
          <w:ilvl w:val="0"/>
          <w:numId w:val="10"/>
        </w:numPr>
        <w:jc w:val="thaiDistribute"/>
        <w:rPr>
          <w:rFonts w:ascii="Times New Roman" w:hAnsi="Times New Roman" w:cs="Times New Roman"/>
        </w:rPr>
      </w:pPr>
      <w:r w:rsidRPr="009361EB">
        <w:rPr>
          <w:rFonts w:ascii="Times New Roman" w:hAnsi="Times New Roman" w:cs="Times New Roman"/>
        </w:rPr>
        <w:t>I would stick with my own choice regardless of how strongly they felt, since what I want matters more to me than what they want.</w:t>
      </w:r>
    </w:p>
    <w:p w14:paraId="37EF2389"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i/>
          <w:iCs/>
        </w:rPr>
        <w:t>If “depends”</w:t>
      </w:r>
      <w:r w:rsidRPr="009361EB">
        <w:rPr>
          <w:rFonts w:ascii="Times New Roman" w:hAnsi="Times New Roman" w:cs="Times New Roman"/>
        </w:rPr>
        <w:t>, the same soft-lean-plus-strength fallback is applied here, with the options Lean toward following their expectation, Lean toward following my own preference, and Truly torn.</w:t>
      </w:r>
    </w:p>
    <w:p w14:paraId="6C331862"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Note. NORM is phrased without reference to Destination A/B, unlike CERT, which retains its own self-contained X/Y framing, because the administration-order design (Section 5.7 of the main text) randomizes whether the condition block is presented before or after the vignette, and an item referencing the vignette directly cannot sensibly be dropped into a block that sometimes runs first.</w:t>
      </w:r>
    </w:p>
    <w:p w14:paraId="7F3B4ABA" w14:textId="77777777" w:rsidR="00542152" w:rsidRPr="009361EB" w:rsidRDefault="00542152" w:rsidP="00542152">
      <w:pPr>
        <w:pStyle w:val="Heading2"/>
        <w:jc w:val="thaiDistribute"/>
        <w:rPr>
          <w:rFonts w:ascii="Times New Roman" w:hAnsi="Times New Roman" w:cs="Times New Roman"/>
          <w:b/>
          <w:bCs/>
          <w:color w:val="auto"/>
          <w:sz w:val="24"/>
          <w:szCs w:val="24"/>
        </w:rPr>
      </w:pPr>
      <w:bookmarkStart w:id="7" w:name="appendix-c.-reproducibility"/>
      <w:bookmarkEnd w:id="1"/>
      <w:bookmarkEnd w:id="6"/>
      <w:r w:rsidRPr="009361EB">
        <w:rPr>
          <w:rFonts w:ascii="Times New Roman" w:hAnsi="Times New Roman" w:cs="Times New Roman"/>
          <w:b/>
          <w:bCs/>
          <w:color w:val="auto"/>
          <w:sz w:val="24"/>
          <w:szCs w:val="24"/>
        </w:rPr>
        <w:t>Appendix C. Reproducibility</w:t>
      </w:r>
    </w:p>
    <w:p w14:paraId="20AECDC3"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Raw field responses (</w:t>
      </w:r>
      <w:r w:rsidRPr="009361EB">
        <w:rPr>
          <w:rStyle w:val="VerbatimChar"/>
          <w:rFonts w:ascii="Times New Roman" w:hAnsi="Times New Roman" w:cs="Times New Roman"/>
          <w:sz w:val="24"/>
        </w:rPr>
        <w:t>excerpted-data.csv</w:t>
      </w:r>
      <w:r w:rsidRPr="009361EB">
        <w:rPr>
          <w:rFonts w:ascii="Times New Roman" w:hAnsi="Times New Roman" w:cs="Times New Roman"/>
        </w:rPr>
        <w:t>)</w:t>
      </w:r>
    </w:p>
    <w:p w14:paraId="6D1885FB"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Calibration and analysis script (</w:t>
      </w:r>
      <w:r w:rsidRPr="009361EB">
        <w:rPr>
          <w:rStyle w:val="VerbatimChar"/>
          <w:rFonts w:ascii="Times New Roman" w:hAnsi="Times New Roman" w:cs="Times New Roman"/>
          <w:sz w:val="24"/>
        </w:rPr>
        <w:t>analysis-QCA-</w:t>
      </w:r>
      <w:proofErr w:type="spellStart"/>
      <w:proofErr w:type="gramStart"/>
      <w:r w:rsidRPr="009361EB">
        <w:rPr>
          <w:rStyle w:val="VerbatimChar"/>
          <w:rFonts w:ascii="Times New Roman" w:hAnsi="Times New Roman" w:cs="Times New Roman"/>
          <w:sz w:val="24"/>
        </w:rPr>
        <w:t>revised.R</w:t>
      </w:r>
      <w:proofErr w:type="spellEnd"/>
      <w:proofErr w:type="gramEnd"/>
      <w:r w:rsidRPr="009361EB">
        <w:rPr>
          <w:rFonts w:ascii="Times New Roman" w:hAnsi="Times New Roman" w:cs="Times New Roman"/>
        </w:rPr>
        <w:t>)</w:t>
      </w:r>
    </w:p>
    <w:p w14:paraId="60D8EDB6"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Calibrated membership scores (</w:t>
      </w:r>
      <w:r w:rsidRPr="009361EB">
        <w:rPr>
          <w:rStyle w:val="VerbatimChar"/>
          <w:rFonts w:ascii="Times New Roman" w:hAnsi="Times New Roman" w:cs="Times New Roman"/>
          <w:sz w:val="24"/>
        </w:rPr>
        <w:t>membership-scores.csv</w:t>
      </w:r>
      <w:r w:rsidRPr="009361EB">
        <w:rPr>
          <w:rFonts w:ascii="Times New Roman" w:hAnsi="Times New Roman" w:cs="Times New Roman"/>
        </w:rPr>
        <w:t>)</w:t>
      </w:r>
    </w:p>
    <w:p w14:paraId="7D243ECC"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Complete QCA output (</w:t>
      </w:r>
      <w:proofErr w:type="spellStart"/>
      <w:r w:rsidRPr="009361EB">
        <w:rPr>
          <w:rStyle w:val="VerbatimChar"/>
          <w:rFonts w:ascii="Times New Roman" w:hAnsi="Times New Roman" w:cs="Times New Roman"/>
          <w:sz w:val="24"/>
        </w:rPr>
        <w:t>qca</w:t>
      </w:r>
      <w:proofErr w:type="spellEnd"/>
      <w:r w:rsidRPr="009361EB">
        <w:rPr>
          <w:rStyle w:val="VerbatimChar"/>
          <w:rFonts w:ascii="Times New Roman" w:hAnsi="Times New Roman" w:cs="Times New Roman"/>
          <w:sz w:val="24"/>
        </w:rPr>
        <w:t>-output/</w:t>
      </w:r>
      <w:r w:rsidRPr="009361EB">
        <w:rPr>
          <w:rFonts w:ascii="Times New Roman" w:hAnsi="Times New Roman" w:cs="Times New Roman"/>
        </w:rPr>
        <w:t>)</w:t>
      </w:r>
    </w:p>
    <w:p w14:paraId="728A1696"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Software versions include R 4.3.2 (original analysis), R 4.6.0 (verification re-run), QCA 3.21 (original), and QCA 3.25 (verification re-run)</w:t>
      </w:r>
    </w:p>
    <w:p w14:paraId="369169B6"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 xml:space="preserve">All tables and statistics in the main text were reproduced exactly from the field data by the analysis script, including the membership-score distributions (Table 5), necessity scores (Table 6), the truth table (Table 7), and both sufficiency solutions (Tables 8–9). </w:t>
      </w:r>
    </w:p>
    <w:p w14:paraId="03913048" w14:textId="77777777" w:rsidR="00542152" w:rsidRPr="009361EB" w:rsidRDefault="00542152" w:rsidP="00542152">
      <w:pPr>
        <w:pStyle w:val="Heading2"/>
        <w:jc w:val="thaiDistribute"/>
        <w:rPr>
          <w:rFonts w:ascii="Times New Roman" w:hAnsi="Times New Roman" w:cs="Times New Roman"/>
          <w:b/>
          <w:bCs/>
          <w:color w:val="auto"/>
          <w:sz w:val="24"/>
          <w:szCs w:val="24"/>
        </w:rPr>
      </w:pPr>
      <w:bookmarkStart w:id="8" w:name="appendix-d.-exact-crossover-case-list"/>
      <w:bookmarkEnd w:id="7"/>
      <w:r w:rsidRPr="009361EB">
        <w:rPr>
          <w:rFonts w:ascii="Times New Roman" w:hAnsi="Times New Roman" w:cs="Times New Roman"/>
          <w:b/>
          <w:bCs/>
          <w:color w:val="auto"/>
          <w:sz w:val="24"/>
          <w:szCs w:val="24"/>
        </w:rPr>
        <w:t>Appendix D. Exact Crossover Case List</w:t>
      </w:r>
    </w:p>
    <w:p w14:paraId="73F5E05E"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 xml:space="preserve">A full list of the 41 excluded cases, namely those with an exact 0.5 in any causal condition, with membership scores reported on all five sets, so that readers can verify that exclusion followed from </w:t>
      </w:r>
      <w:r w:rsidRPr="009361EB">
        <w:rPr>
          <w:rFonts w:ascii="Times New Roman" w:hAnsi="Times New Roman" w:cs="Times New Roman"/>
        </w:rPr>
        <w:lastRenderedPageBreak/>
        <w:t>calibration design rather than from arbitrary case removal. Note that the 51 condition-level exact crossovers (CERT = 11, PRICE = 22, ENV = 9, NORM = 9) reduce to 41 unique cases once overlap is taken into account. This is the count actually excluded from the truth table (129 − 41 = 88).</w:t>
      </w:r>
    </w:p>
    <w:p w14:paraId="3AAD686A" w14:textId="77777777" w:rsidR="00542152" w:rsidRPr="009361EB" w:rsidRDefault="00542152" w:rsidP="00542152">
      <w:pPr>
        <w:pStyle w:val="Heading2"/>
        <w:jc w:val="thaiDistribute"/>
        <w:rPr>
          <w:rFonts w:ascii="Times New Roman" w:hAnsi="Times New Roman" w:cs="Times New Roman"/>
          <w:b/>
          <w:bCs/>
          <w:color w:val="auto"/>
          <w:sz w:val="24"/>
          <w:szCs w:val="24"/>
        </w:rPr>
      </w:pPr>
      <w:bookmarkStart w:id="9" w:name="Xa361377a39745ba3506ef9beefe8dd277eceb86"/>
      <w:bookmarkEnd w:id="8"/>
      <w:r w:rsidRPr="009361EB">
        <w:rPr>
          <w:rFonts w:ascii="Times New Roman" w:hAnsi="Times New Roman" w:cs="Times New Roman"/>
          <w:b/>
          <w:bCs/>
          <w:color w:val="auto"/>
          <w:sz w:val="24"/>
          <w:szCs w:val="24"/>
        </w:rPr>
        <w:t>Appendix E. Full Robustness Parameter Grid (Y Solution)</w:t>
      </w:r>
    </w:p>
    <w:p w14:paraId="298B8480"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 xml:space="preserve">Referenced from Section 5.9.5 of the main text. The Y solution was tested across a grid of alternative </w:t>
      </w:r>
      <w:proofErr w:type="spellStart"/>
      <w:r w:rsidRPr="009361EB">
        <w:rPr>
          <w:rStyle w:val="VerbatimChar"/>
          <w:rFonts w:ascii="Times New Roman" w:hAnsi="Times New Roman" w:cs="Times New Roman"/>
          <w:sz w:val="24"/>
        </w:rPr>
        <w:t>incl.cut</w:t>
      </w:r>
      <w:proofErr w:type="spellEnd"/>
      <w:r w:rsidRPr="009361EB">
        <w:rPr>
          <w:rFonts w:ascii="Times New Roman" w:hAnsi="Times New Roman" w:cs="Times New Roman"/>
        </w:rPr>
        <w:t xml:space="preserve">, </w:t>
      </w:r>
      <w:proofErr w:type="spellStart"/>
      <w:r w:rsidRPr="009361EB">
        <w:rPr>
          <w:rStyle w:val="VerbatimChar"/>
          <w:rFonts w:ascii="Times New Roman" w:hAnsi="Times New Roman" w:cs="Times New Roman"/>
          <w:sz w:val="24"/>
        </w:rPr>
        <w:t>PRI.cut</w:t>
      </w:r>
      <w:proofErr w:type="spellEnd"/>
      <w:r w:rsidRPr="009361EB">
        <w:rPr>
          <w:rFonts w:ascii="Times New Roman" w:hAnsi="Times New Roman" w:cs="Times New Roman"/>
        </w:rPr>
        <w:t xml:space="preserve">, and </w:t>
      </w:r>
      <w:proofErr w:type="spellStart"/>
      <w:r w:rsidRPr="009361EB">
        <w:rPr>
          <w:rStyle w:val="VerbatimChar"/>
          <w:rFonts w:ascii="Times New Roman" w:hAnsi="Times New Roman" w:cs="Times New Roman"/>
          <w:sz w:val="24"/>
        </w:rPr>
        <w:t>n.cut</w:t>
      </w:r>
      <w:proofErr w:type="spellEnd"/>
      <w:r w:rsidRPr="009361EB">
        <w:rPr>
          <w:rFonts w:ascii="Times New Roman" w:hAnsi="Times New Roman" w:cs="Times New Roman"/>
        </w:rPr>
        <w:t xml:space="preserve"> values, following Krogslund et al.’s (2015) recommendation to report results across the full parameter space rather than only the values that produce the preferred solution. The grid below includes the thresholds at which no solution survives at all.</w:t>
      </w:r>
    </w:p>
    <w:p w14:paraId="6866DBBE"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b/>
          <w:bCs/>
          <w:szCs w:val="24"/>
        </w:rPr>
        <w:t>Table E1. Robustness of the Y solution across parameter values</w:t>
      </w: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930"/>
        <w:gridCol w:w="943"/>
        <w:gridCol w:w="690"/>
        <w:gridCol w:w="4723"/>
      </w:tblGrid>
      <w:tr w:rsidR="00542152" w:rsidRPr="009361EB" w14:paraId="3A64A51E" w14:textId="77777777" w:rsidTr="0052101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D08FF89" w14:textId="77777777" w:rsidR="00542152" w:rsidRPr="009361EB" w:rsidRDefault="00542152" w:rsidP="00521013">
            <w:pPr>
              <w:pStyle w:val="Compact"/>
              <w:jc w:val="thaiDistribute"/>
              <w:rPr>
                <w:rFonts w:ascii="Times New Roman" w:hAnsi="Times New Roman" w:cs="Times New Roman"/>
                <w:sz w:val="24"/>
              </w:rPr>
            </w:pPr>
            <w:proofErr w:type="spellStart"/>
            <w:r w:rsidRPr="009361EB">
              <w:rPr>
                <w:rFonts w:ascii="Times New Roman" w:hAnsi="Times New Roman" w:cs="Times New Roman"/>
                <w:sz w:val="24"/>
              </w:rPr>
              <w:t>incl.cut</w:t>
            </w:r>
            <w:proofErr w:type="spellEnd"/>
          </w:p>
        </w:tc>
        <w:tc>
          <w:tcPr>
            <w:tcW w:w="0" w:type="auto"/>
            <w:tcBorders>
              <w:bottom w:val="none" w:sz="0" w:space="0" w:color="auto"/>
            </w:tcBorders>
          </w:tcPr>
          <w:p w14:paraId="6D3FF9BE" w14:textId="77777777" w:rsidR="00542152" w:rsidRPr="009361EB" w:rsidRDefault="00542152" w:rsidP="00521013">
            <w:pPr>
              <w:pStyle w:val="Compact"/>
              <w:jc w:val="thaiDistribute"/>
              <w:rPr>
                <w:rFonts w:ascii="Times New Roman" w:hAnsi="Times New Roman" w:cs="Times New Roman"/>
                <w:sz w:val="24"/>
              </w:rPr>
            </w:pPr>
            <w:proofErr w:type="spellStart"/>
            <w:r w:rsidRPr="009361EB">
              <w:rPr>
                <w:rFonts w:ascii="Times New Roman" w:hAnsi="Times New Roman" w:cs="Times New Roman"/>
                <w:sz w:val="24"/>
              </w:rPr>
              <w:t>PRI.cut</w:t>
            </w:r>
            <w:proofErr w:type="spellEnd"/>
          </w:p>
        </w:tc>
        <w:tc>
          <w:tcPr>
            <w:tcW w:w="0" w:type="auto"/>
            <w:tcBorders>
              <w:bottom w:val="none" w:sz="0" w:space="0" w:color="auto"/>
            </w:tcBorders>
          </w:tcPr>
          <w:p w14:paraId="4A5CD918" w14:textId="77777777" w:rsidR="00542152" w:rsidRPr="009361EB" w:rsidRDefault="00542152" w:rsidP="00521013">
            <w:pPr>
              <w:pStyle w:val="Compact"/>
              <w:jc w:val="thaiDistribute"/>
              <w:rPr>
                <w:rFonts w:ascii="Times New Roman" w:hAnsi="Times New Roman" w:cs="Times New Roman"/>
                <w:sz w:val="24"/>
              </w:rPr>
            </w:pPr>
            <w:proofErr w:type="spellStart"/>
            <w:r w:rsidRPr="009361EB">
              <w:rPr>
                <w:rFonts w:ascii="Times New Roman" w:hAnsi="Times New Roman" w:cs="Times New Roman"/>
                <w:sz w:val="24"/>
              </w:rPr>
              <w:t>n.cut</w:t>
            </w:r>
            <w:proofErr w:type="spellEnd"/>
          </w:p>
        </w:tc>
        <w:tc>
          <w:tcPr>
            <w:tcW w:w="0" w:type="auto"/>
            <w:tcBorders>
              <w:bottom w:val="none" w:sz="0" w:space="0" w:color="auto"/>
            </w:tcBorders>
          </w:tcPr>
          <w:p w14:paraId="67015D4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Solution</w:t>
            </w:r>
          </w:p>
        </w:tc>
      </w:tr>
      <w:tr w:rsidR="00542152" w:rsidRPr="009361EB" w14:paraId="53E3E201" w14:textId="77777777" w:rsidTr="00521013">
        <w:tc>
          <w:tcPr>
            <w:tcW w:w="0" w:type="auto"/>
          </w:tcPr>
          <w:p w14:paraId="421F437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446B343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0.65</w:t>
            </w:r>
          </w:p>
        </w:tc>
        <w:tc>
          <w:tcPr>
            <w:tcW w:w="0" w:type="auto"/>
          </w:tcPr>
          <w:p w14:paraId="5FBE3C7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2022034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CERT·PRICE·ENV·NORM</w:t>
            </w:r>
          </w:p>
        </w:tc>
      </w:tr>
      <w:tr w:rsidR="00542152" w:rsidRPr="009361EB" w14:paraId="54ED761A" w14:textId="77777777" w:rsidTr="00521013">
        <w:tc>
          <w:tcPr>
            <w:tcW w:w="0" w:type="auto"/>
          </w:tcPr>
          <w:p w14:paraId="686210D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0" w:type="auto"/>
          </w:tcPr>
          <w:p w14:paraId="152CBEB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0.65</w:t>
            </w:r>
          </w:p>
        </w:tc>
        <w:tc>
          <w:tcPr>
            <w:tcW w:w="0" w:type="auto"/>
          </w:tcPr>
          <w:p w14:paraId="709DCF5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7129354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CERT·PRICE·ENV·NORM</w:t>
            </w:r>
          </w:p>
        </w:tc>
      </w:tr>
      <w:tr w:rsidR="00542152" w:rsidRPr="009361EB" w14:paraId="0D8722CA" w14:textId="77777777" w:rsidTr="00521013">
        <w:tc>
          <w:tcPr>
            <w:tcW w:w="0" w:type="auto"/>
          </w:tcPr>
          <w:p w14:paraId="34D89BC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0" w:type="auto"/>
          </w:tcPr>
          <w:p w14:paraId="74DD4DC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0.65</w:t>
            </w:r>
          </w:p>
        </w:tc>
        <w:tc>
          <w:tcPr>
            <w:tcW w:w="0" w:type="auto"/>
          </w:tcPr>
          <w:p w14:paraId="68FDAA6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667E120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CERT·PRICE·ENV·NORM</w:t>
            </w:r>
          </w:p>
        </w:tc>
      </w:tr>
      <w:tr w:rsidR="00542152" w:rsidRPr="009361EB" w14:paraId="41123FF8" w14:textId="77777777" w:rsidTr="00521013">
        <w:tc>
          <w:tcPr>
            <w:tcW w:w="0" w:type="auto"/>
          </w:tcPr>
          <w:p w14:paraId="144E5D5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1D60017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0.70</w:t>
            </w:r>
          </w:p>
        </w:tc>
        <w:tc>
          <w:tcPr>
            <w:tcW w:w="0" w:type="auto"/>
          </w:tcPr>
          <w:p w14:paraId="0725F04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5580964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CERT·PRICE·ENV·NORM</w:t>
            </w:r>
          </w:p>
        </w:tc>
      </w:tr>
      <w:tr w:rsidR="00542152" w:rsidRPr="009361EB" w14:paraId="5480866A" w14:textId="77777777" w:rsidTr="00521013">
        <w:tc>
          <w:tcPr>
            <w:tcW w:w="0" w:type="auto"/>
          </w:tcPr>
          <w:p w14:paraId="742CD19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0" w:type="auto"/>
          </w:tcPr>
          <w:p w14:paraId="7670F55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0.70</w:t>
            </w:r>
          </w:p>
        </w:tc>
        <w:tc>
          <w:tcPr>
            <w:tcW w:w="0" w:type="auto"/>
          </w:tcPr>
          <w:p w14:paraId="66816EC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0E830C6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CERT·PRICE·ENV·NORM</w:t>
            </w:r>
          </w:p>
        </w:tc>
      </w:tr>
      <w:tr w:rsidR="00542152" w:rsidRPr="009361EB" w14:paraId="4222A8D5" w14:textId="77777777" w:rsidTr="00521013">
        <w:tc>
          <w:tcPr>
            <w:tcW w:w="0" w:type="auto"/>
          </w:tcPr>
          <w:p w14:paraId="61B1820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0" w:type="auto"/>
          </w:tcPr>
          <w:p w14:paraId="71D6012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0.70</w:t>
            </w:r>
          </w:p>
        </w:tc>
        <w:tc>
          <w:tcPr>
            <w:tcW w:w="0" w:type="auto"/>
          </w:tcPr>
          <w:p w14:paraId="39F6773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3F47D77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CERT·PRICE·ENV·NORM</w:t>
            </w:r>
          </w:p>
        </w:tc>
      </w:tr>
      <w:tr w:rsidR="00542152" w:rsidRPr="009361EB" w14:paraId="1CDF2064" w14:textId="77777777" w:rsidTr="00521013">
        <w:tc>
          <w:tcPr>
            <w:tcW w:w="0" w:type="auto"/>
          </w:tcPr>
          <w:p w14:paraId="46B3C5B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79B53BF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38C9A8C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2B5CA97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i/>
                <w:iCs/>
                <w:sz w:val="24"/>
              </w:rPr>
              <w:t>No solution</w:t>
            </w:r>
          </w:p>
        </w:tc>
      </w:tr>
      <w:tr w:rsidR="00542152" w:rsidRPr="009361EB" w14:paraId="2263A9A3" w14:textId="77777777" w:rsidTr="00521013">
        <w:tc>
          <w:tcPr>
            <w:tcW w:w="0" w:type="auto"/>
          </w:tcPr>
          <w:p w14:paraId="36EA591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0" w:type="auto"/>
          </w:tcPr>
          <w:p w14:paraId="5768D378"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6B85960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7EDA93C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i/>
                <w:iCs/>
                <w:sz w:val="24"/>
              </w:rPr>
              <w:t>No solution</w:t>
            </w:r>
          </w:p>
        </w:tc>
      </w:tr>
      <w:tr w:rsidR="00542152" w:rsidRPr="009361EB" w14:paraId="295B7E95" w14:textId="77777777" w:rsidTr="00521013">
        <w:tc>
          <w:tcPr>
            <w:tcW w:w="0" w:type="auto"/>
          </w:tcPr>
          <w:p w14:paraId="646F873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0" w:type="auto"/>
          </w:tcPr>
          <w:p w14:paraId="25A2266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58A777A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2BA6641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i/>
                <w:iCs/>
                <w:sz w:val="24"/>
              </w:rPr>
              <w:t>No solution</w:t>
            </w:r>
          </w:p>
        </w:tc>
      </w:tr>
      <w:tr w:rsidR="00542152" w:rsidRPr="009361EB" w14:paraId="297AAD9D" w14:textId="77777777" w:rsidTr="00521013">
        <w:tc>
          <w:tcPr>
            <w:tcW w:w="0" w:type="auto"/>
          </w:tcPr>
          <w:p w14:paraId="3613EFFF"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35EAE99F"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0.65</w:t>
            </w:r>
          </w:p>
        </w:tc>
        <w:tc>
          <w:tcPr>
            <w:tcW w:w="0" w:type="auto"/>
          </w:tcPr>
          <w:p w14:paraId="1011466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01C624B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 xml:space="preserve">CERT·PRICE·NORM </w:t>
            </w:r>
            <w:r w:rsidRPr="009361EB">
              <w:rPr>
                <w:rFonts w:ascii="Times New Roman" w:hAnsi="Times New Roman" w:cs="Times New Roman"/>
                <w:b/>
                <w:bCs/>
                <w:sz w:val="24"/>
              </w:rPr>
              <w:t>or</w:t>
            </w:r>
            <w:r w:rsidRPr="009361EB">
              <w:rPr>
                <w:rFonts w:ascii="Times New Roman" w:hAnsi="Times New Roman" w:cs="Times New Roman"/>
                <w:sz w:val="24"/>
              </w:rPr>
              <w:t xml:space="preserve"> CERT·ENV·NORM</w:t>
            </w:r>
          </w:p>
        </w:tc>
      </w:tr>
      <w:tr w:rsidR="00542152" w:rsidRPr="009361EB" w14:paraId="24628DD3" w14:textId="77777777" w:rsidTr="00521013">
        <w:tc>
          <w:tcPr>
            <w:tcW w:w="0" w:type="auto"/>
          </w:tcPr>
          <w:p w14:paraId="6263178F"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0" w:type="auto"/>
          </w:tcPr>
          <w:p w14:paraId="0E8BAA4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0.65</w:t>
            </w:r>
          </w:p>
        </w:tc>
        <w:tc>
          <w:tcPr>
            <w:tcW w:w="0" w:type="auto"/>
          </w:tcPr>
          <w:p w14:paraId="1F10642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52DDDC8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 xml:space="preserve">CERT·PRICE·NORM </w:t>
            </w:r>
            <w:r w:rsidRPr="009361EB">
              <w:rPr>
                <w:rFonts w:ascii="Times New Roman" w:hAnsi="Times New Roman" w:cs="Times New Roman"/>
                <w:b/>
                <w:bCs/>
                <w:sz w:val="24"/>
              </w:rPr>
              <w:t>or</w:t>
            </w:r>
            <w:r w:rsidRPr="009361EB">
              <w:rPr>
                <w:rFonts w:ascii="Times New Roman" w:hAnsi="Times New Roman" w:cs="Times New Roman"/>
                <w:sz w:val="24"/>
              </w:rPr>
              <w:t xml:space="preserve"> CERT·ENV·NORM</w:t>
            </w:r>
          </w:p>
        </w:tc>
      </w:tr>
      <w:tr w:rsidR="00542152" w:rsidRPr="009361EB" w14:paraId="77BA593E" w14:textId="77777777" w:rsidTr="00521013">
        <w:tc>
          <w:tcPr>
            <w:tcW w:w="0" w:type="auto"/>
          </w:tcPr>
          <w:p w14:paraId="73E79C8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0" w:type="auto"/>
          </w:tcPr>
          <w:p w14:paraId="176C24A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0.65</w:t>
            </w:r>
          </w:p>
        </w:tc>
        <w:tc>
          <w:tcPr>
            <w:tcW w:w="0" w:type="auto"/>
          </w:tcPr>
          <w:p w14:paraId="2AC71D6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33C06A4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 xml:space="preserve">CERT·PRICE·NORM </w:t>
            </w:r>
            <w:r w:rsidRPr="009361EB">
              <w:rPr>
                <w:rFonts w:ascii="Times New Roman" w:hAnsi="Times New Roman" w:cs="Times New Roman"/>
                <w:b/>
                <w:bCs/>
                <w:sz w:val="24"/>
              </w:rPr>
              <w:t>or</w:t>
            </w:r>
            <w:r w:rsidRPr="009361EB">
              <w:rPr>
                <w:rFonts w:ascii="Times New Roman" w:hAnsi="Times New Roman" w:cs="Times New Roman"/>
                <w:sz w:val="24"/>
              </w:rPr>
              <w:t xml:space="preserve"> CERT·ENV·NORM</w:t>
            </w:r>
          </w:p>
        </w:tc>
      </w:tr>
      <w:tr w:rsidR="00542152" w:rsidRPr="009361EB" w14:paraId="6C252A15" w14:textId="77777777" w:rsidTr="00521013">
        <w:tc>
          <w:tcPr>
            <w:tcW w:w="0" w:type="auto"/>
          </w:tcPr>
          <w:p w14:paraId="42FEA0D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3D6D924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0.70</w:t>
            </w:r>
          </w:p>
        </w:tc>
        <w:tc>
          <w:tcPr>
            <w:tcW w:w="0" w:type="auto"/>
          </w:tcPr>
          <w:p w14:paraId="2F927C4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21B65D4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 xml:space="preserve">CERT·PRICE·NORM </w:t>
            </w:r>
            <w:r w:rsidRPr="009361EB">
              <w:rPr>
                <w:rFonts w:ascii="Times New Roman" w:hAnsi="Times New Roman" w:cs="Times New Roman"/>
                <w:b/>
                <w:bCs/>
                <w:sz w:val="24"/>
              </w:rPr>
              <w:t>or</w:t>
            </w:r>
            <w:r w:rsidRPr="009361EB">
              <w:rPr>
                <w:rFonts w:ascii="Times New Roman" w:hAnsi="Times New Roman" w:cs="Times New Roman"/>
                <w:sz w:val="24"/>
              </w:rPr>
              <w:t xml:space="preserve"> CERT·ENV·NORM</w:t>
            </w:r>
          </w:p>
        </w:tc>
      </w:tr>
      <w:tr w:rsidR="00542152" w:rsidRPr="009361EB" w14:paraId="42F424D5" w14:textId="77777777" w:rsidTr="00521013">
        <w:tc>
          <w:tcPr>
            <w:tcW w:w="0" w:type="auto"/>
          </w:tcPr>
          <w:p w14:paraId="68CC57C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0" w:type="auto"/>
          </w:tcPr>
          <w:p w14:paraId="025103C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0.70</w:t>
            </w:r>
          </w:p>
        </w:tc>
        <w:tc>
          <w:tcPr>
            <w:tcW w:w="0" w:type="auto"/>
          </w:tcPr>
          <w:p w14:paraId="790BAF61"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5054094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 xml:space="preserve">CERT·PRICE·NORM </w:t>
            </w:r>
            <w:r w:rsidRPr="009361EB">
              <w:rPr>
                <w:rFonts w:ascii="Times New Roman" w:hAnsi="Times New Roman" w:cs="Times New Roman"/>
                <w:b/>
                <w:bCs/>
                <w:sz w:val="24"/>
              </w:rPr>
              <w:t>or</w:t>
            </w:r>
            <w:r w:rsidRPr="009361EB">
              <w:rPr>
                <w:rFonts w:ascii="Times New Roman" w:hAnsi="Times New Roman" w:cs="Times New Roman"/>
                <w:sz w:val="24"/>
              </w:rPr>
              <w:t xml:space="preserve"> CERT·ENV·NORM</w:t>
            </w:r>
          </w:p>
        </w:tc>
      </w:tr>
      <w:tr w:rsidR="00542152" w:rsidRPr="009361EB" w14:paraId="6BBCB404" w14:textId="77777777" w:rsidTr="00521013">
        <w:tc>
          <w:tcPr>
            <w:tcW w:w="0" w:type="auto"/>
          </w:tcPr>
          <w:p w14:paraId="2B35E2E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0" w:type="auto"/>
          </w:tcPr>
          <w:p w14:paraId="4D4DDA55"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0.70</w:t>
            </w:r>
          </w:p>
        </w:tc>
        <w:tc>
          <w:tcPr>
            <w:tcW w:w="0" w:type="auto"/>
          </w:tcPr>
          <w:p w14:paraId="3EBDCDB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128AA3D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 xml:space="preserve">CERT·PRICE·NORM </w:t>
            </w:r>
            <w:r w:rsidRPr="009361EB">
              <w:rPr>
                <w:rFonts w:ascii="Times New Roman" w:hAnsi="Times New Roman" w:cs="Times New Roman"/>
                <w:b/>
                <w:bCs/>
                <w:sz w:val="24"/>
              </w:rPr>
              <w:t>or</w:t>
            </w:r>
            <w:r w:rsidRPr="009361EB">
              <w:rPr>
                <w:rFonts w:ascii="Times New Roman" w:hAnsi="Times New Roman" w:cs="Times New Roman"/>
                <w:sz w:val="24"/>
              </w:rPr>
              <w:t xml:space="preserve"> CERT·ENV·NORM</w:t>
            </w:r>
          </w:p>
        </w:tc>
      </w:tr>
      <w:tr w:rsidR="00542152" w:rsidRPr="009361EB" w14:paraId="0CD8FE8E" w14:textId="77777777" w:rsidTr="00521013">
        <w:tc>
          <w:tcPr>
            <w:tcW w:w="0" w:type="auto"/>
          </w:tcPr>
          <w:p w14:paraId="4152E4C8"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241F92B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6A4C49F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0BBDD675"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i/>
                <w:iCs/>
                <w:sz w:val="24"/>
              </w:rPr>
              <w:t>No solution</w:t>
            </w:r>
          </w:p>
        </w:tc>
      </w:tr>
      <w:tr w:rsidR="00542152" w:rsidRPr="009361EB" w14:paraId="7DC7A7AA" w14:textId="77777777" w:rsidTr="00521013">
        <w:tc>
          <w:tcPr>
            <w:tcW w:w="0" w:type="auto"/>
          </w:tcPr>
          <w:p w14:paraId="7BAA3BF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0" w:type="auto"/>
          </w:tcPr>
          <w:p w14:paraId="4CCB5D4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30C651DF"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433FB32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i/>
                <w:iCs/>
                <w:sz w:val="24"/>
              </w:rPr>
              <w:t>No solution</w:t>
            </w:r>
          </w:p>
        </w:tc>
      </w:tr>
      <w:tr w:rsidR="00542152" w:rsidRPr="009361EB" w14:paraId="367892EC" w14:textId="77777777" w:rsidTr="00521013">
        <w:tc>
          <w:tcPr>
            <w:tcW w:w="0" w:type="auto"/>
          </w:tcPr>
          <w:p w14:paraId="6F782B2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0" w:type="auto"/>
          </w:tcPr>
          <w:p w14:paraId="701D584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0" w:type="auto"/>
          </w:tcPr>
          <w:p w14:paraId="30D1850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70E9052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i/>
                <w:iCs/>
                <w:sz w:val="24"/>
              </w:rPr>
              <w:t>No solution</w:t>
            </w:r>
          </w:p>
        </w:tc>
      </w:tr>
    </w:tbl>
    <w:p w14:paraId="4AA94013"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 xml:space="preserve">Three findings emerge from this grid, reproduced from the field data. First, the solution is stable across inclusion thresholds, since with PRI ≥ 0.65 and n.cut = 1 the solution is invariant to incl.cut across the range 0.75 to 0.85, a fairly positive robustness signal. Second, the solution is somewhat sensitive to the frequency threshold, since with n.cut = 2 rows with a single case are reclassified as remainders and the intermediate solution produces two equally valid three-condition conjunctions, CERT·PRICE·NORM and CERT·ENV·NORM. The two alternatives are equivalent in fit, and what they share is that CERT and NORM survive in both while one of PRICE or ENV drops out, so PRICE and ENV are the less robustly implicated conditions at the </w:t>
      </w:r>
      <w:r w:rsidRPr="009361EB">
        <w:rPr>
          <w:rFonts w:ascii="Times New Roman" w:hAnsi="Times New Roman" w:cs="Times New Roman"/>
          <w:szCs w:val="24"/>
        </w:rPr>
        <w:lastRenderedPageBreak/>
        <w:t>higher frequency threshold, and CERT and NORM the most robust. The choice to test n.cut = 2 alongside n.cut = 1 follows the rule of thumb that a frequency threshold of 2 is appropriate for samples below roughly 150 cases, with 3 or more recommended for larger samples (Cangialosi, 2023), which is why the grid does not extend to n.cut = 3 given the pilot’s sample size. Third, the solution is limited by PRI, since at PRI ≥ 0.75 no row is selected for Y at all, because the all-present row has a PRI of only 0.725. The sufficiency claim is therefore meaningful but not quite strong enough to survive a stricter PRI rule, a limitation the paper reports rather than obscures.</w:t>
      </w:r>
    </w:p>
    <w:p w14:paraId="5A0BF8A9"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As an additional screening check, the primary analysis was re-run excluding the six attention-check failures (N = 123, see Section 5.8). The Y solution is unchanged, namely the conjunction of CERT, PRICE, ENV, and NORM, with incl = 0.902, PRI = 0.726, and coverage = 0.542. The ¬Y solution remains absence-based, collapsing the four paths to three, since ¬CERT·¬ENV replaces the two paths that shared its components, with overall incl = 0.842, PRI = 0.676, and coverage = 0.769. All substantive conclusions are invariant to this exclusion.</w:t>
      </w:r>
    </w:p>
    <w:p w14:paraId="184F4A7B" w14:textId="77777777" w:rsidR="00542152" w:rsidRPr="009361EB" w:rsidRDefault="00542152" w:rsidP="00542152">
      <w:pPr>
        <w:pStyle w:val="Heading2"/>
        <w:jc w:val="thaiDistribute"/>
        <w:rPr>
          <w:rFonts w:ascii="Times New Roman" w:hAnsi="Times New Roman" w:cs="Times New Roman"/>
          <w:b/>
          <w:bCs/>
          <w:color w:val="auto"/>
          <w:sz w:val="24"/>
          <w:szCs w:val="24"/>
        </w:rPr>
      </w:pPr>
      <w:bookmarkStart w:id="10" w:name="Xf6289e390f48f29762e094a2e196321f56bbbb2"/>
      <w:bookmarkEnd w:id="9"/>
      <w:r w:rsidRPr="009361EB">
        <w:rPr>
          <w:rFonts w:ascii="Times New Roman" w:hAnsi="Times New Roman" w:cs="Times New Roman"/>
          <w:b/>
          <w:bCs/>
          <w:color w:val="auto"/>
          <w:sz w:val="24"/>
          <w:szCs w:val="24"/>
        </w:rPr>
        <w:t>Appendix F. Toy Example for a Manual fsQCA Walkthrough</w:t>
      </w:r>
    </w:p>
    <w:p w14:paraId="34E9176B"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11" w:name="f.1-purpose"/>
      <w:r w:rsidRPr="009361EB">
        <w:rPr>
          <w:rFonts w:ascii="Times New Roman" w:hAnsi="Times New Roman" w:cs="Times New Roman"/>
          <w:b/>
          <w:bCs/>
          <w:color w:val="auto"/>
          <w:sz w:val="24"/>
          <w:szCs w:val="24"/>
        </w:rPr>
        <w:t>F.1 Purpose</w:t>
      </w:r>
    </w:p>
    <w:p w14:paraId="6D342954"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To fix the concepts from Section 2 against a concrete case, this appendix works through one small example by hand, namely ten hypothetical tourists on a guided tour, three conditions, and one outcome.</w:t>
      </w:r>
    </w:p>
    <w:p w14:paraId="052263F8"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A, Knowledgeable Guide</w:t>
      </w:r>
    </w:p>
    <w:p w14:paraId="1361DC84"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B, Small Group Size</w:t>
      </w:r>
    </w:p>
    <w:p w14:paraId="2C556901"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C, Good Weather</w:t>
      </w:r>
    </w:p>
    <w:p w14:paraId="63AA15EA"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Y, High Tourist Satisfaction</w:t>
      </w:r>
    </w:p>
    <w:p w14:paraId="0F17A7F3"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This example is deliberately unrelated in content to the pilot study that illustrates the paper’s framework in Sections 4–5. Its purpose is to teach the mechanics of moving from calibrated scores to a verified solution, not to model tourism theory or demonstrate instrument design. Table F1 therefore presents already-calibrated fuzzy scores directly, rather than raw pre-calibration item responses.</w:t>
      </w:r>
    </w:p>
    <w:p w14:paraId="1992C502"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 xml:space="preserve">All computations below were run in R using the </w:t>
      </w:r>
      <w:r w:rsidRPr="009361EB">
        <w:rPr>
          <w:rStyle w:val="VerbatimChar"/>
          <w:rFonts w:ascii="Times New Roman" w:hAnsi="Times New Roman" w:cs="Times New Roman"/>
          <w:sz w:val="24"/>
          <w:szCs w:val="24"/>
        </w:rPr>
        <w:t>QCA</w:t>
      </w:r>
      <w:r w:rsidRPr="009361EB">
        <w:rPr>
          <w:rFonts w:ascii="Times New Roman" w:hAnsi="Times New Roman" w:cs="Times New Roman"/>
          <w:szCs w:val="24"/>
        </w:rPr>
        <w:t xml:space="preserve"> package (Duşa, 2019), rather than derived by hand and checked afterward, the reverse of the order common in published examples and the one most likely to let an error survive into print.</w:t>
      </w:r>
    </w:p>
    <w:p w14:paraId="2E9CAC41"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12" w:name="f.2-structural-design-of-the-toy-data"/>
      <w:bookmarkEnd w:id="11"/>
      <w:r w:rsidRPr="009361EB">
        <w:rPr>
          <w:rFonts w:ascii="Times New Roman" w:hAnsi="Times New Roman" w:cs="Times New Roman"/>
          <w:b/>
          <w:bCs/>
          <w:color w:val="auto"/>
          <w:sz w:val="24"/>
          <w:szCs w:val="24"/>
        </w:rPr>
        <w:t>F.2 Structural Design of the Toy Data</w:t>
      </w:r>
    </w:p>
    <w:p w14:paraId="4B88FAE0"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The ten cases were constructed so that each condition has a distinct logical role before a single case was written.</w:t>
      </w:r>
    </w:p>
    <w:p w14:paraId="610D453B"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A (Knowledgeable Guide), necessary but not by itself sufficient</w:t>
      </w:r>
    </w:p>
    <w:p w14:paraId="5525CAD0"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B (Small Group), sufficient in combination with A (equifinality path 1)</w:t>
      </w:r>
    </w:p>
    <w:p w14:paraId="25E27A5C" w14:textId="77777777" w:rsidR="00542152" w:rsidRPr="009361EB" w:rsidRDefault="00542152" w:rsidP="00542152">
      <w:pPr>
        <w:pStyle w:val="Compact"/>
        <w:numPr>
          <w:ilvl w:val="0"/>
          <w:numId w:val="9"/>
        </w:numPr>
        <w:jc w:val="thaiDistribute"/>
        <w:rPr>
          <w:rFonts w:ascii="Times New Roman" w:hAnsi="Times New Roman" w:cs="Times New Roman"/>
        </w:rPr>
      </w:pPr>
      <w:r w:rsidRPr="009361EB">
        <w:rPr>
          <w:rFonts w:ascii="Times New Roman" w:hAnsi="Times New Roman" w:cs="Times New Roman"/>
        </w:rPr>
        <w:t>C (Good Weather), sufficient in combination with A (equifinality path 2)</w:t>
      </w:r>
    </w:p>
    <w:p w14:paraId="7C7CEB5E"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lastRenderedPageBreak/>
        <w:t>This design produces three sufficient truth-table rows (A·B·¬C, A·B·C, A·¬B·C), two rows where the necessary condition alone is present but the outcome is absent (A·¬B·¬C), and the all-absent negative case. Three logical configurations, namely those where A is absent while B and/or C are present, have no empirical cases and are therefore logical remainders. The parsimonious solution exploits these remainders to drop A from the final expression. The intermediate solution does not, because the directional expectation that A’s presence matters rules out assuming A-absent configurations would still produce satisfaction, the same mechanism behind the “missing counterfactual reasoning” problem cataloged in Section 3.2.</w:t>
      </w:r>
    </w:p>
    <w:p w14:paraId="5F5E6E15"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13" w:name="f.3-calibrated-data"/>
      <w:bookmarkEnd w:id="12"/>
      <w:r w:rsidRPr="009361EB">
        <w:rPr>
          <w:rFonts w:ascii="Times New Roman" w:hAnsi="Times New Roman" w:cs="Times New Roman"/>
          <w:b/>
          <w:bCs/>
          <w:color w:val="auto"/>
          <w:sz w:val="24"/>
          <w:szCs w:val="24"/>
        </w:rPr>
        <w:t>F.3 Calibrated Data</w:t>
      </w:r>
    </w:p>
    <w:p w14:paraId="44B1FBE9"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As shown in Table F1, the ten hypothetical cases carry calibrated fuzzy membership scores for each condition (A, B, C) and the outcome (Y).</w:t>
      </w:r>
    </w:p>
    <w:p w14:paraId="7B1A0324"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[please insert Table F1]</w:t>
      </w:r>
    </w:p>
    <w:p w14:paraId="2FF772B1"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14" w:name="f.4-truth-table"/>
      <w:bookmarkEnd w:id="13"/>
      <w:r w:rsidRPr="009361EB">
        <w:rPr>
          <w:rFonts w:ascii="Times New Roman" w:hAnsi="Times New Roman" w:cs="Times New Roman"/>
          <w:b/>
          <w:bCs/>
          <w:color w:val="auto"/>
          <w:sz w:val="24"/>
          <w:szCs w:val="24"/>
        </w:rPr>
        <w:t>F.4 Truth Table</w:t>
      </w:r>
    </w:p>
    <w:p w14:paraId="42F7B875"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Sorting the ten cases into the corners of the property space, with each condition coded 1 if its fuzzy score exceeds 0.5 and 0 otherwise, produces five observed configurations. Three of the eight logically possible configurations have no empirical cases and are logical remainders.</w:t>
      </w:r>
    </w:p>
    <w:p w14:paraId="346C3746"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As exhibited in Table F2, three observed rows are consistently sufficient for Y (incl ≥ 0.96), while the remaining two are consistently not (incl = 0.554 and 0.483). The remainders, namely A=0 with B=1 and C=1, A=0 with B=1 and C=0, and A=0 with B=0 and C=1, have no cases at all.</w:t>
      </w:r>
    </w:p>
    <w:p w14:paraId="369138F2"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[please insert Table F2]</w:t>
      </w:r>
    </w:p>
    <w:p w14:paraId="7C425E72"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15" w:name="f.5-necessity"/>
      <w:bookmarkEnd w:id="14"/>
      <w:r w:rsidRPr="009361EB">
        <w:rPr>
          <w:rFonts w:ascii="Times New Roman" w:hAnsi="Times New Roman" w:cs="Times New Roman"/>
          <w:b/>
          <w:bCs/>
          <w:color w:val="auto"/>
          <w:sz w:val="24"/>
          <w:szCs w:val="24"/>
        </w:rPr>
        <w:t>F.5 Necessity</w:t>
      </w:r>
    </w:p>
    <w:p w14:paraId="192E4702"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Before turning to sufficiency, it is worth checking whether either condition is necessary for Y.</w:t>
      </w:r>
    </w:p>
    <w:p w14:paraId="1F66DA7D"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As shown in Table F3, A’s necessity consistency of 1.000 means Y never exceeds A across any case, since every tourist reporting high satisfaction also had a knowledgeable guide. B’s necessity consistency of 0.730 falls well below the conventional 0.90 threshold, since small group size alone is not necessary, even though it forms part of a sufficient combination.</w:t>
      </w:r>
    </w:p>
    <w:p w14:paraId="47D8C12E"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[please insert Table F3]</w:t>
      </w:r>
    </w:p>
    <w:p w14:paraId="6177DE65"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16" w:name="f.6-three-solutions"/>
      <w:bookmarkEnd w:id="15"/>
      <w:r w:rsidRPr="009361EB">
        <w:rPr>
          <w:rFonts w:ascii="Times New Roman" w:hAnsi="Times New Roman" w:cs="Times New Roman"/>
          <w:b/>
          <w:bCs/>
          <w:color w:val="auto"/>
          <w:sz w:val="24"/>
          <w:szCs w:val="24"/>
        </w:rPr>
        <w:t>F.6 Three Solutions</w:t>
      </w:r>
    </w:p>
    <w:p w14:paraId="4E9BBCFB"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Complex (conservative) solution, with remainders excluded and no simplifying assumptions.</w:t>
      </w:r>
    </w:p>
    <w:p w14:paraId="47ADBF6D" w14:textId="77777777" w:rsidR="00542152" w:rsidRPr="009361EB" w:rsidRDefault="00542152" w:rsidP="00542152">
      <w:pPr>
        <w:pStyle w:val="BodyText"/>
        <w:jc w:val="thaiDistribute"/>
        <w:rPr>
          <w:rFonts w:ascii="Times New Roman" w:hAnsi="Times New Roman" w:cs="Times New Roman"/>
          <w:szCs w:val="24"/>
        </w:rPr>
      </w:pPr>
      <m:oMathPara>
        <m:oMathParaPr>
          <m:jc m:val="center"/>
        </m:oMathParaPr>
        <m:oMath>
          <m:r>
            <w:rPr>
              <w:rFonts w:ascii="Cambria Math" w:hAnsi="Cambria Math" w:cs="Times New Roman"/>
              <w:szCs w:val="24"/>
            </w:rPr>
            <m:t>A</m:t>
          </m:r>
          <m:r>
            <m:rPr>
              <m:sty m:val="p"/>
            </m:rPr>
            <w:rPr>
              <w:rFonts w:ascii="Cambria Math" w:hAnsi="Cambria Math" w:cs="Times New Roman"/>
              <w:szCs w:val="24"/>
            </w:rPr>
            <m:t>⋅</m:t>
          </m:r>
          <m:r>
            <w:rPr>
              <w:rFonts w:ascii="Cambria Math" w:hAnsi="Cambria Math" w:cs="Times New Roman"/>
              <w:szCs w:val="24"/>
            </w:rPr>
            <m:t>B</m:t>
          </m:r>
          <m:r>
            <m:rPr>
              <m:sty m:val="p"/>
            </m:rPr>
            <w:rPr>
              <w:rFonts w:ascii="Cambria Math" w:hAnsi="Cambria Math" w:cs="Times New Roman"/>
              <w:szCs w:val="24"/>
            </w:rPr>
            <m:t>+</m:t>
          </m:r>
          <m:r>
            <w:rPr>
              <w:rFonts w:ascii="Cambria Math" w:hAnsi="Cambria Math" w:cs="Times New Roman"/>
              <w:szCs w:val="24"/>
            </w:rPr>
            <m:t>A</m:t>
          </m:r>
          <m:r>
            <m:rPr>
              <m:sty m:val="p"/>
            </m:rPr>
            <w:rPr>
              <w:rFonts w:ascii="Cambria Math" w:hAnsi="Cambria Math" w:cs="Times New Roman"/>
              <w:szCs w:val="24"/>
            </w:rPr>
            <m:t>⋅</m:t>
          </m:r>
          <m:r>
            <w:rPr>
              <w:rFonts w:ascii="Cambria Math" w:hAnsi="Cambria Math" w:cs="Times New Roman"/>
              <w:szCs w:val="24"/>
            </w:rPr>
            <m:t>C</m:t>
          </m:r>
          <m:r>
            <m:rPr>
              <m:sty m:val="p"/>
            </m:rPr>
            <w:rPr>
              <w:rFonts w:ascii="Cambria Math" w:hAnsi="Cambria Math" w:cs="Times New Roman"/>
              <w:szCs w:val="24"/>
            </w:rPr>
            <m:t>→</m:t>
          </m:r>
          <m:r>
            <w:rPr>
              <w:rFonts w:ascii="Cambria Math" w:hAnsi="Cambria Math" w:cs="Times New Roman"/>
              <w:szCs w:val="24"/>
            </w:rPr>
            <m:t>Y </m:t>
          </m:r>
          <m:r>
            <m:rPr>
              <m:sty m:val="p"/>
            </m:rPr>
            <w:rPr>
              <w:rFonts w:ascii="Cambria Math" w:hAnsi="Cambria Math" w:cs="Times New Roman"/>
              <w:szCs w:val="24"/>
            </w:rPr>
            <m:t>(</m:t>
          </m:r>
          <m:r>
            <m:rPr>
              <m:nor/>
            </m:rPr>
            <w:rPr>
              <w:rFonts w:ascii="Times New Roman" w:hAnsi="Times New Roman" w:cs="Times New Roman"/>
              <w:szCs w:val="24"/>
            </w:rPr>
            <m:t>consistency</m:t>
          </m:r>
          <m:r>
            <w:rPr>
              <w:rFonts w:ascii="Cambria Math" w:hAnsi="Cambria Math" w:cs="Times New Roman"/>
              <w:szCs w:val="24"/>
            </w:rPr>
            <m:t> 0.982</m:t>
          </m:r>
          <m:r>
            <m:rPr>
              <m:sty m:val="p"/>
            </m:rPr>
            <w:rPr>
              <w:rFonts w:ascii="Cambria Math" w:hAnsi="Cambria Math" w:cs="Times New Roman"/>
              <w:szCs w:val="24"/>
            </w:rPr>
            <m:t>,</m:t>
          </m:r>
          <m:r>
            <w:rPr>
              <w:rFonts w:ascii="Cambria Math" w:hAnsi="Cambria Math" w:cs="Times New Roman"/>
              <w:szCs w:val="24"/>
            </w:rPr>
            <m:t> </m:t>
          </m:r>
          <m:r>
            <m:rPr>
              <m:nor/>
            </m:rPr>
            <w:rPr>
              <w:rFonts w:ascii="Times New Roman" w:hAnsi="Times New Roman" w:cs="Times New Roman"/>
              <w:szCs w:val="24"/>
            </w:rPr>
            <m:t>coverage</m:t>
          </m:r>
          <m:r>
            <w:rPr>
              <w:rFonts w:ascii="Cambria Math" w:hAnsi="Cambria Math" w:cs="Times New Roman"/>
              <w:szCs w:val="24"/>
            </w:rPr>
            <m:t> 0.982</m:t>
          </m:r>
          <m:r>
            <m:rPr>
              <m:sty m:val="p"/>
            </m:rPr>
            <w:rPr>
              <w:rFonts w:ascii="Cambria Math" w:hAnsi="Cambria Math" w:cs="Times New Roman"/>
              <w:szCs w:val="24"/>
            </w:rPr>
            <m:t>)</m:t>
          </m:r>
        </m:oMath>
      </m:oMathPara>
    </w:p>
    <w:p w14:paraId="6F95950E"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Two sufficient paths emerge, namely a knowledgeable guide combined with either a small group or good weather, equifinality in its plainest form, with A appearing in both paths, consistent with the necessity result above.</w:t>
      </w:r>
    </w:p>
    <w:p w14:paraId="58843FD5"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Parsimonious solution, with all three remainders treated as free don’t-cares.</w:t>
      </w:r>
    </w:p>
    <w:p w14:paraId="6491B10F" w14:textId="77777777" w:rsidR="00542152" w:rsidRPr="009361EB" w:rsidRDefault="00542152" w:rsidP="00542152">
      <w:pPr>
        <w:pStyle w:val="BodyText"/>
        <w:jc w:val="thaiDistribute"/>
        <w:rPr>
          <w:rFonts w:ascii="Times New Roman" w:hAnsi="Times New Roman" w:cs="Times New Roman"/>
          <w:szCs w:val="24"/>
        </w:rPr>
      </w:pPr>
      <m:oMathPara>
        <m:oMathParaPr>
          <m:jc m:val="center"/>
        </m:oMathParaPr>
        <m:oMath>
          <m:r>
            <w:rPr>
              <w:rFonts w:ascii="Cambria Math" w:hAnsi="Cambria Math" w:cs="Times New Roman"/>
              <w:szCs w:val="24"/>
            </w:rPr>
            <w:lastRenderedPageBreak/>
            <m:t>B</m:t>
          </m:r>
          <m:r>
            <m:rPr>
              <m:sty m:val="p"/>
            </m:rPr>
            <w:rPr>
              <w:rFonts w:ascii="Cambria Math" w:hAnsi="Cambria Math" w:cs="Times New Roman"/>
              <w:szCs w:val="24"/>
            </w:rPr>
            <m:t>+</m:t>
          </m:r>
          <m:r>
            <w:rPr>
              <w:rFonts w:ascii="Cambria Math" w:hAnsi="Cambria Math" w:cs="Times New Roman"/>
              <w:szCs w:val="24"/>
            </w:rPr>
            <m:t>C</m:t>
          </m:r>
          <m:r>
            <m:rPr>
              <m:sty m:val="p"/>
            </m:rPr>
            <w:rPr>
              <w:rFonts w:ascii="Cambria Math" w:hAnsi="Cambria Math" w:cs="Times New Roman"/>
              <w:szCs w:val="24"/>
            </w:rPr>
            <m:t>→</m:t>
          </m:r>
          <m:r>
            <w:rPr>
              <w:rFonts w:ascii="Cambria Math" w:hAnsi="Cambria Math" w:cs="Times New Roman"/>
              <w:szCs w:val="24"/>
            </w:rPr>
            <m:t>Y </m:t>
          </m:r>
          <m:r>
            <m:rPr>
              <m:sty m:val="p"/>
            </m:rPr>
            <w:rPr>
              <w:rFonts w:ascii="Cambria Math" w:hAnsi="Cambria Math" w:cs="Times New Roman"/>
              <w:szCs w:val="24"/>
            </w:rPr>
            <m:t>(</m:t>
          </m:r>
          <m:r>
            <m:rPr>
              <m:nor/>
            </m:rPr>
            <w:rPr>
              <w:rFonts w:ascii="Times New Roman" w:hAnsi="Times New Roman" w:cs="Times New Roman"/>
              <w:szCs w:val="24"/>
            </w:rPr>
            <m:t>consistency</m:t>
          </m:r>
          <m:r>
            <w:rPr>
              <w:rFonts w:ascii="Cambria Math" w:hAnsi="Cambria Math" w:cs="Times New Roman"/>
              <w:szCs w:val="24"/>
            </w:rPr>
            <m:t> 0.956</m:t>
          </m:r>
          <m:r>
            <m:rPr>
              <m:sty m:val="p"/>
            </m:rPr>
            <w:rPr>
              <w:rFonts w:ascii="Cambria Math" w:hAnsi="Cambria Math" w:cs="Times New Roman"/>
              <w:szCs w:val="24"/>
            </w:rPr>
            <m:t>,</m:t>
          </m:r>
          <m:r>
            <w:rPr>
              <w:rFonts w:ascii="Cambria Math" w:hAnsi="Cambria Math" w:cs="Times New Roman"/>
              <w:szCs w:val="24"/>
            </w:rPr>
            <m:t> </m:t>
          </m:r>
          <m:r>
            <m:rPr>
              <m:nor/>
            </m:rPr>
            <w:rPr>
              <w:rFonts w:ascii="Times New Roman" w:hAnsi="Times New Roman" w:cs="Times New Roman"/>
              <w:szCs w:val="24"/>
            </w:rPr>
            <m:t>coverage</m:t>
          </m:r>
          <m:r>
            <w:rPr>
              <w:rFonts w:ascii="Cambria Math" w:hAnsi="Cambria Math" w:cs="Times New Roman"/>
              <w:szCs w:val="24"/>
            </w:rPr>
            <m:t> 0.982</m:t>
          </m:r>
          <m:r>
            <m:rPr>
              <m:sty m:val="p"/>
            </m:rPr>
            <w:rPr>
              <w:rFonts w:ascii="Cambria Math" w:hAnsi="Cambria Math" w:cs="Times New Roman"/>
              <w:szCs w:val="24"/>
            </w:rPr>
            <m:t>)</m:t>
          </m:r>
        </m:oMath>
      </m:oMathPara>
    </w:p>
    <w:p w14:paraId="44426EC1"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The algorithm, in effect, assumes the three unobserved A-absent and B-or-C-present combinations would have produced high satisfaction, and on that assumption drops A entirely. The result is a shorter formula with similar fit, but it rests on an assumption the data never actually tested, and one that runs against the necessity result just established.</w:t>
      </w:r>
    </w:p>
    <w:p w14:paraId="439FC7F1"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szCs w:val="24"/>
        </w:rPr>
        <w:t>Intermediate solution, with remainders resolved using a stated directional expectation (Ragin, 2008; Schneider &amp; Wagemann, 2012), here that the presence of A, B, and C each contributes positively to Y.</w:t>
      </w:r>
    </w:p>
    <w:p w14:paraId="63C63C9E" w14:textId="77777777" w:rsidR="00542152" w:rsidRPr="009361EB" w:rsidRDefault="00542152" w:rsidP="00542152">
      <w:pPr>
        <w:pStyle w:val="BodyText"/>
        <w:jc w:val="thaiDistribute"/>
        <w:rPr>
          <w:rFonts w:ascii="Times New Roman" w:hAnsi="Times New Roman" w:cs="Times New Roman"/>
          <w:szCs w:val="24"/>
        </w:rPr>
      </w:pPr>
      <m:oMathPara>
        <m:oMathParaPr>
          <m:jc m:val="center"/>
        </m:oMathParaPr>
        <m:oMath>
          <m:r>
            <w:rPr>
              <w:rFonts w:ascii="Cambria Math" w:hAnsi="Cambria Math" w:cs="Times New Roman"/>
              <w:szCs w:val="24"/>
            </w:rPr>
            <m:t>A</m:t>
          </m:r>
          <m:r>
            <m:rPr>
              <m:sty m:val="p"/>
            </m:rPr>
            <w:rPr>
              <w:rFonts w:ascii="Cambria Math" w:hAnsi="Cambria Math" w:cs="Times New Roman"/>
              <w:szCs w:val="24"/>
            </w:rPr>
            <m:t>⋅</m:t>
          </m:r>
          <m:r>
            <w:rPr>
              <w:rFonts w:ascii="Cambria Math" w:hAnsi="Cambria Math" w:cs="Times New Roman"/>
              <w:szCs w:val="24"/>
            </w:rPr>
            <m:t>B</m:t>
          </m:r>
          <m:r>
            <m:rPr>
              <m:sty m:val="p"/>
            </m:rPr>
            <w:rPr>
              <w:rFonts w:ascii="Cambria Math" w:hAnsi="Cambria Math" w:cs="Times New Roman"/>
              <w:szCs w:val="24"/>
            </w:rPr>
            <m:t>+</m:t>
          </m:r>
          <m:r>
            <w:rPr>
              <w:rFonts w:ascii="Cambria Math" w:hAnsi="Cambria Math" w:cs="Times New Roman"/>
              <w:szCs w:val="24"/>
            </w:rPr>
            <m:t>A</m:t>
          </m:r>
          <m:r>
            <m:rPr>
              <m:sty m:val="p"/>
            </m:rPr>
            <w:rPr>
              <w:rFonts w:ascii="Cambria Math" w:hAnsi="Cambria Math" w:cs="Times New Roman"/>
              <w:szCs w:val="24"/>
            </w:rPr>
            <m:t>⋅</m:t>
          </m:r>
          <m:r>
            <w:rPr>
              <w:rFonts w:ascii="Cambria Math" w:hAnsi="Cambria Math" w:cs="Times New Roman"/>
              <w:szCs w:val="24"/>
            </w:rPr>
            <m:t>C</m:t>
          </m:r>
          <m:r>
            <m:rPr>
              <m:sty m:val="p"/>
            </m:rPr>
            <w:rPr>
              <w:rFonts w:ascii="Cambria Math" w:hAnsi="Cambria Math" w:cs="Times New Roman"/>
              <w:szCs w:val="24"/>
            </w:rPr>
            <m:t>→</m:t>
          </m:r>
          <m:r>
            <w:rPr>
              <w:rFonts w:ascii="Cambria Math" w:hAnsi="Cambria Math" w:cs="Times New Roman"/>
              <w:szCs w:val="24"/>
            </w:rPr>
            <m:t>Y </m:t>
          </m:r>
          <m:r>
            <m:rPr>
              <m:sty m:val="p"/>
            </m:rPr>
            <w:rPr>
              <w:rFonts w:ascii="Cambria Math" w:hAnsi="Cambria Math" w:cs="Times New Roman"/>
              <w:szCs w:val="24"/>
            </w:rPr>
            <m:t>(</m:t>
          </m:r>
          <m:r>
            <m:rPr>
              <m:nor/>
            </m:rPr>
            <w:rPr>
              <w:rFonts w:ascii="Times New Roman" w:hAnsi="Times New Roman" w:cs="Times New Roman"/>
              <w:szCs w:val="24"/>
            </w:rPr>
            <m:t>consistency</m:t>
          </m:r>
          <m:r>
            <w:rPr>
              <w:rFonts w:ascii="Cambria Math" w:hAnsi="Cambria Math" w:cs="Times New Roman"/>
              <w:szCs w:val="24"/>
            </w:rPr>
            <m:t> 0.982</m:t>
          </m:r>
          <m:r>
            <m:rPr>
              <m:sty m:val="p"/>
            </m:rPr>
            <w:rPr>
              <w:rFonts w:ascii="Cambria Math" w:hAnsi="Cambria Math" w:cs="Times New Roman"/>
              <w:szCs w:val="24"/>
            </w:rPr>
            <m:t>,</m:t>
          </m:r>
          <m:r>
            <w:rPr>
              <w:rFonts w:ascii="Cambria Math" w:hAnsi="Cambria Math" w:cs="Times New Roman"/>
              <w:szCs w:val="24"/>
            </w:rPr>
            <m:t> </m:t>
          </m:r>
          <m:r>
            <m:rPr>
              <m:nor/>
            </m:rPr>
            <w:rPr>
              <w:rFonts w:ascii="Times New Roman" w:hAnsi="Times New Roman" w:cs="Times New Roman"/>
              <w:szCs w:val="24"/>
            </w:rPr>
            <m:t>coverage</m:t>
          </m:r>
          <m:r>
            <w:rPr>
              <w:rFonts w:ascii="Cambria Math" w:hAnsi="Cambria Math" w:cs="Times New Roman"/>
              <w:szCs w:val="24"/>
            </w:rPr>
            <m:t> 0.982</m:t>
          </m:r>
          <m:r>
            <m:rPr>
              <m:sty m:val="p"/>
            </m:rPr>
            <w:rPr>
              <w:rFonts w:ascii="Cambria Math" w:hAnsi="Cambria Math" w:cs="Times New Roman"/>
              <w:szCs w:val="24"/>
            </w:rPr>
            <m:t>)</m:t>
          </m:r>
        </m:oMath>
      </m:oMathPara>
    </w:p>
    <w:p w14:paraId="471071F5"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The intermediate solution reverts to the complex solution, and this is not a coincidence, since every remainder available for simplification would have required assuming A’s absence was compatible with satisfaction, which directly contradicts the stated expectation. Once that assumption is ruled out, no simplification survives.</w:t>
      </w:r>
    </w:p>
    <w:p w14:paraId="5CF0A7CF"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17" w:name="f.7-interpretation"/>
      <w:bookmarkEnd w:id="16"/>
      <w:r w:rsidRPr="009361EB">
        <w:rPr>
          <w:rFonts w:ascii="Times New Roman" w:hAnsi="Times New Roman" w:cs="Times New Roman"/>
          <w:b/>
          <w:bCs/>
          <w:color w:val="auto"/>
          <w:sz w:val="24"/>
          <w:szCs w:val="24"/>
        </w:rPr>
        <w:t>F.7 Interpretation</w:t>
      </w:r>
    </w:p>
    <w:p w14:paraId="176287F1"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The parsimonious solution is not wrong in any technical sense, since it is a valid minimization given the remainders treated as free don’t-cares. Where it goes wrong is as something to report without comment, because it silently discards a condition, A, that this same dataset shows to be necessary. A reader given only the formula B plus C leading to Y would reasonably conclude a knowledgeable guide is irrelevant. A reader given the necessity table would conclude the opposite. The intermediate solution reconciles the two, not by splitting the difference but by making the researcher’s counterfactual assumption explicit and letting the data honor it. This is the same mechanism behind the “missing counterfactual reasoning” problem cataloged in Section 3.2, and it is why Section 4 (Step 5) and Section 5.9 treat the statement of directional expectations as a required step.</w:t>
      </w:r>
    </w:p>
    <w:p w14:paraId="3A05F6ED" w14:textId="77777777" w:rsidR="00542152" w:rsidRPr="009361EB" w:rsidRDefault="00542152" w:rsidP="00542152">
      <w:pPr>
        <w:pStyle w:val="Heading3"/>
        <w:jc w:val="thaiDistribute"/>
        <w:rPr>
          <w:rFonts w:ascii="Times New Roman" w:hAnsi="Times New Roman" w:cs="Times New Roman"/>
          <w:b/>
          <w:bCs/>
          <w:color w:val="auto"/>
          <w:sz w:val="24"/>
          <w:szCs w:val="24"/>
        </w:rPr>
      </w:pPr>
      <w:bookmarkStart w:id="18" w:name="f.8-relationship-to-the-pilot"/>
      <w:bookmarkEnd w:id="17"/>
      <w:r w:rsidRPr="009361EB">
        <w:rPr>
          <w:rFonts w:ascii="Times New Roman" w:hAnsi="Times New Roman" w:cs="Times New Roman"/>
          <w:b/>
          <w:bCs/>
          <w:color w:val="auto"/>
          <w:sz w:val="24"/>
          <w:szCs w:val="24"/>
        </w:rPr>
        <w:t>F.8 Relationship to the Pilot</w:t>
      </w:r>
    </w:p>
    <w:p w14:paraId="11DEBBCA" w14:textId="77777777" w:rsidR="00542152" w:rsidRPr="009361EB" w:rsidRDefault="00542152" w:rsidP="00542152">
      <w:pPr>
        <w:pStyle w:val="FirstParagraph"/>
        <w:jc w:val="thaiDistribute"/>
        <w:rPr>
          <w:rFonts w:ascii="Times New Roman" w:hAnsi="Times New Roman" w:cs="Times New Roman"/>
        </w:rPr>
      </w:pPr>
      <w:r w:rsidRPr="009361EB">
        <w:rPr>
          <w:rFonts w:ascii="Times New Roman" w:hAnsi="Times New Roman" w:cs="Times New Roman"/>
        </w:rPr>
        <w:t xml:space="preserve">Three structural features of this toy example are worth flagging, since the pilot in Section 5 differs from each. First, necessary conditions. A is necessary here (consistency = 1.000), whereas the pilot finds no condition reaches the 0.90 threshold, a substantive finding about sustainable destination choice rather than a methodological defect. Second, equifinality. This example produces two distinct sufficient paths, whereas the pilot finds a single conjunctural path requiring all four conditions jointly, and real data need not exhibit the equifinality pattern this toy example was built to teach. Third, three-solution divergence. The parsimonious solution here drops A, whereas the pilot’s three solutions converge, simply because a single sufficient row with no </w:t>
      </w:r>
      <w:proofErr w:type="spellStart"/>
      <w:r w:rsidRPr="009361EB">
        <w:rPr>
          <w:rFonts w:ascii="Times New Roman" w:hAnsi="Times New Roman" w:cs="Times New Roman"/>
        </w:rPr>
        <w:t>simplifiable</w:t>
      </w:r>
      <w:proofErr w:type="spellEnd"/>
      <w:r w:rsidRPr="009361EB">
        <w:rPr>
          <w:rFonts w:ascii="Times New Roman" w:hAnsi="Times New Roman" w:cs="Times New Roman"/>
        </w:rPr>
        <w:t xml:space="preserve"> remainders leaves the parsimonious algorithm nothing to drop. These differences are not limitations. They show that the same transparent methodology produces interpretable results whether or not real data match the teaching example’s structure.</w:t>
      </w:r>
    </w:p>
    <w:p w14:paraId="28D6F81F"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b/>
          <w:bCs/>
          <w:szCs w:val="24"/>
        </w:rPr>
        <w:t>Table F1. Calibrated fuzzy membership scores (ten cases)</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70"/>
        <w:gridCol w:w="1870"/>
        <w:gridCol w:w="1870"/>
        <w:gridCol w:w="1870"/>
        <w:gridCol w:w="1870"/>
      </w:tblGrid>
      <w:tr w:rsidR="00542152" w:rsidRPr="009361EB" w14:paraId="5F154E3F" w14:textId="77777777" w:rsidTr="00521013">
        <w:trPr>
          <w:cnfStyle w:val="100000000000" w:firstRow="1" w:lastRow="0" w:firstColumn="0" w:lastColumn="0" w:oddVBand="0" w:evenVBand="0" w:oddHBand="0" w:evenHBand="0" w:firstRowFirstColumn="0" w:firstRowLastColumn="0" w:lastRowFirstColumn="0" w:lastRowLastColumn="0"/>
          <w:tblHeader/>
        </w:trPr>
        <w:tc>
          <w:tcPr>
            <w:tcW w:w="1584" w:type="dxa"/>
            <w:tcBorders>
              <w:bottom w:val="none" w:sz="0" w:space="0" w:color="auto"/>
            </w:tcBorders>
          </w:tcPr>
          <w:p w14:paraId="59F9788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lastRenderedPageBreak/>
              <w:t>Case</w:t>
            </w:r>
          </w:p>
        </w:tc>
        <w:tc>
          <w:tcPr>
            <w:tcW w:w="1584" w:type="dxa"/>
            <w:tcBorders>
              <w:bottom w:val="none" w:sz="0" w:space="0" w:color="auto"/>
            </w:tcBorders>
          </w:tcPr>
          <w:p w14:paraId="5291C6E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A (Guide)</w:t>
            </w:r>
          </w:p>
        </w:tc>
        <w:tc>
          <w:tcPr>
            <w:tcW w:w="1584" w:type="dxa"/>
            <w:tcBorders>
              <w:bottom w:val="none" w:sz="0" w:space="0" w:color="auto"/>
            </w:tcBorders>
          </w:tcPr>
          <w:p w14:paraId="3D879EE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B (Small Group)</w:t>
            </w:r>
          </w:p>
        </w:tc>
        <w:tc>
          <w:tcPr>
            <w:tcW w:w="1584" w:type="dxa"/>
            <w:tcBorders>
              <w:bottom w:val="none" w:sz="0" w:space="0" w:color="auto"/>
            </w:tcBorders>
          </w:tcPr>
          <w:p w14:paraId="16E7AC6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 (Good Weather)</w:t>
            </w:r>
          </w:p>
        </w:tc>
        <w:tc>
          <w:tcPr>
            <w:tcW w:w="1584" w:type="dxa"/>
            <w:tcBorders>
              <w:bottom w:val="none" w:sz="0" w:space="0" w:color="auto"/>
            </w:tcBorders>
          </w:tcPr>
          <w:p w14:paraId="50CCE26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Y (Satisfaction)</w:t>
            </w:r>
          </w:p>
        </w:tc>
      </w:tr>
      <w:tr w:rsidR="00542152" w:rsidRPr="009361EB" w14:paraId="58475EA9" w14:textId="77777777" w:rsidTr="00521013">
        <w:tc>
          <w:tcPr>
            <w:tcW w:w="1584" w:type="dxa"/>
          </w:tcPr>
          <w:p w14:paraId="4F67AAC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T1</w:t>
            </w:r>
          </w:p>
        </w:tc>
        <w:tc>
          <w:tcPr>
            <w:tcW w:w="1584" w:type="dxa"/>
          </w:tcPr>
          <w:p w14:paraId="570EFFE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0.90</w:t>
            </w:r>
          </w:p>
        </w:tc>
        <w:tc>
          <w:tcPr>
            <w:tcW w:w="1584" w:type="dxa"/>
          </w:tcPr>
          <w:p w14:paraId="757C7E4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1584" w:type="dxa"/>
          </w:tcPr>
          <w:p w14:paraId="4404AA6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1584" w:type="dxa"/>
          </w:tcPr>
          <w:p w14:paraId="020A180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0.90</w:t>
            </w:r>
          </w:p>
        </w:tc>
      </w:tr>
      <w:tr w:rsidR="00542152" w:rsidRPr="009361EB" w14:paraId="1C8A72E7" w14:textId="77777777" w:rsidTr="00521013">
        <w:tc>
          <w:tcPr>
            <w:tcW w:w="1584" w:type="dxa"/>
          </w:tcPr>
          <w:p w14:paraId="45076F1C"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T2</w:t>
            </w:r>
          </w:p>
        </w:tc>
        <w:tc>
          <w:tcPr>
            <w:tcW w:w="1584" w:type="dxa"/>
          </w:tcPr>
          <w:p w14:paraId="493E5D5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1584" w:type="dxa"/>
          </w:tcPr>
          <w:p w14:paraId="78908A9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1584" w:type="dxa"/>
          </w:tcPr>
          <w:p w14:paraId="5C2243A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1584" w:type="dxa"/>
          </w:tcPr>
          <w:p w14:paraId="29898A4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r>
      <w:tr w:rsidR="00542152" w:rsidRPr="009361EB" w14:paraId="16D622DC" w14:textId="77777777" w:rsidTr="00521013">
        <w:tc>
          <w:tcPr>
            <w:tcW w:w="1584" w:type="dxa"/>
          </w:tcPr>
          <w:p w14:paraId="0666C8BC"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T3</w:t>
            </w:r>
          </w:p>
        </w:tc>
        <w:tc>
          <w:tcPr>
            <w:tcW w:w="1584" w:type="dxa"/>
          </w:tcPr>
          <w:p w14:paraId="302F8C58"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1584" w:type="dxa"/>
          </w:tcPr>
          <w:p w14:paraId="2B27E0B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0.90</w:t>
            </w:r>
          </w:p>
        </w:tc>
        <w:tc>
          <w:tcPr>
            <w:tcW w:w="1584" w:type="dxa"/>
          </w:tcPr>
          <w:p w14:paraId="33E490A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0.20</w:t>
            </w:r>
          </w:p>
        </w:tc>
        <w:tc>
          <w:tcPr>
            <w:tcW w:w="1584" w:type="dxa"/>
          </w:tcPr>
          <w:p w14:paraId="628EAED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r>
      <w:tr w:rsidR="00542152" w:rsidRPr="009361EB" w14:paraId="3CCF226C" w14:textId="77777777" w:rsidTr="00521013">
        <w:tc>
          <w:tcPr>
            <w:tcW w:w="1584" w:type="dxa"/>
          </w:tcPr>
          <w:p w14:paraId="3004009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T4</w:t>
            </w:r>
          </w:p>
        </w:tc>
        <w:tc>
          <w:tcPr>
            <w:tcW w:w="1584" w:type="dxa"/>
          </w:tcPr>
          <w:p w14:paraId="2497F401"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1584" w:type="dxa"/>
          </w:tcPr>
          <w:p w14:paraId="74789EF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1584" w:type="dxa"/>
          </w:tcPr>
          <w:p w14:paraId="5276F99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0.25</w:t>
            </w:r>
          </w:p>
        </w:tc>
        <w:tc>
          <w:tcPr>
            <w:tcW w:w="1584" w:type="dxa"/>
          </w:tcPr>
          <w:p w14:paraId="3952E95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r>
      <w:tr w:rsidR="00542152" w:rsidRPr="009361EB" w14:paraId="29A778CA" w14:textId="77777777" w:rsidTr="00521013">
        <w:tc>
          <w:tcPr>
            <w:tcW w:w="1584" w:type="dxa"/>
          </w:tcPr>
          <w:p w14:paraId="7168655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T5</w:t>
            </w:r>
          </w:p>
        </w:tc>
        <w:tc>
          <w:tcPr>
            <w:tcW w:w="1584" w:type="dxa"/>
          </w:tcPr>
          <w:p w14:paraId="4D03DDB2"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0.90</w:t>
            </w:r>
          </w:p>
        </w:tc>
        <w:tc>
          <w:tcPr>
            <w:tcW w:w="1584" w:type="dxa"/>
          </w:tcPr>
          <w:p w14:paraId="285CC68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0.15</w:t>
            </w:r>
          </w:p>
        </w:tc>
        <w:tc>
          <w:tcPr>
            <w:tcW w:w="1584" w:type="dxa"/>
          </w:tcPr>
          <w:p w14:paraId="0A38690F"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1584" w:type="dxa"/>
          </w:tcPr>
          <w:p w14:paraId="31231348"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r>
      <w:tr w:rsidR="00542152" w:rsidRPr="009361EB" w14:paraId="73E7659D" w14:textId="77777777" w:rsidTr="00521013">
        <w:tc>
          <w:tcPr>
            <w:tcW w:w="1584" w:type="dxa"/>
          </w:tcPr>
          <w:p w14:paraId="18D1A9B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T6</w:t>
            </w:r>
          </w:p>
        </w:tc>
        <w:tc>
          <w:tcPr>
            <w:tcW w:w="1584" w:type="dxa"/>
          </w:tcPr>
          <w:p w14:paraId="3E696EA8"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1584" w:type="dxa"/>
          </w:tcPr>
          <w:p w14:paraId="6DC7094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0.10</w:t>
            </w:r>
          </w:p>
        </w:tc>
        <w:tc>
          <w:tcPr>
            <w:tcW w:w="1584" w:type="dxa"/>
          </w:tcPr>
          <w:p w14:paraId="07BCF338"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0.80</w:t>
            </w:r>
          </w:p>
        </w:tc>
        <w:tc>
          <w:tcPr>
            <w:tcW w:w="1584" w:type="dxa"/>
          </w:tcPr>
          <w:p w14:paraId="76CB64D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r>
      <w:tr w:rsidR="00542152" w:rsidRPr="009361EB" w14:paraId="616B83B8" w14:textId="77777777" w:rsidTr="00521013">
        <w:tc>
          <w:tcPr>
            <w:tcW w:w="1584" w:type="dxa"/>
          </w:tcPr>
          <w:p w14:paraId="0F32210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T7</w:t>
            </w:r>
          </w:p>
        </w:tc>
        <w:tc>
          <w:tcPr>
            <w:tcW w:w="1584" w:type="dxa"/>
          </w:tcPr>
          <w:p w14:paraId="1129360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0.85</w:t>
            </w:r>
          </w:p>
        </w:tc>
        <w:tc>
          <w:tcPr>
            <w:tcW w:w="1584" w:type="dxa"/>
          </w:tcPr>
          <w:p w14:paraId="75096388"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0.10</w:t>
            </w:r>
          </w:p>
        </w:tc>
        <w:tc>
          <w:tcPr>
            <w:tcW w:w="1584" w:type="dxa"/>
          </w:tcPr>
          <w:p w14:paraId="043C47D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0.15</w:t>
            </w:r>
          </w:p>
        </w:tc>
        <w:tc>
          <w:tcPr>
            <w:tcW w:w="1584" w:type="dxa"/>
          </w:tcPr>
          <w:p w14:paraId="179C476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0.15</w:t>
            </w:r>
          </w:p>
        </w:tc>
      </w:tr>
      <w:tr w:rsidR="00542152" w:rsidRPr="009361EB" w14:paraId="2EC4B8BF" w14:textId="77777777" w:rsidTr="00521013">
        <w:tc>
          <w:tcPr>
            <w:tcW w:w="1584" w:type="dxa"/>
          </w:tcPr>
          <w:p w14:paraId="74A9131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T8</w:t>
            </w:r>
          </w:p>
        </w:tc>
        <w:tc>
          <w:tcPr>
            <w:tcW w:w="1584" w:type="dxa"/>
          </w:tcPr>
          <w:p w14:paraId="154F479C"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0.75</w:t>
            </w:r>
          </w:p>
        </w:tc>
        <w:tc>
          <w:tcPr>
            <w:tcW w:w="1584" w:type="dxa"/>
          </w:tcPr>
          <w:p w14:paraId="1D7AD9C1"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0.20</w:t>
            </w:r>
          </w:p>
        </w:tc>
        <w:tc>
          <w:tcPr>
            <w:tcW w:w="1584" w:type="dxa"/>
          </w:tcPr>
          <w:p w14:paraId="0D008FC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0.10</w:t>
            </w:r>
          </w:p>
        </w:tc>
        <w:tc>
          <w:tcPr>
            <w:tcW w:w="1584" w:type="dxa"/>
          </w:tcPr>
          <w:p w14:paraId="6999079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0.20</w:t>
            </w:r>
          </w:p>
        </w:tc>
      </w:tr>
      <w:tr w:rsidR="00542152" w:rsidRPr="009361EB" w14:paraId="5AEC5800" w14:textId="77777777" w:rsidTr="00521013">
        <w:tc>
          <w:tcPr>
            <w:tcW w:w="1584" w:type="dxa"/>
          </w:tcPr>
          <w:p w14:paraId="4BF0342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T9</w:t>
            </w:r>
          </w:p>
        </w:tc>
        <w:tc>
          <w:tcPr>
            <w:tcW w:w="1584" w:type="dxa"/>
          </w:tcPr>
          <w:p w14:paraId="590DA1E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0.10</w:t>
            </w:r>
          </w:p>
        </w:tc>
        <w:tc>
          <w:tcPr>
            <w:tcW w:w="1584" w:type="dxa"/>
          </w:tcPr>
          <w:p w14:paraId="7B09A7D5"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0.15</w:t>
            </w:r>
          </w:p>
        </w:tc>
        <w:tc>
          <w:tcPr>
            <w:tcW w:w="1584" w:type="dxa"/>
          </w:tcPr>
          <w:p w14:paraId="3C78930F"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0.10</w:t>
            </w:r>
          </w:p>
        </w:tc>
        <w:tc>
          <w:tcPr>
            <w:tcW w:w="1584" w:type="dxa"/>
          </w:tcPr>
          <w:p w14:paraId="78AE89E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0.10</w:t>
            </w:r>
          </w:p>
        </w:tc>
      </w:tr>
      <w:tr w:rsidR="00542152" w:rsidRPr="009361EB" w14:paraId="20ADFFB6" w14:textId="77777777" w:rsidTr="00521013">
        <w:tc>
          <w:tcPr>
            <w:tcW w:w="1584" w:type="dxa"/>
          </w:tcPr>
          <w:p w14:paraId="37F8DAF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T10</w:t>
            </w:r>
          </w:p>
        </w:tc>
        <w:tc>
          <w:tcPr>
            <w:tcW w:w="1584" w:type="dxa"/>
          </w:tcPr>
          <w:p w14:paraId="60F5A6FF"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0.15</w:t>
            </w:r>
          </w:p>
        </w:tc>
        <w:tc>
          <w:tcPr>
            <w:tcW w:w="1584" w:type="dxa"/>
          </w:tcPr>
          <w:p w14:paraId="4B148058"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0.10</w:t>
            </w:r>
          </w:p>
        </w:tc>
        <w:tc>
          <w:tcPr>
            <w:tcW w:w="1584" w:type="dxa"/>
          </w:tcPr>
          <w:p w14:paraId="6C8C858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0.15</w:t>
            </w:r>
          </w:p>
        </w:tc>
        <w:tc>
          <w:tcPr>
            <w:tcW w:w="1584" w:type="dxa"/>
          </w:tcPr>
          <w:p w14:paraId="65EBC33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0.15</w:t>
            </w:r>
          </w:p>
        </w:tc>
      </w:tr>
    </w:tbl>
    <w:p w14:paraId="4E37A8F5"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i/>
          <w:iCs/>
          <w:szCs w:val="24"/>
        </w:rPr>
        <w:t>Note.</w:t>
      </w:r>
      <w:r w:rsidRPr="009361EB">
        <w:rPr>
          <w:rFonts w:ascii="Times New Roman" w:hAnsi="Times New Roman" w:cs="Times New Roman"/>
          <w:szCs w:val="24"/>
        </w:rPr>
        <w:t xml:space="preserve"> Referenced in Section F.3. Ten hypothetical guided-tour cases with calibrated fuzzy membership scores for three conditions (A = Knowledgeable Guide, B = Small Group Size, C = Good Weather) and one outcome (Y = High Tourist Satisfaction).</w:t>
      </w:r>
    </w:p>
    <w:p w14:paraId="48598F8D"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b/>
          <w:bCs/>
          <w:szCs w:val="24"/>
        </w:rPr>
        <w:t>Table F2. Truth table (incl.cut = 0.80)</w:t>
      </w: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90"/>
        <w:gridCol w:w="377"/>
        <w:gridCol w:w="377"/>
        <w:gridCol w:w="710"/>
        <w:gridCol w:w="336"/>
        <w:gridCol w:w="756"/>
        <w:gridCol w:w="756"/>
        <w:gridCol w:w="990"/>
      </w:tblGrid>
      <w:tr w:rsidR="00542152" w:rsidRPr="009361EB" w14:paraId="216F2B32" w14:textId="77777777" w:rsidTr="0052101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EE4F82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A</w:t>
            </w:r>
          </w:p>
        </w:tc>
        <w:tc>
          <w:tcPr>
            <w:tcW w:w="0" w:type="auto"/>
            <w:tcBorders>
              <w:bottom w:val="none" w:sz="0" w:space="0" w:color="auto"/>
            </w:tcBorders>
          </w:tcPr>
          <w:p w14:paraId="2111BC0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B</w:t>
            </w:r>
          </w:p>
        </w:tc>
        <w:tc>
          <w:tcPr>
            <w:tcW w:w="0" w:type="auto"/>
            <w:tcBorders>
              <w:bottom w:val="none" w:sz="0" w:space="0" w:color="auto"/>
            </w:tcBorders>
          </w:tcPr>
          <w:p w14:paraId="40671EA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w:t>
            </w:r>
          </w:p>
        </w:tc>
        <w:tc>
          <w:tcPr>
            <w:tcW w:w="0" w:type="auto"/>
            <w:tcBorders>
              <w:bottom w:val="none" w:sz="0" w:space="0" w:color="auto"/>
            </w:tcBorders>
          </w:tcPr>
          <w:p w14:paraId="4F10AD4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OUT</w:t>
            </w:r>
          </w:p>
        </w:tc>
        <w:tc>
          <w:tcPr>
            <w:tcW w:w="0" w:type="auto"/>
            <w:tcBorders>
              <w:bottom w:val="none" w:sz="0" w:space="0" w:color="auto"/>
            </w:tcBorders>
          </w:tcPr>
          <w:p w14:paraId="4DD4AC9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n</w:t>
            </w:r>
          </w:p>
        </w:tc>
        <w:tc>
          <w:tcPr>
            <w:tcW w:w="0" w:type="auto"/>
            <w:tcBorders>
              <w:bottom w:val="none" w:sz="0" w:space="0" w:color="auto"/>
            </w:tcBorders>
          </w:tcPr>
          <w:p w14:paraId="72ED622F"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incl</w:t>
            </w:r>
          </w:p>
        </w:tc>
        <w:tc>
          <w:tcPr>
            <w:tcW w:w="0" w:type="auto"/>
            <w:tcBorders>
              <w:bottom w:val="none" w:sz="0" w:space="0" w:color="auto"/>
            </w:tcBorders>
          </w:tcPr>
          <w:p w14:paraId="17DC9CA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PRI</w:t>
            </w:r>
          </w:p>
        </w:tc>
        <w:tc>
          <w:tcPr>
            <w:tcW w:w="0" w:type="auto"/>
            <w:tcBorders>
              <w:bottom w:val="none" w:sz="0" w:space="0" w:color="auto"/>
            </w:tcBorders>
          </w:tcPr>
          <w:p w14:paraId="0572D55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cases</w:t>
            </w:r>
          </w:p>
        </w:tc>
      </w:tr>
      <w:tr w:rsidR="00542152" w:rsidRPr="009361EB" w14:paraId="09709455" w14:textId="77777777" w:rsidTr="00521013">
        <w:tc>
          <w:tcPr>
            <w:tcW w:w="0" w:type="auto"/>
          </w:tcPr>
          <w:p w14:paraId="40D8E6A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5C160F3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55530D7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w:t>
            </w:r>
          </w:p>
        </w:tc>
        <w:tc>
          <w:tcPr>
            <w:tcW w:w="0" w:type="auto"/>
          </w:tcPr>
          <w:p w14:paraId="6E398A6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307FF71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3836636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1.000</w:t>
            </w:r>
          </w:p>
        </w:tc>
        <w:tc>
          <w:tcPr>
            <w:tcW w:w="0" w:type="auto"/>
          </w:tcPr>
          <w:p w14:paraId="1990358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1.000</w:t>
            </w:r>
          </w:p>
        </w:tc>
        <w:tc>
          <w:tcPr>
            <w:tcW w:w="0" w:type="auto"/>
          </w:tcPr>
          <w:p w14:paraId="4C62E82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T3, T4</w:t>
            </w:r>
          </w:p>
        </w:tc>
      </w:tr>
      <w:tr w:rsidR="00542152" w:rsidRPr="009361EB" w14:paraId="7C379676" w14:textId="77777777" w:rsidTr="00521013">
        <w:tc>
          <w:tcPr>
            <w:tcW w:w="0" w:type="auto"/>
          </w:tcPr>
          <w:p w14:paraId="3EF73FE5"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2E5B04D1"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74D48A7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18D1989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3BD838D1"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710880D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1.000</w:t>
            </w:r>
          </w:p>
        </w:tc>
        <w:tc>
          <w:tcPr>
            <w:tcW w:w="0" w:type="auto"/>
          </w:tcPr>
          <w:p w14:paraId="6E43ACE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1.000</w:t>
            </w:r>
          </w:p>
        </w:tc>
        <w:tc>
          <w:tcPr>
            <w:tcW w:w="0" w:type="auto"/>
          </w:tcPr>
          <w:p w14:paraId="354D941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T1, T2</w:t>
            </w:r>
          </w:p>
        </w:tc>
      </w:tr>
      <w:tr w:rsidR="00542152" w:rsidRPr="009361EB" w14:paraId="55BD663C" w14:textId="77777777" w:rsidTr="00521013">
        <w:tc>
          <w:tcPr>
            <w:tcW w:w="0" w:type="auto"/>
          </w:tcPr>
          <w:p w14:paraId="7B943815"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00386A3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w:t>
            </w:r>
          </w:p>
        </w:tc>
        <w:tc>
          <w:tcPr>
            <w:tcW w:w="0" w:type="auto"/>
          </w:tcPr>
          <w:p w14:paraId="0F4F080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65F31AA1"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3A517BE5"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630AD15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0.964</w:t>
            </w:r>
          </w:p>
        </w:tc>
        <w:tc>
          <w:tcPr>
            <w:tcW w:w="0" w:type="auto"/>
          </w:tcPr>
          <w:p w14:paraId="310DC595"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0.923</w:t>
            </w:r>
          </w:p>
        </w:tc>
        <w:tc>
          <w:tcPr>
            <w:tcW w:w="0" w:type="auto"/>
          </w:tcPr>
          <w:p w14:paraId="7861A9D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T5, T6</w:t>
            </w:r>
          </w:p>
        </w:tc>
      </w:tr>
      <w:tr w:rsidR="00542152" w:rsidRPr="009361EB" w14:paraId="4A163DBB" w14:textId="77777777" w:rsidTr="00521013">
        <w:tc>
          <w:tcPr>
            <w:tcW w:w="0" w:type="auto"/>
          </w:tcPr>
          <w:p w14:paraId="5E07F06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w:t>
            </w:r>
          </w:p>
        </w:tc>
        <w:tc>
          <w:tcPr>
            <w:tcW w:w="0" w:type="auto"/>
          </w:tcPr>
          <w:p w14:paraId="719F5D4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w:t>
            </w:r>
          </w:p>
        </w:tc>
        <w:tc>
          <w:tcPr>
            <w:tcW w:w="0" w:type="auto"/>
          </w:tcPr>
          <w:p w14:paraId="09C9C11D"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w:t>
            </w:r>
          </w:p>
        </w:tc>
        <w:tc>
          <w:tcPr>
            <w:tcW w:w="0" w:type="auto"/>
          </w:tcPr>
          <w:p w14:paraId="1C022D0F"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w:t>
            </w:r>
          </w:p>
        </w:tc>
        <w:tc>
          <w:tcPr>
            <w:tcW w:w="0" w:type="auto"/>
          </w:tcPr>
          <w:p w14:paraId="1A8762C8"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56E54D5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0.554</w:t>
            </w:r>
          </w:p>
        </w:tc>
        <w:tc>
          <w:tcPr>
            <w:tcW w:w="0" w:type="auto"/>
          </w:tcPr>
          <w:p w14:paraId="35D44B9C"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0.074</w:t>
            </w:r>
          </w:p>
        </w:tc>
        <w:tc>
          <w:tcPr>
            <w:tcW w:w="0" w:type="auto"/>
          </w:tcPr>
          <w:p w14:paraId="2C656D1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T7, T8</w:t>
            </w:r>
          </w:p>
        </w:tc>
      </w:tr>
      <w:tr w:rsidR="00542152" w:rsidRPr="009361EB" w14:paraId="4415C38C" w14:textId="77777777" w:rsidTr="00521013">
        <w:tc>
          <w:tcPr>
            <w:tcW w:w="0" w:type="auto"/>
          </w:tcPr>
          <w:p w14:paraId="524B01E1"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w:t>
            </w:r>
          </w:p>
        </w:tc>
        <w:tc>
          <w:tcPr>
            <w:tcW w:w="0" w:type="auto"/>
          </w:tcPr>
          <w:p w14:paraId="2293F18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w:t>
            </w:r>
          </w:p>
        </w:tc>
        <w:tc>
          <w:tcPr>
            <w:tcW w:w="0" w:type="auto"/>
          </w:tcPr>
          <w:p w14:paraId="20A49065"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w:t>
            </w:r>
          </w:p>
        </w:tc>
        <w:tc>
          <w:tcPr>
            <w:tcW w:w="0" w:type="auto"/>
          </w:tcPr>
          <w:p w14:paraId="644444D0"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w:t>
            </w:r>
          </w:p>
        </w:tc>
        <w:tc>
          <w:tcPr>
            <w:tcW w:w="0" w:type="auto"/>
          </w:tcPr>
          <w:p w14:paraId="2A10BC6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2</w:t>
            </w:r>
          </w:p>
        </w:tc>
        <w:tc>
          <w:tcPr>
            <w:tcW w:w="0" w:type="auto"/>
          </w:tcPr>
          <w:p w14:paraId="5F1870EA"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0.483</w:t>
            </w:r>
          </w:p>
        </w:tc>
        <w:tc>
          <w:tcPr>
            <w:tcW w:w="0" w:type="auto"/>
          </w:tcPr>
          <w:p w14:paraId="47B0B55F"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0.000</w:t>
            </w:r>
          </w:p>
        </w:tc>
        <w:tc>
          <w:tcPr>
            <w:tcW w:w="0" w:type="auto"/>
          </w:tcPr>
          <w:p w14:paraId="612ADAB9"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T9, T10</w:t>
            </w:r>
          </w:p>
        </w:tc>
      </w:tr>
    </w:tbl>
    <w:p w14:paraId="11FBB19F"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i/>
          <w:iCs/>
          <w:szCs w:val="24"/>
        </w:rPr>
        <w:t>Note.</w:t>
      </w:r>
      <w:r w:rsidRPr="009361EB">
        <w:rPr>
          <w:rFonts w:ascii="Times New Roman" w:hAnsi="Times New Roman" w:cs="Times New Roman"/>
          <w:szCs w:val="24"/>
        </w:rPr>
        <w:t xml:space="preserve"> Referenced in Section F.4. Five observed truth-table configurations from the toy example. Three of the eight logically possible configurations, namely A=0 with B=1 and C=1, A=0 with B=1 and C=0, and A=0 with B=0 and C=1, are logical remainders with no empirical cases.</w:t>
      </w:r>
    </w:p>
    <w:p w14:paraId="7FD9D97B"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b/>
          <w:bCs/>
          <w:szCs w:val="24"/>
        </w:rPr>
        <w:t>Table F3. Necessity of A and B for Y</w:t>
      </w: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177"/>
        <w:gridCol w:w="2489"/>
        <w:gridCol w:w="2236"/>
      </w:tblGrid>
      <w:tr w:rsidR="00542152" w:rsidRPr="009361EB" w14:paraId="53AA0354" w14:textId="77777777" w:rsidTr="00521013">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37930C7"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Condition</w:t>
            </w:r>
          </w:p>
        </w:tc>
        <w:tc>
          <w:tcPr>
            <w:tcW w:w="0" w:type="auto"/>
            <w:tcBorders>
              <w:bottom w:val="none" w:sz="0" w:space="0" w:color="auto"/>
            </w:tcBorders>
          </w:tcPr>
          <w:p w14:paraId="3B512E1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Consistency (necessity)</w:t>
            </w:r>
          </w:p>
        </w:tc>
        <w:tc>
          <w:tcPr>
            <w:tcW w:w="0" w:type="auto"/>
            <w:tcBorders>
              <w:bottom w:val="none" w:sz="0" w:space="0" w:color="auto"/>
            </w:tcBorders>
          </w:tcPr>
          <w:p w14:paraId="3462F6FC"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Coverage (necessity)</w:t>
            </w:r>
          </w:p>
        </w:tc>
      </w:tr>
      <w:tr w:rsidR="00542152" w:rsidRPr="009361EB" w14:paraId="76B88CA2" w14:textId="77777777" w:rsidTr="00521013">
        <w:tc>
          <w:tcPr>
            <w:tcW w:w="0" w:type="auto"/>
          </w:tcPr>
          <w:p w14:paraId="3C4E88EE"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A</w:t>
            </w:r>
          </w:p>
        </w:tc>
        <w:tc>
          <w:tcPr>
            <w:tcW w:w="0" w:type="auto"/>
          </w:tcPr>
          <w:p w14:paraId="2BE7DD04"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1.000</w:t>
            </w:r>
          </w:p>
        </w:tc>
        <w:tc>
          <w:tcPr>
            <w:tcW w:w="0" w:type="auto"/>
          </w:tcPr>
          <w:p w14:paraId="7916B206"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0.799</w:t>
            </w:r>
          </w:p>
        </w:tc>
      </w:tr>
      <w:tr w:rsidR="00542152" w:rsidRPr="009361EB" w14:paraId="62824659" w14:textId="77777777" w:rsidTr="00521013">
        <w:tc>
          <w:tcPr>
            <w:tcW w:w="0" w:type="auto"/>
          </w:tcPr>
          <w:p w14:paraId="20F817D1"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B</w:t>
            </w:r>
          </w:p>
        </w:tc>
        <w:tc>
          <w:tcPr>
            <w:tcW w:w="0" w:type="auto"/>
          </w:tcPr>
          <w:p w14:paraId="68B6753B"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0.730</w:t>
            </w:r>
          </w:p>
        </w:tc>
        <w:tc>
          <w:tcPr>
            <w:tcW w:w="0" w:type="auto"/>
          </w:tcPr>
          <w:p w14:paraId="3ABC3D23" w14:textId="77777777" w:rsidR="00542152" w:rsidRPr="009361EB" w:rsidRDefault="00542152" w:rsidP="00521013">
            <w:pPr>
              <w:pStyle w:val="Compact"/>
              <w:jc w:val="thaiDistribute"/>
              <w:rPr>
                <w:rFonts w:ascii="Times New Roman" w:hAnsi="Times New Roman" w:cs="Times New Roman"/>
                <w:sz w:val="24"/>
              </w:rPr>
            </w:pPr>
            <w:r w:rsidRPr="009361EB">
              <w:rPr>
                <w:rFonts w:ascii="Times New Roman" w:hAnsi="Times New Roman" w:cs="Times New Roman"/>
                <w:sz w:val="24"/>
              </w:rPr>
              <w:t>0.964</w:t>
            </w:r>
          </w:p>
        </w:tc>
      </w:tr>
    </w:tbl>
    <w:p w14:paraId="3AD1ADFB" w14:textId="77777777" w:rsidR="00542152" w:rsidRPr="009361EB" w:rsidRDefault="00542152" w:rsidP="00542152">
      <w:pPr>
        <w:pStyle w:val="BodyText"/>
        <w:jc w:val="thaiDistribute"/>
        <w:rPr>
          <w:rFonts w:ascii="Times New Roman" w:hAnsi="Times New Roman" w:cs="Times New Roman"/>
          <w:szCs w:val="24"/>
        </w:rPr>
      </w:pPr>
      <w:r w:rsidRPr="009361EB">
        <w:rPr>
          <w:rFonts w:ascii="Times New Roman" w:hAnsi="Times New Roman" w:cs="Times New Roman"/>
          <w:i/>
          <w:iCs/>
          <w:szCs w:val="24"/>
        </w:rPr>
        <w:t>Note.</w:t>
      </w:r>
      <w:r w:rsidRPr="009361EB">
        <w:rPr>
          <w:rFonts w:ascii="Times New Roman" w:hAnsi="Times New Roman" w:cs="Times New Roman"/>
          <w:szCs w:val="24"/>
        </w:rPr>
        <w:t xml:space="preserve"> Referenced in Section F.5.</w:t>
      </w:r>
    </w:p>
    <w:bookmarkEnd w:id="10"/>
    <w:bookmarkEnd w:id="18"/>
    <w:p w14:paraId="583CF9D6" w14:textId="77777777" w:rsidR="00B30434" w:rsidRPr="009361EB" w:rsidRDefault="00B30434" w:rsidP="00542152"/>
    <w:sectPr w:rsidR="00B30434" w:rsidRPr="009361EB" w:rsidSect="00542152">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76FE5A6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BBBA88A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4845891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6718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3679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8611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79447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36819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54542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6011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6451342">
    <w:abstractNumId w:val="0"/>
  </w:num>
  <w:num w:numId="10" w16cid:durableId="15573540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434"/>
    <w:rsid w:val="002E1B36"/>
    <w:rsid w:val="00533FC1"/>
    <w:rsid w:val="00542152"/>
    <w:rsid w:val="006E2588"/>
    <w:rsid w:val="008D5511"/>
    <w:rsid w:val="009361EB"/>
    <w:rsid w:val="00B30434"/>
    <w:rsid w:val="00BF3FA6"/>
    <w:rsid w:val="00EE12BD"/>
    <w:rsid w:val="00FB01E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94E77"/>
  <w15:chartTrackingRefBased/>
  <w15:docId w15:val="{2BBBBB2C-3142-FF41-9188-E87399586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152"/>
    <w:pPr>
      <w:spacing w:after="200" w:line="240" w:lineRule="auto"/>
    </w:pPr>
    <w:rPr>
      <w:rFonts w:eastAsiaTheme="minorEastAsia"/>
      <w:kern w:val="0"/>
      <w:szCs w:val="24"/>
      <w:lang w:eastAsia="zh-CN" w:bidi="ar-SA"/>
      <w14:ligatures w14:val="none"/>
    </w:rPr>
  </w:style>
  <w:style w:type="paragraph" w:styleId="Heading1">
    <w:name w:val="heading 1"/>
    <w:basedOn w:val="Normal"/>
    <w:next w:val="Normal"/>
    <w:link w:val="Heading1Char"/>
    <w:uiPriority w:val="9"/>
    <w:qFormat/>
    <w:rsid w:val="00B3043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50"/>
      <w:lang w:eastAsia="en-US" w:bidi="th-TH"/>
      <w14:ligatures w14:val="standardContextual"/>
    </w:rPr>
  </w:style>
  <w:style w:type="paragraph" w:styleId="Heading2">
    <w:name w:val="heading 2"/>
    <w:basedOn w:val="Normal"/>
    <w:next w:val="Normal"/>
    <w:link w:val="Heading2Char"/>
    <w:uiPriority w:val="9"/>
    <w:semiHidden/>
    <w:unhideWhenUsed/>
    <w:qFormat/>
    <w:rsid w:val="00B3043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40"/>
      <w:lang w:eastAsia="en-US" w:bidi="th-TH"/>
      <w14:ligatures w14:val="standardContextual"/>
    </w:rPr>
  </w:style>
  <w:style w:type="paragraph" w:styleId="Heading3">
    <w:name w:val="heading 3"/>
    <w:basedOn w:val="Normal"/>
    <w:next w:val="Normal"/>
    <w:link w:val="Heading3Char"/>
    <w:uiPriority w:val="9"/>
    <w:semiHidden/>
    <w:unhideWhenUsed/>
    <w:qFormat/>
    <w:rsid w:val="00B30434"/>
    <w:pPr>
      <w:keepNext/>
      <w:keepLines/>
      <w:spacing w:before="160" w:after="80" w:line="278" w:lineRule="auto"/>
      <w:outlineLvl w:val="2"/>
    </w:pPr>
    <w:rPr>
      <w:rFonts w:eastAsiaTheme="majorEastAsia" w:cstheme="majorBidi"/>
      <w:color w:val="0F4761" w:themeColor="accent1" w:themeShade="BF"/>
      <w:kern w:val="2"/>
      <w:sz w:val="28"/>
      <w:szCs w:val="35"/>
      <w:lang w:eastAsia="en-US" w:bidi="th-TH"/>
      <w14:ligatures w14:val="standardContextual"/>
    </w:rPr>
  </w:style>
  <w:style w:type="paragraph" w:styleId="Heading4">
    <w:name w:val="heading 4"/>
    <w:basedOn w:val="Normal"/>
    <w:next w:val="Normal"/>
    <w:link w:val="Heading4Char"/>
    <w:uiPriority w:val="9"/>
    <w:semiHidden/>
    <w:unhideWhenUsed/>
    <w:qFormat/>
    <w:rsid w:val="00B30434"/>
    <w:pPr>
      <w:keepNext/>
      <w:keepLines/>
      <w:spacing w:before="80" w:after="40" w:line="278" w:lineRule="auto"/>
      <w:outlineLvl w:val="3"/>
    </w:pPr>
    <w:rPr>
      <w:rFonts w:eastAsiaTheme="majorEastAsia" w:cstheme="majorBidi"/>
      <w:i/>
      <w:iCs/>
      <w:color w:val="0F4761" w:themeColor="accent1" w:themeShade="BF"/>
      <w:kern w:val="2"/>
      <w:szCs w:val="30"/>
      <w:lang w:eastAsia="en-US" w:bidi="th-TH"/>
      <w14:ligatures w14:val="standardContextual"/>
    </w:rPr>
  </w:style>
  <w:style w:type="paragraph" w:styleId="Heading5">
    <w:name w:val="heading 5"/>
    <w:basedOn w:val="Normal"/>
    <w:next w:val="Normal"/>
    <w:link w:val="Heading5Char"/>
    <w:uiPriority w:val="9"/>
    <w:semiHidden/>
    <w:unhideWhenUsed/>
    <w:qFormat/>
    <w:rsid w:val="00B30434"/>
    <w:pPr>
      <w:keepNext/>
      <w:keepLines/>
      <w:spacing w:before="80" w:after="40" w:line="278" w:lineRule="auto"/>
      <w:outlineLvl w:val="4"/>
    </w:pPr>
    <w:rPr>
      <w:rFonts w:eastAsiaTheme="majorEastAsia" w:cstheme="majorBidi"/>
      <w:color w:val="0F4761" w:themeColor="accent1" w:themeShade="BF"/>
      <w:kern w:val="2"/>
      <w:szCs w:val="30"/>
      <w:lang w:eastAsia="en-US" w:bidi="th-TH"/>
      <w14:ligatures w14:val="standardContextual"/>
    </w:rPr>
  </w:style>
  <w:style w:type="paragraph" w:styleId="Heading6">
    <w:name w:val="heading 6"/>
    <w:basedOn w:val="Normal"/>
    <w:next w:val="Normal"/>
    <w:link w:val="Heading6Char"/>
    <w:uiPriority w:val="9"/>
    <w:semiHidden/>
    <w:unhideWhenUsed/>
    <w:qFormat/>
    <w:rsid w:val="00B30434"/>
    <w:pPr>
      <w:keepNext/>
      <w:keepLines/>
      <w:spacing w:before="40" w:after="0" w:line="278" w:lineRule="auto"/>
      <w:outlineLvl w:val="5"/>
    </w:pPr>
    <w:rPr>
      <w:rFonts w:eastAsiaTheme="majorEastAsia" w:cstheme="majorBidi"/>
      <w:i/>
      <w:iCs/>
      <w:color w:val="595959" w:themeColor="text1" w:themeTint="A6"/>
      <w:kern w:val="2"/>
      <w:szCs w:val="30"/>
      <w:lang w:eastAsia="en-US" w:bidi="th-TH"/>
      <w14:ligatures w14:val="standardContextual"/>
    </w:rPr>
  </w:style>
  <w:style w:type="paragraph" w:styleId="Heading7">
    <w:name w:val="heading 7"/>
    <w:basedOn w:val="Normal"/>
    <w:next w:val="Normal"/>
    <w:link w:val="Heading7Char"/>
    <w:uiPriority w:val="9"/>
    <w:semiHidden/>
    <w:unhideWhenUsed/>
    <w:qFormat/>
    <w:rsid w:val="00B30434"/>
    <w:pPr>
      <w:keepNext/>
      <w:keepLines/>
      <w:spacing w:before="40" w:after="0" w:line="278" w:lineRule="auto"/>
      <w:outlineLvl w:val="6"/>
    </w:pPr>
    <w:rPr>
      <w:rFonts w:eastAsiaTheme="majorEastAsia" w:cstheme="majorBidi"/>
      <w:color w:val="595959" w:themeColor="text1" w:themeTint="A6"/>
      <w:kern w:val="2"/>
      <w:szCs w:val="30"/>
      <w:lang w:eastAsia="en-US" w:bidi="th-TH"/>
      <w14:ligatures w14:val="standardContextual"/>
    </w:rPr>
  </w:style>
  <w:style w:type="paragraph" w:styleId="Heading8">
    <w:name w:val="heading 8"/>
    <w:basedOn w:val="Normal"/>
    <w:next w:val="Normal"/>
    <w:link w:val="Heading8Char"/>
    <w:uiPriority w:val="9"/>
    <w:semiHidden/>
    <w:unhideWhenUsed/>
    <w:qFormat/>
    <w:rsid w:val="00B30434"/>
    <w:pPr>
      <w:keepNext/>
      <w:keepLines/>
      <w:spacing w:after="0" w:line="278" w:lineRule="auto"/>
      <w:outlineLvl w:val="7"/>
    </w:pPr>
    <w:rPr>
      <w:rFonts w:eastAsiaTheme="majorEastAsia" w:cstheme="majorBidi"/>
      <w:i/>
      <w:iCs/>
      <w:color w:val="272727" w:themeColor="text1" w:themeTint="D8"/>
      <w:kern w:val="2"/>
      <w:szCs w:val="30"/>
      <w:lang w:eastAsia="en-US" w:bidi="th-TH"/>
      <w14:ligatures w14:val="standardContextual"/>
    </w:rPr>
  </w:style>
  <w:style w:type="paragraph" w:styleId="Heading9">
    <w:name w:val="heading 9"/>
    <w:basedOn w:val="Normal"/>
    <w:next w:val="Normal"/>
    <w:link w:val="Heading9Char"/>
    <w:uiPriority w:val="9"/>
    <w:semiHidden/>
    <w:unhideWhenUsed/>
    <w:qFormat/>
    <w:rsid w:val="00B30434"/>
    <w:pPr>
      <w:keepNext/>
      <w:keepLines/>
      <w:spacing w:after="0" w:line="278" w:lineRule="auto"/>
      <w:outlineLvl w:val="8"/>
    </w:pPr>
    <w:rPr>
      <w:rFonts w:eastAsiaTheme="majorEastAsia" w:cstheme="majorBidi"/>
      <w:color w:val="272727" w:themeColor="text1" w:themeTint="D8"/>
      <w:kern w:val="2"/>
      <w:szCs w:val="30"/>
      <w:lang w:eastAsia="en-US"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434"/>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B30434"/>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B30434"/>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B304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04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04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4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4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434"/>
    <w:rPr>
      <w:rFonts w:eastAsiaTheme="majorEastAsia" w:cstheme="majorBidi"/>
      <w:color w:val="272727" w:themeColor="text1" w:themeTint="D8"/>
    </w:rPr>
  </w:style>
  <w:style w:type="paragraph" w:styleId="Title">
    <w:name w:val="Title"/>
    <w:basedOn w:val="Normal"/>
    <w:next w:val="Normal"/>
    <w:link w:val="TitleChar"/>
    <w:uiPriority w:val="10"/>
    <w:qFormat/>
    <w:rsid w:val="00B30434"/>
    <w:pPr>
      <w:spacing w:after="80"/>
      <w:contextualSpacing/>
    </w:pPr>
    <w:rPr>
      <w:rFonts w:asciiTheme="majorHAnsi" w:eastAsiaTheme="majorEastAsia" w:hAnsiTheme="majorHAnsi" w:cstheme="majorBidi"/>
      <w:spacing w:val="-10"/>
      <w:kern w:val="28"/>
      <w:sz w:val="56"/>
      <w:szCs w:val="71"/>
      <w:lang w:eastAsia="en-US" w:bidi="th-TH"/>
      <w14:ligatures w14:val="standardContextual"/>
    </w:rPr>
  </w:style>
  <w:style w:type="character" w:customStyle="1" w:styleId="TitleChar">
    <w:name w:val="Title Char"/>
    <w:basedOn w:val="DefaultParagraphFont"/>
    <w:link w:val="Title"/>
    <w:uiPriority w:val="10"/>
    <w:rsid w:val="00B3043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B30434"/>
    <w:pPr>
      <w:numPr>
        <w:ilvl w:val="1"/>
      </w:numPr>
      <w:spacing w:after="160" w:line="278" w:lineRule="auto"/>
    </w:pPr>
    <w:rPr>
      <w:rFonts w:eastAsiaTheme="majorEastAsia" w:cstheme="majorBidi"/>
      <w:color w:val="595959" w:themeColor="text1" w:themeTint="A6"/>
      <w:spacing w:val="15"/>
      <w:kern w:val="2"/>
      <w:sz w:val="28"/>
      <w:szCs w:val="35"/>
      <w:lang w:eastAsia="en-US" w:bidi="th-TH"/>
      <w14:ligatures w14:val="standardContextual"/>
    </w:rPr>
  </w:style>
  <w:style w:type="character" w:customStyle="1" w:styleId="SubtitleChar">
    <w:name w:val="Subtitle Char"/>
    <w:basedOn w:val="DefaultParagraphFont"/>
    <w:link w:val="Subtitle"/>
    <w:uiPriority w:val="11"/>
    <w:rsid w:val="00B3043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B30434"/>
    <w:pPr>
      <w:spacing w:before="160" w:after="160" w:line="278" w:lineRule="auto"/>
      <w:jc w:val="center"/>
    </w:pPr>
    <w:rPr>
      <w:rFonts w:eastAsiaTheme="minorHAnsi" w:cs="Angsana New"/>
      <w:i/>
      <w:iCs/>
      <w:color w:val="404040" w:themeColor="text1" w:themeTint="BF"/>
      <w:kern w:val="2"/>
      <w:szCs w:val="30"/>
      <w:lang w:eastAsia="en-US" w:bidi="th-TH"/>
      <w14:ligatures w14:val="standardContextual"/>
    </w:rPr>
  </w:style>
  <w:style w:type="character" w:customStyle="1" w:styleId="QuoteChar">
    <w:name w:val="Quote Char"/>
    <w:basedOn w:val="DefaultParagraphFont"/>
    <w:link w:val="Quote"/>
    <w:uiPriority w:val="29"/>
    <w:rsid w:val="00B30434"/>
    <w:rPr>
      <w:rFonts w:cs="Angsana New"/>
      <w:i/>
      <w:iCs/>
      <w:color w:val="404040" w:themeColor="text1" w:themeTint="BF"/>
    </w:rPr>
  </w:style>
  <w:style w:type="paragraph" w:styleId="ListParagraph">
    <w:name w:val="List Paragraph"/>
    <w:basedOn w:val="Normal"/>
    <w:uiPriority w:val="34"/>
    <w:qFormat/>
    <w:rsid w:val="00B30434"/>
    <w:pPr>
      <w:spacing w:after="160" w:line="278" w:lineRule="auto"/>
      <w:ind w:left="720"/>
      <w:contextualSpacing/>
    </w:pPr>
    <w:rPr>
      <w:rFonts w:eastAsiaTheme="minorHAnsi" w:cs="Angsana New"/>
      <w:kern w:val="2"/>
      <w:szCs w:val="30"/>
      <w:lang w:eastAsia="en-US" w:bidi="th-TH"/>
      <w14:ligatures w14:val="standardContextual"/>
    </w:rPr>
  </w:style>
  <w:style w:type="character" w:styleId="IntenseEmphasis">
    <w:name w:val="Intense Emphasis"/>
    <w:basedOn w:val="DefaultParagraphFont"/>
    <w:uiPriority w:val="21"/>
    <w:qFormat/>
    <w:rsid w:val="00B30434"/>
    <w:rPr>
      <w:i/>
      <w:iCs/>
      <w:color w:val="0F4761" w:themeColor="accent1" w:themeShade="BF"/>
    </w:rPr>
  </w:style>
  <w:style w:type="paragraph" w:styleId="IntenseQuote">
    <w:name w:val="Intense Quote"/>
    <w:basedOn w:val="Normal"/>
    <w:next w:val="Normal"/>
    <w:link w:val="IntenseQuoteChar"/>
    <w:uiPriority w:val="30"/>
    <w:qFormat/>
    <w:rsid w:val="00B3043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Angsana New"/>
      <w:i/>
      <w:iCs/>
      <w:color w:val="0F4761" w:themeColor="accent1" w:themeShade="BF"/>
      <w:kern w:val="2"/>
      <w:szCs w:val="30"/>
      <w:lang w:eastAsia="en-US" w:bidi="th-TH"/>
      <w14:ligatures w14:val="standardContextual"/>
    </w:rPr>
  </w:style>
  <w:style w:type="character" w:customStyle="1" w:styleId="IntenseQuoteChar">
    <w:name w:val="Intense Quote Char"/>
    <w:basedOn w:val="DefaultParagraphFont"/>
    <w:link w:val="IntenseQuote"/>
    <w:uiPriority w:val="30"/>
    <w:rsid w:val="00B30434"/>
    <w:rPr>
      <w:rFonts w:cs="Angsana New"/>
      <w:i/>
      <w:iCs/>
      <w:color w:val="0F4761" w:themeColor="accent1" w:themeShade="BF"/>
    </w:rPr>
  </w:style>
  <w:style w:type="character" w:styleId="IntenseReference">
    <w:name w:val="Intense Reference"/>
    <w:basedOn w:val="DefaultParagraphFont"/>
    <w:uiPriority w:val="32"/>
    <w:qFormat/>
    <w:rsid w:val="00B30434"/>
    <w:rPr>
      <w:b/>
      <w:bCs/>
      <w:smallCaps/>
      <w:color w:val="0F4761" w:themeColor="accent1" w:themeShade="BF"/>
      <w:spacing w:val="5"/>
    </w:rPr>
  </w:style>
  <w:style w:type="paragraph" w:customStyle="1" w:styleId="FirstParagraph">
    <w:name w:val="First Paragraph"/>
    <w:basedOn w:val="BodyText"/>
    <w:next w:val="BodyText"/>
    <w:qFormat/>
    <w:rsid w:val="00B30434"/>
    <w:pPr>
      <w:spacing w:before="180" w:after="180" w:line="240" w:lineRule="auto"/>
    </w:pPr>
    <w:rPr>
      <w:rFonts w:eastAsiaTheme="minorEastAsia" w:cstheme="minorBidi"/>
      <w:kern w:val="0"/>
      <w:szCs w:val="24"/>
      <w:lang w:eastAsia="zh-CN" w:bidi="ar-SA"/>
      <w14:ligatures w14:val="none"/>
    </w:rPr>
  </w:style>
  <w:style w:type="paragraph" w:customStyle="1" w:styleId="Compact">
    <w:name w:val="Compact"/>
    <w:basedOn w:val="BodyText"/>
    <w:qFormat/>
    <w:rsid w:val="00B30434"/>
    <w:pPr>
      <w:spacing w:before="36" w:after="36" w:line="240" w:lineRule="auto"/>
    </w:pPr>
    <w:rPr>
      <w:rFonts w:eastAsiaTheme="minorEastAsia" w:cstheme="minorBidi"/>
      <w:kern w:val="0"/>
      <w:szCs w:val="24"/>
      <w:lang w:eastAsia="zh-CN" w:bidi="ar-SA"/>
      <w14:ligatures w14:val="none"/>
    </w:rPr>
  </w:style>
  <w:style w:type="paragraph" w:styleId="BodyText">
    <w:name w:val="Body Text"/>
    <w:basedOn w:val="Normal"/>
    <w:link w:val="BodyTextChar"/>
    <w:uiPriority w:val="99"/>
    <w:semiHidden/>
    <w:unhideWhenUsed/>
    <w:rsid w:val="00B30434"/>
    <w:pPr>
      <w:spacing w:after="120" w:line="278" w:lineRule="auto"/>
    </w:pPr>
    <w:rPr>
      <w:rFonts w:eastAsiaTheme="minorHAnsi" w:cs="Angsana New"/>
      <w:kern w:val="2"/>
      <w:szCs w:val="30"/>
      <w:lang w:eastAsia="en-US" w:bidi="th-TH"/>
      <w14:ligatures w14:val="standardContextual"/>
    </w:rPr>
  </w:style>
  <w:style w:type="character" w:customStyle="1" w:styleId="BodyTextChar">
    <w:name w:val="Body Text Char"/>
    <w:basedOn w:val="DefaultParagraphFont"/>
    <w:link w:val="BodyText"/>
    <w:uiPriority w:val="99"/>
    <w:semiHidden/>
    <w:rsid w:val="00B30434"/>
    <w:rPr>
      <w:rFonts w:cs="Angsana New"/>
    </w:rPr>
  </w:style>
  <w:style w:type="character" w:customStyle="1" w:styleId="VerbatimChar">
    <w:name w:val="Verbatim Char"/>
    <w:basedOn w:val="DefaultParagraphFont"/>
    <w:link w:val="SourceCode"/>
    <w:rsid w:val="00B30434"/>
    <w:rPr>
      <w:rFonts w:ascii="Consolas" w:hAnsi="Consolas"/>
      <w:sz w:val="22"/>
    </w:rPr>
  </w:style>
  <w:style w:type="paragraph" w:customStyle="1" w:styleId="SourceCode">
    <w:name w:val="Source Code"/>
    <w:basedOn w:val="Normal"/>
    <w:link w:val="VerbatimChar"/>
    <w:rsid w:val="00B30434"/>
    <w:pPr>
      <w:wordWrap w:val="0"/>
    </w:pPr>
    <w:rPr>
      <w:rFonts w:ascii="Consolas" w:eastAsiaTheme="minorHAnsi" w:hAnsi="Consolas"/>
      <w:kern w:val="2"/>
      <w:sz w:val="22"/>
      <w:szCs w:val="30"/>
      <w:lang w:eastAsia="en-US" w:bidi="th-TH"/>
      <w14:ligatures w14:val="standardContextual"/>
    </w:rPr>
  </w:style>
  <w:style w:type="table" w:customStyle="1" w:styleId="Table">
    <w:name w:val="Table"/>
    <w:semiHidden/>
    <w:unhideWhenUsed/>
    <w:qFormat/>
    <w:rsid w:val="00B30434"/>
    <w:pPr>
      <w:spacing w:after="200" w:line="240" w:lineRule="auto"/>
    </w:pPr>
    <w:rPr>
      <w:rFonts w:eastAsiaTheme="minorEastAsia"/>
      <w:kern w:val="0"/>
      <w:sz w:val="20"/>
      <w:szCs w:val="24"/>
      <w:lang w:eastAsia="zh-CN" w:bidi="ar-SA"/>
      <w14:ligatures w14:val="none"/>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3070</Words>
  <Characters>17499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Noppadol Manosuthi</dc:creator>
  <cp:keywords/>
  <dc:description/>
  <cp:lastModifiedBy>Aditi1 Emerald</cp:lastModifiedBy>
  <cp:revision>3</cp:revision>
  <dcterms:created xsi:type="dcterms:W3CDTF">2026-08-31T04:09:00Z</dcterms:created>
  <dcterms:modified xsi:type="dcterms:W3CDTF">2026-09-16T07:17:00Z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5c396d0f-03e9-4185-a6a1-c862a2311ccd</vt:lpwstr>
  </property>
</Properties>
</file>