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028" w:rsidRPr="00194FAB" w:rsidRDefault="00861028" w:rsidP="008610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4FAB">
        <w:rPr>
          <w:rFonts w:ascii="Times New Roman" w:hAnsi="Times New Roman" w:cs="Times New Roman"/>
          <w:b/>
          <w:bCs/>
          <w:sz w:val="24"/>
          <w:szCs w:val="24"/>
        </w:rPr>
        <w:t xml:space="preserve">Appendix A: Variable Definition </w:t>
      </w:r>
    </w:p>
    <w:tbl>
      <w:tblPr>
        <w:tblW w:w="10101" w:type="dxa"/>
        <w:tblInd w:w="-27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8306"/>
      </w:tblGrid>
      <w:tr w:rsidR="00861028" w:rsidRPr="00194FAB" w:rsidTr="00855BFE">
        <w:trPr>
          <w:trHeight w:val="139"/>
        </w:trPr>
        <w:tc>
          <w:tcPr>
            <w:tcW w:w="179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AU"/>
              </w:rPr>
              <w:t>Variables</w:t>
            </w:r>
          </w:p>
        </w:tc>
        <w:tc>
          <w:tcPr>
            <w:tcW w:w="83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AU"/>
              </w:rPr>
              <w:t>Definition</w:t>
            </w:r>
          </w:p>
        </w:tc>
      </w:tr>
      <w:tr w:rsidR="00861028" w:rsidRPr="00194FAB" w:rsidTr="00855BFE">
        <w:trPr>
          <w:trHeight w:val="97"/>
        </w:trPr>
        <w:tc>
          <w:tcPr>
            <w:tcW w:w="1795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CASH</w:t>
            </w:r>
          </w:p>
        </w:tc>
        <w:tc>
          <w:tcPr>
            <w:tcW w:w="8306" w:type="dxa"/>
            <w:tcBorders>
              <w:top w:val="single" w:sz="18" w:space="0" w:color="auto"/>
            </w:tcBorders>
            <w:noWrap/>
            <w:vAlign w:val="center"/>
          </w:tcPr>
          <w:p w:rsidR="00861028" w:rsidRPr="00194FAB" w:rsidRDefault="00861028" w:rsidP="00855B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Cash and marketable securities scaled by the total assets of the sample banks (Francis et al. 2014).</w:t>
            </w:r>
          </w:p>
        </w:tc>
      </w:tr>
      <w:tr w:rsidR="00861028" w:rsidRPr="00194FAB" w:rsidTr="00855BFE">
        <w:trPr>
          <w:trHeight w:val="241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NETCASH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Cash and marketable securities scaled by total assets minus cash and marketable securities (Francis et al. 2014).</w:t>
            </w:r>
          </w:p>
        </w:tc>
      </w:tr>
      <w:tr w:rsidR="00861028" w:rsidRPr="00194FAB" w:rsidTr="00855BFE">
        <w:trPr>
          <w:trHeight w:val="169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AU"/>
              </w:rPr>
              <w:t>IFRS 9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1 for the periods of IFRS9 adoption (2018 and onwards), and 0 for the prior periods (2015-2017).</w:t>
            </w:r>
          </w:p>
        </w:tc>
      </w:tr>
      <w:tr w:rsidR="00861028" w:rsidRPr="00194FAB" w:rsidTr="00855BFE">
        <w:trPr>
          <w:trHeight w:val="169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ISLAMIC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1 for Islamic banks and 0 for the conventional banks.</w:t>
            </w:r>
          </w:p>
        </w:tc>
      </w:tr>
      <w:tr w:rsidR="00861028" w:rsidRPr="00194FAB" w:rsidTr="00855BFE">
        <w:trPr>
          <w:trHeight w:val="263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FIRMSIZE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The natural log of the total assets of the sample banks.</w:t>
            </w:r>
          </w:p>
        </w:tc>
      </w:tr>
      <w:tr w:rsidR="00861028" w:rsidRPr="00194FAB" w:rsidTr="00855BFE">
        <w:trPr>
          <w:trHeight w:val="263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AU"/>
              </w:rPr>
              <w:t>DEBT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Measure as the ratio of total long-term debt to total assets of the firm.</w:t>
            </w:r>
          </w:p>
        </w:tc>
      </w:tr>
      <w:tr w:rsidR="00861028" w:rsidRPr="00194FAB" w:rsidTr="00855BFE">
        <w:trPr>
          <w:trHeight w:val="263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CAPEX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Capital expenditure, which is measured as the ratio of capital expenditure to total assets.</w:t>
            </w:r>
          </w:p>
        </w:tc>
      </w:tr>
      <w:tr w:rsidR="00861028" w:rsidRPr="00194FAB" w:rsidTr="00855BFE">
        <w:trPr>
          <w:trHeight w:val="263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LOANS2TA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The ratio of total loans disbursed to clients to total assets of the bank.</w:t>
            </w:r>
          </w:p>
        </w:tc>
      </w:tr>
      <w:tr w:rsidR="00861028" w:rsidRPr="00194FAB" w:rsidTr="00855BFE">
        <w:trPr>
          <w:trHeight w:val="263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DEPOSIT2TA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Ratio of total client deposits to total assets of the bank.</w:t>
            </w:r>
          </w:p>
        </w:tc>
      </w:tr>
      <w:tr w:rsidR="00861028" w:rsidRPr="00194FAB" w:rsidTr="00855BFE">
        <w:trPr>
          <w:trHeight w:val="263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AU"/>
              </w:rPr>
              <w:t>TIER1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The ratio of required/statutory capital with the central bank to total assets of the bank.</w:t>
            </w:r>
          </w:p>
        </w:tc>
      </w:tr>
      <w:tr w:rsidR="00861028" w:rsidRPr="00194FAB" w:rsidTr="00855BFE">
        <w:trPr>
          <w:trHeight w:val="173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TIER2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The ratio of second level required/statutory capital with the central bank to total assets of the bank.</w:t>
            </w:r>
          </w:p>
        </w:tc>
      </w:tr>
      <w:tr w:rsidR="00861028" w:rsidRPr="00194FAB" w:rsidTr="00855BFE">
        <w:trPr>
          <w:trHeight w:val="173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ROA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The ratio of net income before tax to total assets.</w:t>
            </w:r>
          </w:p>
        </w:tc>
      </w:tr>
      <w:tr w:rsidR="00861028" w:rsidRPr="00194FAB" w:rsidTr="00855BFE">
        <w:trPr>
          <w:trHeight w:val="173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GOODWILL</w:t>
            </w:r>
          </w:p>
        </w:tc>
        <w:tc>
          <w:tcPr>
            <w:tcW w:w="8306" w:type="dxa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The ratio of the total value of goodwill to total assets of the bank.</w:t>
            </w:r>
          </w:p>
        </w:tc>
      </w:tr>
      <w:tr w:rsidR="00861028" w:rsidRPr="00194FAB" w:rsidTr="00855BFE">
        <w:trPr>
          <w:trHeight w:val="267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SIZE_BOARD</w:t>
            </w:r>
          </w:p>
        </w:tc>
        <w:tc>
          <w:tcPr>
            <w:tcW w:w="8306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The number of directors on the board of directors.</w:t>
            </w:r>
          </w:p>
        </w:tc>
      </w:tr>
      <w:tr w:rsidR="00861028" w:rsidRPr="00194FAB" w:rsidTr="00855BFE">
        <w:trPr>
          <w:trHeight w:val="267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INDBOD</w:t>
            </w:r>
          </w:p>
        </w:tc>
        <w:tc>
          <w:tcPr>
            <w:tcW w:w="8306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The total number of independent directors is scaled by the total number of directors on the board.</w:t>
            </w:r>
          </w:p>
        </w:tc>
      </w:tr>
      <w:tr w:rsidR="00861028" w:rsidRPr="00194FAB" w:rsidTr="00855BFE">
        <w:trPr>
          <w:trHeight w:val="267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SIZE_AC</w:t>
            </w:r>
          </w:p>
        </w:tc>
        <w:tc>
          <w:tcPr>
            <w:tcW w:w="8306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The number of members in the audit committee.</w:t>
            </w:r>
          </w:p>
        </w:tc>
      </w:tr>
      <w:tr w:rsidR="00861028" w:rsidRPr="00194FAB" w:rsidTr="00855BFE">
        <w:trPr>
          <w:trHeight w:val="267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hAnsi="Times New Roman" w:cs="Times New Roman"/>
                <w:i/>
                <w:iCs/>
              </w:rPr>
              <w:t>INDIRAC</w:t>
            </w:r>
          </w:p>
        </w:tc>
        <w:tc>
          <w:tcPr>
            <w:tcW w:w="8306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The total number of independent directors is scaled by the total number of directors on the audit committee.</w:t>
            </w:r>
          </w:p>
        </w:tc>
      </w:tr>
      <w:tr w:rsidR="00861028" w:rsidRPr="00194FAB" w:rsidTr="00855BFE">
        <w:trPr>
          <w:trHeight w:val="267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DIVIDEND</w:t>
            </w:r>
          </w:p>
        </w:tc>
        <w:tc>
          <w:tcPr>
            <w:tcW w:w="8306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1 if the paid dividend in the current year, and 0 otherwise.</w:t>
            </w:r>
          </w:p>
        </w:tc>
      </w:tr>
      <w:tr w:rsidR="00861028" w:rsidRPr="00194FAB" w:rsidTr="00855BFE">
        <w:trPr>
          <w:trHeight w:val="267"/>
        </w:trPr>
        <w:tc>
          <w:tcPr>
            <w:tcW w:w="1795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OCF</w:t>
            </w:r>
          </w:p>
        </w:tc>
        <w:tc>
          <w:tcPr>
            <w:tcW w:w="8306" w:type="dxa"/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The ratio of cash flow from operating activities to total assets.</w:t>
            </w:r>
          </w:p>
        </w:tc>
      </w:tr>
      <w:tr w:rsidR="00861028" w:rsidRPr="00194FAB" w:rsidTr="00855BFE">
        <w:trPr>
          <w:trHeight w:val="267"/>
        </w:trPr>
        <w:tc>
          <w:tcPr>
            <w:tcW w:w="1795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LNAGE</w:t>
            </w:r>
          </w:p>
        </w:tc>
        <w:tc>
          <w:tcPr>
            <w:tcW w:w="8306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Natural log of a firm’s listing age.</w:t>
            </w:r>
          </w:p>
        </w:tc>
      </w:tr>
      <w:tr w:rsidR="00861028" w:rsidRPr="00194FAB" w:rsidTr="00855BFE">
        <w:trPr>
          <w:trHeight w:val="267"/>
        </w:trPr>
        <w:tc>
          <w:tcPr>
            <w:tcW w:w="17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AU"/>
              </w:rPr>
              <w:t>ZSCORE</w:t>
            </w:r>
          </w:p>
        </w:tc>
        <w:tc>
          <w:tcPr>
            <w:tcW w:w="830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FAB">
              <w:rPr>
                <w:rFonts w:ascii="Times New Roman" w:hAnsi="Times New Roman" w:cs="Times New Roman"/>
                <w:sz w:val="24"/>
                <w:szCs w:val="24"/>
              </w:rPr>
              <w:t>Calculated following Altman Z score (1968).</w:t>
            </w:r>
          </w:p>
        </w:tc>
      </w:tr>
      <w:tr w:rsidR="00861028" w:rsidRPr="00194FAB" w:rsidTr="00855BFE">
        <w:trPr>
          <w:trHeight w:val="267"/>
        </w:trPr>
        <w:tc>
          <w:tcPr>
            <w:tcW w:w="1795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AU"/>
              </w:rPr>
              <w:t>PPE</w:t>
            </w:r>
          </w:p>
        </w:tc>
        <w:tc>
          <w:tcPr>
            <w:tcW w:w="830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1028" w:rsidRPr="00194FAB" w:rsidRDefault="00861028" w:rsidP="00855B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AU"/>
              </w:rPr>
              <w:t>The ratio of total property, plant, and equipment to bank total assets.</w:t>
            </w:r>
          </w:p>
        </w:tc>
      </w:tr>
      <w:tr w:rsidR="00861028" w:rsidRPr="00194FAB" w:rsidTr="00B90043">
        <w:trPr>
          <w:trHeight w:val="267"/>
        </w:trPr>
        <w:tc>
          <w:tcPr>
            <w:tcW w:w="1010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61028" w:rsidRPr="00194FAB" w:rsidRDefault="00B90043" w:rsidP="00855B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AU"/>
              </w:rPr>
            </w:pPr>
            <w:r w:rsidRPr="00194F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AU"/>
              </w:rPr>
              <w:t>Source: Authors' own creation</w:t>
            </w:r>
            <w:bookmarkStart w:id="0" w:name="_GoBack"/>
            <w:bookmarkEnd w:id="0"/>
          </w:p>
        </w:tc>
      </w:tr>
    </w:tbl>
    <w:p w:rsidR="00861028" w:rsidRPr="00194FAB" w:rsidRDefault="00861028" w:rsidP="00861028"/>
    <w:p w:rsidR="00861028" w:rsidRPr="00194FAB" w:rsidRDefault="00861028" w:rsidP="00861028"/>
    <w:p w:rsidR="004655B4" w:rsidRDefault="004655B4"/>
    <w:sectPr w:rsidR="004655B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28"/>
    <w:rsid w:val="00101C21"/>
    <w:rsid w:val="00391F3B"/>
    <w:rsid w:val="004655B4"/>
    <w:rsid w:val="007B6744"/>
    <w:rsid w:val="00861028"/>
    <w:rsid w:val="00B90043"/>
    <w:rsid w:val="00F4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7B197"/>
  <w15:docId w15:val="{D0AC7970-7B3D-449F-9C1F-DEC5914D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21041_ACE_TUDQC-125:1:emeraldjour-119-1</dc:creator>
  <cp:lastModifiedBy>Amuthu Pandian P</cp:lastModifiedBy>
  <cp:revision>3</cp:revision>
  <dcterms:created xsi:type="dcterms:W3CDTF">2025-07-12T11:56:00Z</dcterms:created>
  <dcterms:modified xsi:type="dcterms:W3CDTF">2025-07-12T12:50:00Z</dcterms:modified>
</cp:coreProperties>
</file>