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64D" w:rsidRDefault="0057664D" w:rsidP="0057664D">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Appendix A: Variable Definition </w:t>
      </w:r>
    </w:p>
    <w:tbl>
      <w:tblPr>
        <w:tblW w:w="9615" w:type="dxa"/>
        <w:tblBorders>
          <w:top w:val="nil"/>
          <w:left w:val="nil"/>
          <w:bottom w:val="nil"/>
          <w:right w:val="nil"/>
          <w:insideH w:val="nil"/>
          <w:insideV w:val="nil"/>
        </w:tblBorders>
        <w:tblLayout w:type="fixed"/>
        <w:tblLook w:val="0600" w:firstRow="0" w:lastRow="0" w:firstColumn="0" w:lastColumn="0" w:noHBand="1" w:noVBand="1"/>
      </w:tblPr>
      <w:tblGrid>
        <w:gridCol w:w="1800"/>
        <w:gridCol w:w="1470"/>
        <w:gridCol w:w="4455"/>
        <w:gridCol w:w="1890"/>
      </w:tblGrid>
      <w:tr w:rsidR="0057664D" w:rsidTr="00EA2B13">
        <w:trPr>
          <w:trHeight w:val="705"/>
        </w:trPr>
        <w:tc>
          <w:tcPr>
            <w:tcW w:w="180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7664D" w:rsidRDefault="0057664D" w:rsidP="00EA2B1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Variables</w:t>
            </w:r>
          </w:p>
        </w:tc>
        <w:tc>
          <w:tcPr>
            <w:tcW w:w="14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57664D" w:rsidRDefault="0057664D" w:rsidP="00EA2B1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Notation</w:t>
            </w:r>
          </w:p>
        </w:tc>
        <w:tc>
          <w:tcPr>
            <w:tcW w:w="44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57664D" w:rsidRDefault="0057664D" w:rsidP="00EA2B1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Variable Description</w:t>
            </w:r>
          </w:p>
        </w:tc>
        <w:tc>
          <w:tcPr>
            <w:tcW w:w="1890" w:type="dxa"/>
            <w:tcBorders>
              <w:top w:val="single" w:sz="5" w:space="0" w:color="000000"/>
              <w:left w:val="nil"/>
              <w:bottom w:val="single" w:sz="5" w:space="0" w:color="000000"/>
              <w:right w:val="single" w:sz="5" w:space="0" w:color="000000"/>
            </w:tcBorders>
          </w:tcPr>
          <w:p w:rsidR="0057664D" w:rsidRDefault="0057664D" w:rsidP="00EA2B1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Source</w:t>
            </w:r>
          </w:p>
        </w:tc>
      </w:tr>
      <w:tr w:rsidR="0057664D" w:rsidTr="00EA2B13">
        <w:trPr>
          <w:trHeight w:val="523"/>
        </w:trPr>
        <w:tc>
          <w:tcPr>
            <w:tcW w:w="7725"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57664D" w:rsidRDefault="0057664D" w:rsidP="00EA2B1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Dependent Variable</w:t>
            </w:r>
          </w:p>
        </w:tc>
        <w:tc>
          <w:tcPr>
            <w:tcW w:w="1890" w:type="dxa"/>
            <w:tcBorders>
              <w:top w:val="nil"/>
              <w:left w:val="single" w:sz="5" w:space="0" w:color="000000"/>
              <w:bottom w:val="single" w:sz="5" w:space="0" w:color="000000"/>
              <w:right w:val="single" w:sz="5" w:space="0" w:color="000000"/>
            </w:tcBorders>
          </w:tcPr>
          <w:p w:rsidR="0057664D" w:rsidRDefault="0057664D" w:rsidP="00EA2B13">
            <w:pPr>
              <w:spacing w:line="360" w:lineRule="auto"/>
              <w:jc w:val="both"/>
              <w:rPr>
                <w:rFonts w:ascii="Times New Roman" w:eastAsia="Times New Roman" w:hAnsi="Times New Roman" w:cs="Times New Roman"/>
                <w:b/>
                <w:sz w:val="26"/>
                <w:szCs w:val="26"/>
              </w:rPr>
            </w:pPr>
          </w:p>
        </w:tc>
      </w:tr>
      <w:tr w:rsidR="0057664D" w:rsidTr="00EA2B13">
        <w:trPr>
          <w:trHeight w:val="2662"/>
        </w:trPr>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Carbon dioxide Emissions</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LNCO2</w:t>
            </w:r>
          </w:p>
        </w:tc>
        <w:tc>
          <w:tcPr>
            <w:tcW w:w="4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24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The carbon dioxide emissions per capita in metric tons are used as a proxy for the amount of CO2 released. We follow Tran et al. (2023) to take the natural logarithm of the CO2 per capita.</w:t>
            </w:r>
          </w:p>
        </w:tc>
        <w:tc>
          <w:tcPr>
            <w:tcW w:w="1890" w:type="dxa"/>
            <w:tcBorders>
              <w:top w:val="nil"/>
              <w:left w:val="nil"/>
              <w:bottom w:val="single" w:sz="5" w:space="0" w:color="000000"/>
              <w:right w:val="single" w:sz="5" w:space="0" w:color="000000"/>
            </w:tcBorders>
          </w:tcPr>
          <w:p w:rsidR="0057664D" w:rsidRDefault="0057664D" w:rsidP="00EA2B13">
            <w:pPr>
              <w:rPr>
                <w:rFonts w:ascii="Times New Roman" w:eastAsia="Times New Roman" w:hAnsi="Times New Roman" w:cs="Times New Roman"/>
                <w:sz w:val="26"/>
                <w:szCs w:val="26"/>
              </w:rPr>
            </w:pPr>
            <w:r>
              <w:rPr>
                <w:rFonts w:ascii="Times New Roman" w:eastAsia="Times New Roman" w:hAnsi="Times New Roman" w:cs="Times New Roman"/>
                <w:sz w:val="26"/>
                <w:szCs w:val="26"/>
              </w:rPr>
              <w:t>World Bank databases</w:t>
            </w:r>
          </w:p>
        </w:tc>
      </w:tr>
      <w:tr w:rsidR="0057664D" w:rsidTr="00EA2B13">
        <w:trPr>
          <w:trHeight w:val="583"/>
        </w:trPr>
        <w:tc>
          <w:tcPr>
            <w:tcW w:w="7725"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Independent Variables</w:t>
            </w:r>
          </w:p>
        </w:tc>
        <w:tc>
          <w:tcPr>
            <w:tcW w:w="1890" w:type="dxa"/>
            <w:tcBorders>
              <w:top w:val="nil"/>
              <w:left w:val="single" w:sz="5" w:space="0" w:color="000000"/>
              <w:bottom w:val="single" w:sz="5" w:space="0" w:color="000000"/>
              <w:right w:val="single" w:sz="5" w:space="0" w:color="000000"/>
            </w:tcBorders>
          </w:tcPr>
          <w:p w:rsidR="0057664D" w:rsidRDefault="0057664D" w:rsidP="00EA2B13">
            <w:pPr>
              <w:spacing w:before="120" w:line="360" w:lineRule="auto"/>
              <w:jc w:val="both"/>
              <w:rPr>
                <w:rFonts w:ascii="Times New Roman" w:eastAsia="Times New Roman" w:hAnsi="Times New Roman" w:cs="Times New Roman"/>
                <w:b/>
                <w:sz w:val="26"/>
                <w:szCs w:val="26"/>
              </w:rPr>
            </w:pPr>
          </w:p>
        </w:tc>
      </w:tr>
      <w:tr w:rsidR="0057664D" w:rsidTr="00EA2B13">
        <w:trPr>
          <w:trHeight w:val="1775"/>
        </w:trPr>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Gross Domestic product</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LNGDP</w:t>
            </w:r>
          </w:p>
        </w:tc>
        <w:tc>
          <w:tcPr>
            <w:tcW w:w="4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GDP per capita is gross domestic product divided by mid-year population, reflecting the total value added by producers in the economy, including taxes and subtracting subsidies, but excluding depreciation of assets and resource degradation. Data are presented in current U.S. dollars.</w:t>
            </w:r>
          </w:p>
        </w:tc>
        <w:tc>
          <w:tcPr>
            <w:tcW w:w="1890" w:type="dxa"/>
            <w:tcBorders>
              <w:top w:val="nil"/>
              <w:left w:val="nil"/>
              <w:bottom w:val="single" w:sz="5" w:space="0" w:color="000000"/>
              <w:right w:val="single" w:sz="5" w:space="0" w:color="000000"/>
            </w:tcBorders>
          </w:tcPr>
          <w:p w:rsidR="0057664D" w:rsidRDefault="0057664D" w:rsidP="00EA2B13">
            <w:pPr>
              <w:rPr>
                <w:rFonts w:ascii="Times New Roman" w:eastAsia="Times New Roman" w:hAnsi="Times New Roman" w:cs="Times New Roman"/>
                <w:sz w:val="26"/>
                <w:szCs w:val="26"/>
              </w:rPr>
            </w:pPr>
            <w:r>
              <w:rPr>
                <w:rFonts w:ascii="Times New Roman" w:eastAsia="Times New Roman" w:hAnsi="Times New Roman" w:cs="Times New Roman"/>
                <w:sz w:val="26"/>
                <w:szCs w:val="26"/>
              </w:rPr>
              <w:t>World Bank databases</w:t>
            </w:r>
          </w:p>
        </w:tc>
      </w:tr>
      <w:tr w:rsidR="0057664D" w:rsidTr="00EA2B13">
        <w:trPr>
          <w:trHeight w:val="628"/>
        </w:trPr>
        <w:tc>
          <w:tcPr>
            <w:tcW w:w="7725"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Control Variables</w:t>
            </w:r>
          </w:p>
        </w:tc>
        <w:tc>
          <w:tcPr>
            <w:tcW w:w="1890" w:type="dxa"/>
            <w:tcBorders>
              <w:top w:val="nil"/>
              <w:left w:val="single" w:sz="5" w:space="0" w:color="000000"/>
              <w:bottom w:val="single" w:sz="5" w:space="0" w:color="000000"/>
              <w:right w:val="single" w:sz="5" w:space="0" w:color="000000"/>
            </w:tcBorders>
          </w:tcPr>
          <w:p w:rsidR="0057664D" w:rsidRDefault="0057664D" w:rsidP="00EA2B13">
            <w:pPr>
              <w:spacing w:before="120" w:line="360" w:lineRule="auto"/>
              <w:jc w:val="both"/>
              <w:rPr>
                <w:rFonts w:ascii="Times New Roman" w:eastAsia="Times New Roman" w:hAnsi="Times New Roman" w:cs="Times New Roman"/>
                <w:b/>
                <w:sz w:val="26"/>
                <w:szCs w:val="26"/>
              </w:rPr>
            </w:pPr>
          </w:p>
        </w:tc>
      </w:tr>
      <w:tr w:rsidR="0057664D" w:rsidTr="00EA2B13">
        <w:trPr>
          <w:trHeight w:val="1988"/>
        </w:trPr>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Trade Openness</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Trade</w:t>
            </w:r>
          </w:p>
        </w:tc>
        <w:tc>
          <w:tcPr>
            <w:tcW w:w="4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strike/>
                <w:color w:val="FF0000"/>
                <w:sz w:val="26"/>
                <w:szCs w:val="26"/>
              </w:rPr>
            </w:pPr>
            <w:r>
              <w:rPr>
                <w:rFonts w:ascii="Times New Roman" w:eastAsia="Times New Roman" w:hAnsi="Times New Roman" w:cs="Times New Roman"/>
                <w:sz w:val="26"/>
                <w:szCs w:val="26"/>
              </w:rPr>
              <w:t>The ratio of the import of goods and services plus the export of goods and services is divided by GDP (Duong et al., 2022).</w:t>
            </w:r>
          </w:p>
        </w:tc>
        <w:tc>
          <w:tcPr>
            <w:tcW w:w="1890" w:type="dxa"/>
            <w:tcBorders>
              <w:top w:val="nil"/>
              <w:left w:val="nil"/>
              <w:bottom w:val="single" w:sz="5" w:space="0" w:color="000000"/>
              <w:right w:val="single" w:sz="5" w:space="0" w:color="000000"/>
            </w:tcBorders>
          </w:tcPr>
          <w:p w:rsidR="0057664D" w:rsidRDefault="0057664D" w:rsidP="00EA2B13">
            <w:pPr>
              <w:rPr>
                <w:rFonts w:ascii="Times New Roman" w:eastAsia="Times New Roman" w:hAnsi="Times New Roman" w:cs="Times New Roman"/>
              </w:rPr>
            </w:pPr>
            <w:r>
              <w:rPr>
                <w:rFonts w:ascii="Times New Roman" w:eastAsia="Times New Roman" w:hAnsi="Times New Roman" w:cs="Times New Roman"/>
                <w:sz w:val="26"/>
                <w:szCs w:val="26"/>
              </w:rPr>
              <w:t>World Bank databases</w:t>
            </w:r>
          </w:p>
        </w:tc>
      </w:tr>
      <w:tr w:rsidR="0057664D" w:rsidTr="00EA2B13">
        <w:trPr>
          <w:trHeight w:val="1380"/>
        </w:trPr>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Urbanization</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UR</w:t>
            </w:r>
          </w:p>
        </w:tc>
        <w:tc>
          <w:tcPr>
            <w:tcW w:w="4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ratio of the urban population to the total population (</w:t>
            </w:r>
            <w:r>
              <w:rPr>
                <w:rFonts w:ascii="Times New Roman" w:eastAsia="Times New Roman" w:hAnsi="Times New Roman" w:cs="Times New Roman"/>
                <w:i/>
                <w:sz w:val="26"/>
                <w:szCs w:val="26"/>
              </w:rPr>
              <w:t>Wang et al.</w:t>
            </w:r>
            <w:r>
              <w:rPr>
                <w:rFonts w:ascii="Times New Roman" w:eastAsia="Times New Roman" w:hAnsi="Times New Roman" w:cs="Times New Roman"/>
                <w:sz w:val="26"/>
                <w:szCs w:val="26"/>
              </w:rPr>
              <w:t>, 2020).</w:t>
            </w:r>
          </w:p>
        </w:tc>
        <w:tc>
          <w:tcPr>
            <w:tcW w:w="1890" w:type="dxa"/>
            <w:tcBorders>
              <w:top w:val="nil"/>
              <w:left w:val="nil"/>
              <w:bottom w:val="single" w:sz="5" w:space="0" w:color="000000"/>
              <w:right w:val="single" w:sz="5" w:space="0" w:color="000000"/>
            </w:tcBorders>
          </w:tcPr>
          <w:p w:rsidR="0057664D" w:rsidRDefault="0057664D" w:rsidP="00EA2B13">
            <w:pPr>
              <w:rPr>
                <w:rFonts w:ascii="Times New Roman" w:eastAsia="Times New Roman" w:hAnsi="Times New Roman" w:cs="Times New Roman"/>
              </w:rPr>
            </w:pPr>
            <w:r>
              <w:rPr>
                <w:rFonts w:ascii="Times New Roman" w:eastAsia="Times New Roman" w:hAnsi="Times New Roman" w:cs="Times New Roman"/>
                <w:sz w:val="26"/>
                <w:szCs w:val="26"/>
              </w:rPr>
              <w:t>World Bank  databases</w:t>
            </w:r>
          </w:p>
        </w:tc>
      </w:tr>
      <w:tr w:rsidR="0057664D" w:rsidTr="00EA2B13">
        <w:trPr>
          <w:trHeight w:val="1305"/>
        </w:trPr>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Industrial Weight</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IND</w:t>
            </w:r>
          </w:p>
        </w:tc>
        <w:tc>
          <w:tcPr>
            <w:tcW w:w="4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amount of industrial added value to GDP in the same year (Zhu </w:t>
            </w:r>
            <w:r>
              <w:rPr>
                <w:rFonts w:ascii="Times New Roman" w:eastAsia="Times New Roman" w:hAnsi="Times New Roman" w:cs="Times New Roman"/>
                <w:i/>
                <w:sz w:val="26"/>
                <w:szCs w:val="26"/>
              </w:rPr>
              <w:t>et al.</w:t>
            </w:r>
            <w:r>
              <w:rPr>
                <w:rFonts w:ascii="Times New Roman" w:eastAsia="Times New Roman" w:hAnsi="Times New Roman" w:cs="Times New Roman"/>
                <w:sz w:val="26"/>
                <w:szCs w:val="26"/>
              </w:rPr>
              <w:t>, 2019).</w:t>
            </w:r>
          </w:p>
        </w:tc>
        <w:tc>
          <w:tcPr>
            <w:tcW w:w="1890" w:type="dxa"/>
            <w:tcBorders>
              <w:top w:val="nil"/>
              <w:left w:val="nil"/>
              <w:bottom w:val="single" w:sz="5" w:space="0" w:color="000000"/>
              <w:right w:val="single" w:sz="5" w:space="0" w:color="000000"/>
            </w:tcBorders>
          </w:tcPr>
          <w:p w:rsidR="0057664D" w:rsidRDefault="0057664D" w:rsidP="00EA2B13">
            <w:pPr>
              <w:rPr>
                <w:rFonts w:ascii="Times New Roman" w:eastAsia="Times New Roman" w:hAnsi="Times New Roman" w:cs="Times New Roman"/>
              </w:rPr>
            </w:pPr>
            <w:r>
              <w:rPr>
                <w:rFonts w:ascii="Times New Roman" w:eastAsia="Times New Roman" w:hAnsi="Times New Roman" w:cs="Times New Roman"/>
                <w:sz w:val="26"/>
                <w:szCs w:val="26"/>
              </w:rPr>
              <w:t>World Bank databases</w:t>
            </w:r>
          </w:p>
        </w:tc>
      </w:tr>
      <w:tr w:rsidR="0057664D" w:rsidTr="00EA2B13">
        <w:trPr>
          <w:trHeight w:val="1585"/>
        </w:trPr>
        <w:tc>
          <w:tcPr>
            <w:tcW w:w="18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Technology Innovation</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12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IP</w:t>
            </w:r>
          </w:p>
        </w:tc>
        <w:tc>
          <w:tcPr>
            <w:tcW w:w="4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7664D" w:rsidRDefault="0057664D" w:rsidP="00EA2B13">
            <w:pPr>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Technology Innovation is defined as the number of patent application authorizations (Khan et al., 2020).</w:t>
            </w:r>
          </w:p>
        </w:tc>
        <w:tc>
          <w:tcPr>
            <w:tcW w:w="1890" w:type="dxa"/>
            <w:tcBorders>
              <w:top w:val="nil"/>
              <w:left w:val="nil"/>
              <w:bottom w:val="single" w:sz="5" w:space="0" w:color="000000"/>
              <w:right w:val="single" w:sz="5" w:space="0" w:color="000000"/>
            </w:tcBorders>
          </w:tcPr>
          <w:p w:rsidR="0057664D" w:rsidRDefault="0057664D" w:rsidP="00EA2B13">
            <w:pPr>
              <w:rPr>
                <w:rFonts w:ascii="Times New Roman" w:eastAsia="Times New Roman" w:hAnsi="Times New Roman" w:cs="Times New Roman"/>
              </w:rPr>
            </w:pPr>
            <w:r>
              <w:rPr>
                <w:rFonts w:ascii="Times New Roman" w:eastAsia="Times New Roman" w:hAnsi="Times New Roman" w:cs="Times New Roman"/>
                <w:sz w:val="26"/>
                <w:szCs w:val="26"/>
              </w:rPr>
              <w:t>World Bank databases</w:t>
            </w:r>
          </w:p>
        </w:tc>
      </w:tr>
    </w:tbl>
    <w:p w:rsidR="0057664D" w:rsidRPr="00DF268B" w:rsidRDefault="0057664D" w:rsidP="0057664D">
      <w:pPr>
        <w:spacing w:before="240" w:after="0" w:line="360" w:lineRule="auto"/>
        <w:rPr>
          <w:rFonts w:ascii="Times New Roman" w:eastAsia="Times New Roman" w:hAnsi="Times New Roman" w:cs="Times New Roman"/>
          <w:sz w:val="26"/>
          <w:szCs w:val="26"/>
        </w:rPr>
      </w:pPr>
      <w:r w:rsidRPr="00DF268B">
        <w:rPr>
          <w:rFonts w:ascii="Times New Roman" w:eastAsia="Times New Roman" w:hAnsi="Times New Roman" w:cs="Times New Roman"/>
          <w:b/>
          <w:sz w:val="26"/>
          <w:szCs w:val="26"/>
        </w:rPr>
        <w:t xml:space="preserve">Source(s): </w:t>
      </w:r>
      <w:r w:rsidRPr="00DF268B">
        <w:rPr>
          <w:rFonts w:ascii="Times New Roman" w:eastAsia="Times New Roman" w:hAnsi="Times New Roman" w:cs="Times New Roman"/>
          <w:sz w:val="26"/>
          <w:szCs w:val="26"/>
        </w:rPr>
        <w:t>Author’s compilation</w:t>
      </w:r>
    </w:p>
    <w:p w:rsidR="0057664D" w:rsidRDefault="0057664D" w:rsidP="0057664D">
      <w:pPr>
        <w:rPr>
          <w:rFonts w:ascii="Times New Roman" w:eastAsia="Times New Roman" w:hAnsi="Times New Roman" w:cs="Times New Roman"/>
          <w:b/>
          <w:sz w:val="26"/>
          <w:szCs w:val="26"/>
        </w:rPr>
      </w:pPr>
      <w:r>
        <w:br w:type="page"/>
      </w:r>
    </w:p>
    <w:p w:rsidR="0057664D" w:rsidRDefault="0057664D" w:rsidP="0057664D">
      <w:pPr>
        <w:spacing w:before="240" w:after="0" w:line="360" w:lineRule="auto"/>
        <w:jc w:val="center"/>
        <w:rPr>
          <w:rFonts w:ascii="Times New Roman" w:eastAsia="Times New Roman" w:hAnsi="Times New Roman" w:cs="Times New Roman"/>
          <w:b/>
          <w:sz w:val="26"/>
          <w:szCs w:val="26"/>
        </w:rPr>
      </w:pPr>
      <w:bookmarkStart w:id="0" w:name="_heading=h.jlbjep7imeew" w:colFirst="0" w:colLast="0"/>
      <w:bookmarkEnd w:id="0"/>
      <w:r>
        <w:rPr>
          <w:rFonts w:ascii="Times New Roman" w:eastAsia="Times New Roman" w:hAnsi="Times New Roman" w:cs="Times New Roman"/>
          <w:b/>
          <w:sz w:val="26"/>
          <w:szCs w:val="26"/>
        </w:rPr>
        <w:lastRenderedPageBreak/>
        <w:t>Appendix B: 27 countries in West and South Asia</w:t>
      </w:r>
    </w:p>
    <w:sdt>
      <w:sdtPr>
        <w:tag w:val="goog_rdk_2"/>
        <w:id w:val="-1056194357"/>
        <w:lock w:val="contentLocked"/>
      </w:sdtPr>
      <w:sdtEndPr/>
      <w:sdtContent>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10"/>
            <w:gridCol w:w="2925"/>
          </w:tblGrid>
          <w:tr w:rsidR="0057664D" w:rsidTr="00EA2B13">
            <w:trPr>
              <w:trHeight w:val="405"/>
            </w:trPr>
            <w:tc>
              <w:tcPr>
                <w:tcW w:w="3045" w:type="dxa"/>
                <w:tcBorders>
                  <w:top w:val="single" w:sz="5" w:space="0" w:color="000000"/>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Afghanistan</w:t>
                </w:r>
              </w:p>
            </w:tc>
            <w:tc>
              <w:tcPr>
                <w:tcW w:w="2910" w:type="dxa"/>
                <w:tcBorders>
                  <w:top w:val="single" w:sz="5" w:space="0" w:color="000000"/>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 Iran, Islamic Rep</w:t>
                </w:r>
              </w:p>
            </w:tc>
            <w:tc>
              <w:tcPr>
                <w:tcW w:w="2925" w:type="dxa"/>
                <w:tcBorders>
                  <w:top w:val="single" w:sz="5" w:space="0" w:color="000000"/>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19. Pakistan</w:t>
                </w:r>
              </w:p>
            </w:tc>
          </w:tr>
          <w:tr w:rsidR="0057664D" w:rsidTr="00EA2B13">
            <w:trPr>
              <w:trHeight w:val="405"/>
            </w:trPr>
            <w:tc>
              <w:tcPr>
                <w:tcW w:w="3045" w:type="dxa"/>
                <w:tcBorders>
                  <w:top w:val="nil"/>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Armenia</w:t>
                </w:r>
              </w:p>
            </w:tc>
            <w:tc>
              <w:tcPr>
                <w:tcW w:w="2910"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Iraq</w:t>
                </w:r>
              </w:p>
            </w:tc>
            <w:tc>
              <w:tcPr>
                <w:tcW w:w="2925"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20. Qatar</w:t>
                </w:r>
              </w:p>
            </w:tc>
          </w:tr>
          <w:tr w:rsidR="0057664D" w:rsidTr="00EA2B13">
            <w:trPr>
              <w:trHeight w:val="600"/>
            </w:trPr>
            <w:tc>
              <w:tcPr>
                <w:tcW w:w="3045" w:type="dxa"/>
                <w:tcBorders>
                  <w:top w:val="nil"/>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Azerbaijan</w:t>
                </w:r>
              </w:p>
            </w:tc>
            <w:tc>
              <w:tcPr>
                <w:tcW w:w="2910"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Israel</w:t>
                </w:r>
              </w:p>
            </w:tc>
            <w:tc>
              <w:tcPr>
                <w:tcW w:w="2925"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Saudi Arabia </w:t>
                </w:r>
              </w:p>
            </w:tc>
          </w:tr>
          <w:tr w:rsidR="0057664D" w:rsidTr="00EA2B13">
            <w:trPr>
              <w:trHeight w:val="405"/>
            </w:trPr>
            <w:tc>
              <w:tcPr>
                <w:tcW w:w="3045" w:type="dxa"/>
                <w:tcBorders>
                  <w:top w:val="single" w:sz="5" w:space="0" w:color="FFFFFF"/>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Bahrain</w:t>
                </w:r>
              </w:p>
            </w:tc>
            <w:tc>
              <w:tcPr>
                <w:tcW w:w="2910" w:type="dxa"/>
                <w:tcBorders>
                  <w:top w:val="single" w:sz="5" w:space="0" w:color="FFFFFF"/>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Jordan</w:t>
                </w:r>
              </w:p>
            </w:tc>
            <w:tc>
              <w:tcPr>
                <w:tcW w:w="2925" w:type="dxa"/>
                <w:tcBorders>
                  <w:top w:val="single" w:sz="5" w:space="0" w:color="FFFFFF"/>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 Sri Lanka</w:t>
                </w:r>
              </w:p>
            </w:tc>
          </w:tr>
          <w:tr w:rsidR="0057664D" w:rsidTr="00EA2B13">
            <w:trPr>
              <w:trHeight w:val="405"/>
            </w:trPr>
            <w:tc>
              <w:tcPr>
                <w:tcW w:w="3045" w:type="dxa"/>
                <w:tcBorders>
                  <w:top w:val="nil"/>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Bangladesh</w:t>
                </w:r>
              </w:p>
            </w:tc>
            <w:tc>
              <w:tcPr>
                <w:tcW w:w="2910"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 Kuwait</w:t>
                </w:r>
              </w:p>
            </w:tc>
            <w:tc>
              <w:tcPr>
                <w:tcW w:w="2925"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 Syrian Arab Republic</w:t>
                </w:r>
              </w:p>
            </w:tc>
          </w:tr>
          <w:tr w:rsidR="0057664D" w:rsidTr="00EA2B13">
            <w:trPr>
              <w:trHeight w:val="405"/>
            </w:trPr>
            <w:tc>
              <w:tcPr>
                <w:tcW w:w="3045" w:type="dxa"/>
                <w:tcBorders>
                  <w:top w:val="nil"/>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 Bhutan</w:t>
                </w:r>
              </w:p>
            </w:tc>
            <w:tc>
              <w:tcPr>
                <w:tcW w:w="2910"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 Lebanon</w:t>
                </w:r>
              </w:p>
            </w:tc>
            <w:tc>
              <w:tcPr>
                <w:tcW w:w="2925"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 Turkiye</w:t>
                </w:r>
              </w:p>
            </w:tc>
          </w:tr>
          <w:tr w:rsidR="0057664D" w:rsidTr="00EA2B13">
            <w:trPr>
              <w:trHeight w:val="405"/>
            </w:trPr>
            <w:tc>
              <w:tcPr>
                <w:tcW w:w="3045" w:type="dxa"/>
                <w:tcBorders>
                  <w:top w:val="nil"/>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 Cyprus</w:t>
                </w:r>
              </w:p>
            </w:tc>
            <w:tc>
              <w:tcPr>
                <w:tcW w:w="2910"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 Maldives</w:t>
                </w:r>
              </w:p>
            </w:tc>
            <w:tc>
              <w:tcPr>
                <w:tcW w:w="2925"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25. United Arab Emirates</w:t>
                </w:r>
              </w:p>
            </w:tc>
          </w:tr>
          <w:tr w:rsidR="0057664D" w:rsidTr="00EA2B13">
            <w:trPr>
              <w:trHeight w:val="405"/>
            </w:trPr>
            <w:tc>
              <w:tcPr>
                <w:tcW w:w="3045" w:type="dxa"/>
                <w:tcBorders>
                  <w:top w:val="nil"/>
                  <w:left w:val="single" w:sz="5" w:space="0" w:color="FFFFFF"/>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Georgia</w:t>
                </w:r>
              </w:p>
            </w:tc>
            <w:tc>
              <w:tcPr>
                <w:tcW w:w="2910"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 Nepal</w:t>
                </w:r>
              </w:p>
            </w:tc>
            <w:tc>
              <w:tcPr>
                <w:tcW w:w="2925" w:type="dxa"/>
                <w:tcBorders>
                  <w:top w:val="nil"/>
                  <w:left w:val="nil"/>
                  <w:bottom w:val="single" w:sz="5" w:space="0" w:color="FFFFFF"/>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 West Bank and Gaza</w:t>
                </w:r>
              </w:p>
            </w:tc>
          </w:tr>
          <w:tr w:rsidR="0057664D" w:rsidTr="00EA2B13">
            <w:trPr>
              <w:trHeight w:val="405"/>
            </w:trPr>
            <w:tc>
              <w:tcPr>
                <w:tcW w:w="3045" w:type="dxa"/>
                <w:tcBorders>
                  <w:top w:val="nil"/>
                  <w:left w:val="single" w:sz="5" w:space="0" w:color="FFFFFF"/>
                  <w:bottom w:val="single" w:sz="5" w:space="0" w:color="000000"/>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 India</w:t>
                </w:r>
              </w:p>
            </w:tc>
            <w:tc>
              <w:tcPr>
                <w:tcW w:w="2910" w:type="dxa"/>
                <w:tcBorders>
                  <w:top w:val="nil"/>
                  <w:left w:val="nil"/>
                  <w:bottom w:val="single" w:sz="5" w:space="0" w:color="000000"/>
                  <w:right w:val="single" w:sz="5" w:space="0" w:color="FFFFFF"/>
                </w:tcBorders>
                <w:tcMar>
                  <w:top w:w="0" w:type="dxa"/>
                  <w:left w:w="100" w:type="dxa"/>
                  <w:bottom w:w="0" w:type="dxa"/>
                  <w:right w:w="100" w:type="dxa"/>
                </w:tcMar>
              </w:tcPr>
              <w:p w:rsidR="0057664D" w:rsidRDefault="0057664D" w:rsidP="00EA2B1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 Oman</w:t>
                </w:r>
              </w:p>
            </w:tc>
            <w:tc>
              <w:tcPr>
                <w:tcW w:w="2925" w:type="dxa"/>
                <w:tcBorders>
                  <w:top w:val="nil"/>
                  <w:left w:val="nil"/>
                  <w:bottom w:val="single" w:sz="5" w:space="0" w:color="000000"/>
                  <w:right w:val="single" w:sz="5" w:space="0" w:color="FFFFFF"/>
                </w:tcBorders>
                <w:tcMar>
                  <w:top w:w="0" w:type="dxa"/>
                  <w:left w:w="100" w:type="dxa"/>
                  <w:bottom w:w="0" w:type="dxa"/>
                  <w:right w:w="100" w:type="dxa"/>
                </w:tcMar>
              </w:tcPr>
              <w:p w:rsidR="0057664D" w:rsidRDefault="0057664D" w:rsidP="00EA2B13">
                <w:pPr>
                  <w:spacing w:before="240"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 Yemen, Rep.</w:t>
                </w:r>
              </w:p>
            </w:tc>
          </w:tr>
        </w:tbl>
      </w:sdtContent>
    </w:sdt>
    <w:p w:rsidR="0057664D" w:rsidRDefault="0057664D" w:rsidP="0057664D">
      <w:pPr>
        <w:spacing w:before="240" w:after="0" w:line="360" w:lineRule="auto"/>
        <w:rPr>
          <w:rFonts w:ascii="Times New Roman" w:eastAsia="Times New Roman" w:hAnsi="Times New Roman" w:cs="Times New Roman"/>
          <w:sz w:val="26"/>
          <w:szCs w:val="26"/>
          <w:u w:val="single"/>
        </w:rPr>
      </w:pPr>
      <w:bookmarkStart w:id="1" w:name="_heading=h.7pvv14wvcb8x" w:colFirst="0" w:colLast="0"/>
      <w:bookmarkStart w:id="2" w:name="_GoBack"/>
      <w:bookmarkEnd w:id="1"/>
      <w:bookmarkEnd w:id="2"/>
      <w:r w:rsidRPr="00DF268B">
        <w:rPr>
          <w:rFonts w:ascii="Times New Roman" w:eastAsia="Times New Roman" w:hAnsi="Times New Roman" w:cs="Times New Roman"/>
          <w:b/>
          <w:sz w:val="26"/>
          <w:szCs w:val="26"/>
        </w:rPr>
        <w:t xml:space="preserve">Source(s): </w:t>
      </w:r>
      <w:r w:rsidRPr="00DF268B">
        <w:rPr>
          <w:rFonts w:ascii="Times New Roman" w:eastAsia="Times New Roman" w:hAnsi="Times New Roman" w:cs="Times New Roman"/>
          <w:sz w:val="26"/>
          <w:szCs w:val="26"/>
        </w:rPr>
        <w:t>Author’s compilation</w:t>
      </w:r>
    </w:p>
    <w:p w:rsidR="00405032" w:rsidRDefault="00405032"/>
    <w:sectPr w:rsidR="00405032">
      <w:pgSz w:w="12240" w:h="15840"/>
      <w:pgMar w:top="1701" w:right="1134" w:bottom="1134" w:left="1417"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4D"/>
    <w:rsid w:val="00014381"/>
    <w:rsid w:val="001B24BF"/>
    <w:rsid w:val="002437A8"/>
    <w:rsid w:val="00405032"/>
    <w:rsid w:val="0057664D"/>
    <w:rsid w:val="00687063"/>
    <w:rsid w:val="00A72290"/>
    <w:rsid w:val="00DF26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C0503-DD5B-445D-9B8E-85E3E1F6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22145</dc:creator>
  <cp:lastModifiedBy>Amuthu Pandian P</cp:lastModifiedBy>
  <cp:revision>2</cp:revision>
  <dcterms:created xsi:type="dcterms:W3CDTF">2025-07-11T02:49:00Z</dcterms:created>
  <dcterms:modified xsi:type="dcterms:W3CDTF">2025-07-11T03:01:00Z</dcterms:modified>
</cp:coreProperties>
</file>