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B89" w:rsidRPr="00052ACF" w:rsidRDefault="00F42B89" w:rsidP="00F42B89">
      <w:pPr>
        <w:spacing w:before="120"/>
        <w:jc w:val="both"/>
        <w:rPr>
          <w:color w:val="000000" w:themeColor="text1"/>
          <w:lang w:val="vi-VN"/>
        </w:rPr>
      </w:pPr>
      <w:r w:rsidRPr="00052ACF">
        <w:rPr>
          <w:b/>
          <w:bCs/>
          <w:color w:val="000000" w:themeColor="text1"/>
          <w:lang w:val="vi-VN"/>
        </w:rPr>
        <w:t>Appendix:</w:t>
      </w:r>
      <w:r w:rsidRPr="00052ACF">
        <w:rPr>
          <w:color w:val="000000" w:themeColor="text1"/>
          <w:lang w:val="vi-VN"/>
        </w:rPr>
        <w:t xml:space="preserve"> Research on digital governance, bank performance and WGI in developing countries and regions.</w:t>
      </w:r>
    </w:p>
    <w:tbl>
      <w:tblPr>
        <w:tblStyle w:val="TableGrid"/>
        <w:tblW w:w="9918" w:type="dxa"/>
        <w:tblLayout w:type="fixed"/>
        <w:tblLook w:val="04A0" w:firstRow="1" w:lastRow="0" w:firstColumn="1" w:lastColumn="0" w:noHBand="0" w:noVBand="1"/>
      </w:tblPr>
      <w:tblGrid>
        <w:gridCol w:w="1857"/>
        <w:gridCol w:w="2162"/>
        <w:gridCol w:w="90"/>
        <w:gridCol w:w="1987"/>
        <w:gridCol w:w="67"/>
        <w:gridCol w:w="3755"/>
      </w:tblGrid>
      <w:tr w:rsidR="00F42B89" w:rsidRPr="00052ACF" w:rsidTr="0091483A">
        <w:tc>
          <w:tcPr>
            <w:tcW w:w="1857" w:type="dxa"/>
          </w:tcPr>
          <w:p w:rsidR="00F42B89" w:rsidRPr="00052ACF" w:rsidRDefault="00F42B89" w:rsidP="0091483A">
            <w:pPr>
              <w:tabs>
                <w:tab w:val="left" w:pos="6804"/>
              </w:tabs>
              <w:spacing w:before="120" w:after="120" w:line="312" w:lineRule="auto"/>
              <w:rPr>
                <w:b/>
                <w:bCs/>
                <w:color w:val="000000" w:themeColor="text1"/>
                <w:lang w:val="vi-VN"/>
              </w:rPr>
            </w:pPr>
            <w:r w:rsidRPr="00052ACF">
              <w:rPr>
                <w:b/>
                <w:bCs/>
                <w:color w:val="000000" w:themeColor="text1"/>
                <w:lang w:val="vi-VN"/>
              </w:rPr>
              <w:t>Study</w:t>
            </w:r>
          </w:p>
        </w:tc>
        <w:tc>
          <w:tcPr>
            <w:tcW w:w="2252" w:type="dxa"/>
            <w:gridSpan w:val="2"/>
          </w:tcPr>
          <w:p w:rsidR="00F42B89" w:rsidRPr="00052ACF" w:rsidRDefault="00F42B89" w:rsidP="0091483A">
            <w:pPr>
              <w:tabs>
                <w:tab w:val="left" w:pos="6804"/>
              </w:tabs>
              <w:spacing w:before="120" w:after="120" w:line="312" w:lineRule="auto"/>
              <w:jc w:val="both"/>
              <w:rPr>
                <w:b/>
                <w:bCs/>
                <w:color w:val="000000" w:themeColor="text1"/>
                <w:lang w:val="vi-VN"/>
              </w:rPr>
            </w:pPr>
            <w:r w:rsidRPr="00052ACF">
              <w:rPr>
                <w:b/>
                <w:bCs/>
                <w:color w:val="000000" w:themeColor="text1"/>
                <w:lang w:val="vi-VN"/>
              </w:rPr>
              <w:t>Sample</w:t>
            </w:r>
          </w:p>
        </w:tc>
        <w:tc>
          <w:tcPr>
            <w:tcW w:w="1987" w:type="dxa"/>
          </w:tcPr>
          <w:p w:rsidR="00F42B89" w:rsidRPr="00052ACF" w:rsidRDefault="00F42B89" w:rsidP="0091483A">
            <w:pPr>
              <w:tabs>
                <w:tab w:val="left" w:pos="6804"/>
              </w:tabs>
              <w:spacing w:before="120" w:after="120" w:line="312" w:lineRule="auto"/>
              <w:jc w:val="both"/>
              <w:rPr>
                <w:b/>
                <w:bCs/>
                <w:color w:val="000000" w:themeColor="text1"/>
                <w:lang w:val="vi-VN"/>
              </w:rPr>
            </w:pPr>
            <w:r w:rsidRPr="00052ACF">
              <w:rPr>
                <w:b/>
                <w:bCs/>
                <w:color w:val="000000" w:themeColor="text1"/>
                <w:lang w:val="vi-VN"/>
              </w:rPr>
              <w:t>Method</w:t>
            </w:r>
          </w:p>
        </w:tc>
        <w:tc>
          <w:tcPr>
            <w:tcW w:w="3822" w:type="dxa"/>
            <w:gridSpan w:val="2"/>
          </w:tcPr>
          <w:p w:rsidR="00F42B89" w:rsidRPr="00052ACF" w:rsidRDefault="00F42B89" w:rsidP="0091483A">
            <w:pPr>
              <w:tabs>
                <w:tab w:val="left" w:pos="6804"/>
              </w:tabs>
              <w:spacing w:before="120" w:after="120" w:line="312" w:lineRule="auto"/>
              <w:jc w:val="both"/>
              <w:rPr>
                <w:b/>
                <w:bCs/>
                <w:color w:val="000000" w:themeColor="text1"/>
                <w:lang w:val="vi-VN"/>
              </w:rPr>
            </w:pPr>
            <w:r w:rsidRPr="00052ACF">
              <w:rPr>
                <w:b/>
                <w:bCs/>
                <w:color w:val="000000" w:themeColor="text1"/>
                <w:lang w:val="vi-VN"/>
              </w:rPr>
              <w:t>Results</w:t>
            </w:r>
          </w:p>
        </w:tc>
      </w:tr>
      <w:tr w:rsidR="00F42B89" w:rsidRPr="00052ACF" w:rsidTr="0091483A">
        <w:tc>
          <w:tcPr>
            <w:tcW w:w="1857" w:type="dxa"/>
          </w:tcPr>
          <w:p w:rsidR="00F42B89" w:rsidRPr="00052ACF" w:rsidRDefault="00F42B89" w:rsidP="0091483A">
            <w:pPr>
              <w:tabs>
                <w:tab w:val="left" w:pos="6804"/>
              </w:tabs>
              <w:spacing w:before="120" w:after="120" w:line="312" w:lineRule="auto"/>
              <w:rPr>
                <w:color w:val="000000" w:themeColor="text1"/>
                <w:lang w:val="vi-VN"/>
              </w:rPr>
            </w:pPr>
            <w:r w:rsidRPr="00052ACF">
              <w:rPr>
                <w:color w:val="000000" w:themeColor="text1"/>
                <w:lang w:val="vi-VN"/>
              </w:rPr>
              <w:t>Majeed &amp; Malik (2016)</w:t>
            </w:r>
          </w:p>
        </w:tc>
        <w:tc>
          <w:tcPr>
            <w:tcW w:w="2252" w:type="dxa"/>
            <w:gridSpan w:val="2"/>
          </w:tcPr>
          <w:p w:rsidR="00F42B89" w:rsidRPr="00052ACF" w:rsidRDefault="00F42B89" w:rsidP="0091483A">
            <w:pPr>
              <w:tabs>
                <w:tab w:val="left" w:pos="6804"/>
              </w:tabs>
              <w:spacing w:before="120" w:after="120" w:line="312" w:lineRule="auto"/>
              <w:rPr>
                <w:color w:val="000000" w:themeColor="text1"/>
                <w:lang w:val="vi-VN"/>
              </w:rPr>
            </w:pPr>
            <w:r w:rsidRPr="00052ACF">
              <w:rPr>
                <w:color w:val="000000" w:themeColor="text1"/>
                <w:lang w:val="vi-VN"/>
              </w:rPr>
              <w:t>147 countries; from 2003 to 2012</w:t>
            </w:r>
          </w:p>
        </w:tc>
        <w:tc>
          <w:tcPr>
            <w:tcW w:w="1987" w:type="dxa"/>
          </w:tcPr>
          <w:p w:rsidR="00F42B89" w:rsidRPr="00052ACF" w:rsidRDefault="00F42B89" w:rsidP="0091483A">
            <w:pPr>
              <w:tabs>
                <w:tab w:val="left" w:pos="6804"/>
              </w:tabs>
              <w:spacing w:before="120" w:after="120" w:line="312" w:lineRule="auto"/>
              <w:jc w:val="both"/>
              <w:rPr>
                <w:color w:val="000000" w:themeColor="text1"/>
                <w:lang w:val="vi-VN"/>
              </w:rPr>
            </w:pPr>
            <w:r w:rsidRPr="00052ACF">
              <w:rPr>
                <w:color w:val="000000" w:themeColor="text1"/>
                <w:lang w:val="vi-VN"/>
              </w:rPr>
              <w:t>2SLS</w:t>
            </w:r>
          </w:p>
        </w:tc>
        <w:tc>
          <w:tcPr>
            <w:tcW w:w="3822" w:type="dxa"/>
            <w:gridSpan w:val="2"/>
          </w:tcPr>
          <w:p w:rsidR="00F42B89" w:rsidRPr="00052ACF" w:rsidRDefault="00F42B89" w:rsidP="0091483A">
            <w:pPr>
              <w:tabs>
                <w:tab w:val="left" w:pos="6804"/>
              </w:tabs>
              <w:spacing w:before="120" w:after="120" w:line="312" w:lineRule="auto"/>
              <w:jc w:val="both"/>
              <w:rPr>
                <w:color w:val="000000" w:themeColor="text1"/>
                <w:lang w:val="vi-VN"/>
              </w:rPr>
            </w:pPr>
            <w:r w:rsidRPr="00052ACF">
              <w:rPr>
                <w:color w:val="000000" w:themeColor="text1"/>
                <w:lang w:val="vi-VN"/>
              </w:rPr>
              <w:t>EGDI is a prerequisite for promoting financial development, GDP and financial development.</w:t>
            </w:r>
          </w:p>
        </w:tc>
      </w:tr>
      <w:tr w:rsidR="00F42B89" w:rsidRPr="00052ACF" w:rsidTr="0091483A">
        <w:tc>
          <w:tcPr>
            <w:tcW w:w="1857" w:type="dxa"/>
          </w:tcPr>
          <w:p w:rsidR="00F42B89" w:rsidRPr="00052ACF" w:rsidRDefault="00F42B89" w:rsidP="0091483A">
            <w:pPr>
              <w:tabs>
                <w:tab w:val="left" w:pos="6804"/>
              </w:tabs>
              <w:spacing w:before="120" w:after="120" w:line="312" w:lineRule="auto"/>
              <w:rPr>
                <w:color w:val="000000" w:themeColor="text1"/>
                <w:lang w:val="vi-VN"/>
              </w:rPr>
            </w:pPr>
            <w:r w:rsidRPr="00052ACF">
              <w:rPr>
                <w:color w:val="000000" w:themeColor="text1"/>
                <w:lang w:val="vi-VN"/>
              </w:rPr>
              <w:t>Majeed (2018)</w:t>
            </w:r>
          </w:p>
        </w:tc>
        <w:tc>
          <w:tcPr>
            <w:tcW w:w="2252" w:type="dxa"/>
            <w:gridSpan w:val="2"/>
          </w:tcPr>
          <w:p w:rsidR="00F42B89" w:rsidRPr="00052ACF" w:rsidRDefault="00F42B89" w:rsidP="0091483A">
            <w:pPr>
              <w:tabs>
                <w:tab w:val="left" w:pos="6804"/>
              </w:tabs>
              <w:spacing w:before="120" w:after="120" w:line="312" w:lineRule="auto"/>
              <w:rPr>
                <w:color w:val="000000" w:themeColor="text1"/>
                <w:lang w:val="vi-VN"/>
              </w:rPr>
            </w:pPr>
            <w:r w:rsidRPr="00052ACF">
              <w:rPr>
                <w:color w:val="000000" w:themeColor="text1"/>
                <w:lang w:val="vi-VN"/>
              </w:rPr>
              <w:t xml:space="preserve">132 </w:t>
            </w:r>
            <w:r>
              <w:rPr>
                <w:color w:val="000000" w:themeColor="text1"/>
                <w:lang w:val="en-US"/>
              </w:rPr>
              <w:t>d</w:t>
            </w:r>
            <w:r w:rsidRPr="00052ACF">
              <w:rPr>
                <w:color w:val="000000" w:themeColor="text1"/>
                <w:lang w:val="vi-VN"/>
              </w:rPr>
              <w:t>eveloped and developing economies; from 1980 to 2016</w:t>
            </w:r>
          </w:p>
        </w:tc>
        <w:tc>
          <w:tcPr>
            <w:tcW w:w="1987" w:type="dxa"/>
          </w:tcPr>
          <w:p w:rsidR="00F42B89" w:rsidRPr="00052ACF" w:rsidRDefault="00F42B89" w:rsidP="0091483A">
            <w:pPr>
              <w:tabs>
                <w:tab w:val="left" w:pos="6804"/>
              </w:tabs>
              <w:spacing w:before="120" w:after="120" w:line="312" w:lineRule="auto"/>
              <w:jc w:val="both"/>
              <w:rPr>
                <w:color w:val="000000" w:themeColor="text1"/>
                <w:lang w:val="vi-VN"/>
              </w:rPr>
            </w:pPr>
            <w:r w:rsidRPr="00052ACF">
              <w:rPr>
                <w:color w:val="000000" w:themeColor="text1"/>
                <w:lang w:val="vi-VN"/>
              </w:rPr>
              <w:t>Pool-OLS, GMM</w:t>
            </w:r>
          </w:p>
        </w:tc>
        <w:tc>
          <w:tcPr>
            <w:tcW w:w="3822" w:type="dxa"/>
            <w:gridSpan w:val="2"/>
          </w:tcPr>
          <w:p w:rsidR="00F42B89" w:rsidRPr="00052ACF" w:rsidRDefault="00F42B89" w:rsidP="0091483A">
            <w:pPr>
              <w:tabs>
                <w:tab w:val="left" w:pos="6804"/>
              </w:tabs>
              <w:spacing w:before="120" w:after="120" w:line="312" w:lineRule="auto"/>
              <w:jc w:val="both"/>
              <w:rPr>
                <w:color w:val="000000" w:themeColor="text1"/>
                <w:lang w:val="vi-VN"/>
              </w:rPr>
            </w:pPr>
            <w:r w:rsidRPr="00052ACF">
              <w:rPr>
                <w:color w:val="000000" w:themeColor="text1"/>
                <w:lang w:val="vi-VN"/>
              </w:rPr>
              <w:t>Information and communication technology has positive impacts in developed countries, while having adverse impacts in developing countries.</w:t>
            </w:r>
          </w:p>
        </w:tc>
      </w:tr>
      <w:tr w:rsidR="00F42B89" w:rsidRPr="00052ACF" w:rsidTr="0091483A">
        <w:tc>
          <w:tcPr>
            <w:tcW w:w="1857" w:type="dxa"/>
          </w:tcPr>
          <w:p w:rsidR="00F42B89" w:rsidRPr="00052ACF" w:rsidRDefault="00F42B89" w:rsidP="0091483A">
            <w:pPr>
              <w:tabs>
                <w:tab w:val="left" w:pos="6804"/>
              </w:tabs>
              <w:spacing w:before="120" w:after="120" w:line="312" w:lineRule="auto"/>
              <w:rPr>
                <w:color w:val="000000" w:themeColor="text1"/>
                <w:lang w:val="vi-VN"/>
              </w:rPr>
            </w:pPr>
            <w:r w:rsidRPr="00052ACF">
              <w:rPr>
                <w:color w:val="000000" w:themeColor="text1"/>
                <w:lang w:val="vi-VN"/>
              </w:rPr>
              <w:t>Majeed (2020)</w:t>
            </w:r>
          </w:p>
        </w:tc>
        <w:tc>
          <w:tcPr>
            <w:tcW w:w="2252" w:type="dxa"/>
            <w:gridSpan w:val="2"/>
          </w:tcPr>
          <w:p w:rsidR="00F42B89" w:rsidRPr="0091483A" w:rsidRDefault="00F42B89" w:rsidP="0091483A">
            <w:pPr>
              <w:tabs>
                <w:tab w:val="left" w:pos="6804"/>
              </w:tabs>
              <w:spacing w:before="120" w:after="120" w:line="312" w:lineRule="auto"/>
              <w:rPr>
                <w:color w:val="000000" w:themeColor="text1"/>
                <w:lang w:val="en-US"/>
              </w:rPr>
            </w:pPr>
            <w:r w:rsidRPr="00052ACF">
              <w:rPr>
                <w:color w:val="000000" w:themeColor="text1"/>
                <w:lang w:val="vi-VN"/>
              </w:rPr>
              <w:t>122 developing economies; from 2003 to 2015</w:t>
            </w:r>
          </w:p>
        </w:tc>
        <w:tc>
          <w:tcPr>
            <w:tcW w:w="1987" w:type="dxa"/>
          </w:tcPr>
          <w:p w:rsidR="00F42B89" w:rsidRPr="00052ACF" w:rsidRDefault="00F42B89" w:rsidP="0091483A">
            <w:pPr>
              <w:tabs>
                <w:tab w:val="left" w:pos="6804"/>
              </w:tabs>
              <w:spacing w:before="120" w:after="120" w:line="312" w:lineRule="auto"/>
              <w:jc w:val="both"/>
              <w:rPr>
                <w:color w:val="000000" w:themeColor="text1"/>
                <w:lang w:val="vi-VN"/>
              </w:rPr>
            </w:pPr>
            <w:r w:rsidRPr="00052ACF">
              <w:rPr>
                <w:color w:val="000000" w:themeColor="text1"/>
                <w:lang w:val="vi-VN"/>
              </w:rPr>
              <w:t>GMM</w:t>
            </w:r>
          </w:p>
        </w:tc>
        <w:tc>
          <w:tcPr>
            <w:tcW w:w="3822" w:type="dxa"/>
            <w:gridSpan w:val="2"/>
          </w:tcPr>
          <w:p w:rsidR="00F42B89" w:rsidRPr="00052ACF" w:rsidRDefault="00F42B89" w:rsidP="0091483A">
            <w:pPr>
              <w:tabs>
                <w:tab w:val="left" w:pos="6804"/>
              </w:tabs>
              <w:spacing w:before="120" w:after="120" w:line="312" w:lineRule="auto"/>
              <w:jc w:val="both"/>
              <w:rPr>
                <w:color w:val="000000" w:themeColor="text1"/>
                <w:lang w:val="vi-VN"/>
              </w:rPr>
            </w:pPr>
            <w:r w:rsidRPr="00052ACF">
              <w:rPr>
                <w:color w:val="000000" w:themeColor="text1"/>
                <w:lang w:val="vi-VN"/>
              </w:rPr>
              <w:t>EGDI in developing economies has a strong positive impact on economic growth.</w:t>
            </w:r>
          </w:p>
        </w:tc>
      </w:tr>
      <w:tr w:rsidR="00F42B89" w:rsidRPr="00052ACF" w:rsidTr="0091483A">
        <w:tc>
          <w:tcPr>
            <w:tcW w:w="1857" w:type="dxa"/>
          </w:tcPr>
          <w:p w:rsidR="00F42B89" w:rsidRPr="00052ACF" w:rsidRDefault="00F42B89" w:rsidP="0091483A">
            <w:pPr>
              <w:tabs>
                <w:tab w:val="left" w:pos="6804"/>
              </w:tabs>
              <w:spacing w:before="120" w:after="120" w:line="312" w:lineRule="auto"/>
              <w:rPr>
                <w:color w:val="000000" w:themeColor="text1"/>
                <w:lang w:val="vi-VN"/>
              </w:rPr>
            </w:pPr>
            <w:r w:rsidRPr="00052ACF">
              <w:rPr>
                <w:color w:val="000000" w:themeColor="text1"/>
                <w:lang w:val="vi-VN"/>
              </w:rPr>
              <w:t>Bui (2020)</w:t>
            </w:r>
          </w:p>
        </w:tc>
        <w:tc>
          <w:tcPr>
            <w:tcW w:w="2252" w:type="dxa"/>
            <w:gridSpan w:val="2"/>
          </w:tcPr>
          <w:p w:rsidR="00F42B89" w:rsidRPr="00052ACF" w:rsidRDefault="00F42B89" w:rsidP="0091483A">
            <w:pPr>
              <w:tabs>
                <w:tab w:val="left" w:pos="6804"/>
              </w:tabs>
              <w:spacing w:before="120" w:after="120" w:line="312" w:lineRule="auto"/>
              <w:rPr>
                <w:color w:val="000000" w:themeColor="text1"/>
                <w:lang w:val="vi-VN"/>
              </w:rPr>
            </w:pPr>
            <w:r w:rsidRPr="00052ACF">
              <w:rPr>
                <w:color w:val="000000" w:themeColor="text1"/>
                <w:lang w:val="vi-VN"/>
              </w:rPr>
              <w:t xml:space="preserve">ASEAN; </w:t>
            </w:r>
          </w:p>
          <w:p w:rsidR="00F42B89" w:rsidRPr="00052ACF" w:rsidRDefault="00F42B89" w:rsidP="0091483A">
            <w:pPr>
              <w:tabs>
                <w:tab w:val="left" w:pos="6804"/>
              </w:tabs>
              <w:spacing w:before="120" w:after="120" w:line="312" w:lineRule="auto"/>
              <w:rPr>
                <w:color w:val="000000" w:themeColor="text1"/>
                <w:lang w:val="vi-VN"/>
              </w:rPr>
            </w:pPr>
            <w:r w:rsidRPr="00052ACF">
              <w:rPr>
                <w:color w:val="000000" w:themeColor="text1"/>
                <w:lang w:val="vi-VN"/>
              </w:rPr>
              <w:t>from 2004 to 2017</w:t>
            </w:r>
          </w:p>
        </w:tc>
        <w:tc>
          <w:tcPr>
            <w:tcW w:w="1987" w:type="dxa"/>
          </w:tcPr>
          <w:p w:rsidR="00F42B89" w:rsidRPr="00052ACF" w:rsidRDefault="00F42B89" w:rsidP="0091483A">
            <w:pPr>
              <w:tabs>
                <w:tab w:val="left" w:pos="6804"/>
              </w:tabs>
              <w:spacing w:before="120" w:after="120" w:line="312" w:lineRule="auto"/>
              <w:jc w:val="both"/>
              <w:rPr>
                <w:color w:val="000000" w:themeColor="text1"/>
                <w:lang w:val="vi-VN"/>
              </w:rPr>
            </w:pPr>
            <w:r w:rsidRPr="00052ACF">
              <w:rPr>
                <w:color w:val="000000" w:themeColor="text1"/>
                <w:lang w:val="vi-VN"/>
              </w:rPr>
              <w:t>GMM</w:t>
            </w:r>
          </w:p>
        </w:tc>
        <w:tc>
          <w:tcPr>
            <w:tcW w:w="3822" w:type="dxa"/>
            <w:gridSpan w:val="2"/>
          </w:tcPr>
          <w:p w:rsidR="00F42B89" w:rsidRPr="00052ACF" w:rsidRDefault="00F42B89" w:rsidP="0091483A">
            <w:pPr>
              <w:tabs>
                <w:tab w:val="left" w:pos="6804"/>
              </w:tabs>
              <w:spacing w:before="120" w:after="120" w:line="312" w:lineRule="auto"/>
              <w:jc w:val="both"/>
              <w:rPr>
                <w:color w:val="000000" w:themeColor="text1"/>
                <w:lang w:val="vi-VN"/>
              </w:rPr>
            </w:pPr>
            <w:r w:rsidRPr="00052ACF">
              <w:rPr>
                <w:color w:val="000000" w:themeColor="text1"/>
                <w:lang w:val="vi-VN"/>
              </w:rPr>
              <w:t>Economic growth (GDPG) has a positive impact on banking performance (ROA, ROE, NIM) in ASEAN countries.</w:t>
            </w:r>
          </w:p>
        </w:tc>
      </w:tr>
      <w:tr w:rsidR="00F42B89" w:rsidRPr="00052ACF" w:rsidTr="0091483A">
        <w:tc>
          <w:tcPr>
            <w:tcW w:w="1857" w:type="dxa"/>
          </w:tcPr>
          <w:p w:rsidR="00F42B89" w:rsidRPr="00052ACF" w:rsidRDefault="00F42B89" w:rsidP="0091483A">
            <w:pPr>
              <w:tabs>
                <w:tab w:val="left" w:pos="6804"/>
              </w:tabs>
              <w:spacing w:before="120" w:after="120" w:line="312" w:lineRule="auto"/>
              <w:rPr>
                <w:color w:val="000000" w:themeColor="text1"/>
                <w:lang w:val="vi-VN"/>
              </w:rPr>
            </w:pPr>
            <w:r w:rsidRPr="00052ACF">
              <w:rPr>
                <w:color w:val="000000" w:themeColor="text1"/>
                <w:lang w:val="vi-VN"/>
              </w:rPr>
              <w:t>Mono (2021)</w:t>
            </w:r>
          </w:p>
        </w:tc>
        <w:tc>
          <w:tcPr>
            <w:tcW w:w="2252" w:type="dxa"/>
            <w:gridSpan w:val="2"/>
          </w:tcPr>
          <w:p w:rsidR="00F42B89" w:rsidRPr="00052ACF" w:rsidRDefault="00F42B89" w:rsidP="0091483A">
            <w:pPr>
              <w:tabs>
                <w:tab w:val="left" w:pos="6804"/>
              </w:tabs>
              <w:spacing w:before="120" w:after="120" w:line="312" w:lineRule="auto"/>
              <w:rPr>
                <w:color w:val="000000" w:themeColor="text1"/>
                <w:lang w:val="vi-VN"/>
              </w:rPr>
            </w:pPr>
            <w:r w:rsidRPr="00052ACF">
              <w:rPr>
                <w:color w:val="000000" w:themeColor="text1"/>
                <w:lang w:val="vi-VN"/>
              </w:rPr>
              <w:t>Cambodia</w:t>
            </w:r>
          </w:p>
        </w:tc>
        <w:tc>
          <w:tcPr>
            <w:tcW w:w="1987" w:type="dxa"/>
          </w:tcPr>
          <w:p w:rsidR="00F42B89" w:rsidRPr="0091483A" w:rsidRDefault="00F42B89" w:rsidP="0091483A">
            <w:pPr>
              <w:tabs>
                <w:tab w:val="left" w:pos="6804"/>
              </w:tabs>
              <w:spacing w:before="120" w:after="120" w:line="312" w:lineRule="auto"/>
              <w:jc w:val="both"/>
              <w:rPr>
                <w:color w:val="000000" w:themeColor="text1"/>
                <w:lang w:val="en-US"/>
              </w:rPr>
            </w:pPr>
            <w:r w:rsidRPr="00052ACF">
              <w:rPr>
                <w:color w:val="000000" w:themeColor="text1"/>
                <w:lang w:val="vi-VN"/>
              </w:rPr>
              <w:t xml:space="preserve">Utilizing the </w:t>
            </w:r>
            <w:r>
              <w:rPr>
                <w:color w:val="000000" w:themeColor="text1"/>
                <w:lang w:val="en-US"/>
              </w:rPr>
              <w:t>r</w:t>
            </w:r>
            <w:r w:rsidRPr="00052ACF">
              <w:rPr>
                <w:color w:val="000000" w:themeColor="text1"/>
                <w:lang w:val="vi-VN"/>
              </w:rPr>
              <w:t xml:space="preserve">eality </w:t>
            </w:r>
            <w:r>
              <w:rPr>
                <w:color w:val="000000" w:themeColor="text1"/>
                <w:lang w:val="en-US"/>
              </w:rPr>
              <w:t>g</w:t>
            </w:r>
            <w:r w:rsidRPr="00052ACF">
              <w:rPr>
                <w:color w:val="000000" w:themeColor="text1"/>
                <w:lang w:val="vi-VN"/>
              </w:rPr>
              <w:t>ap theoretical model developed by Heeks (2003)</w:t>
            </w:r>
          </w:p>
        </w:tc>
        <w:tc>
          <w:tcPr>
            <w:tcW w:w="3822" w:type="dxa"/>
            <w:gridSpan w:val="2"/>
          </w:tcPr>
          <w:p w:rsidR="00F42B89" w:rsidRPr="0091483A" w:rsidRDefault="00F42B89" w:rsidP="0091483A">
            <w:pPr>
              <w:tabs>
                <w:tab w:val="left" w:pos="6804"/>
              </w:tabs>
              <w:spacing w:before="120" w:after="120" w:line="312" w:lineRule="auto"/>
              <w:jc w:val="both"/>
              <w:rPr>
                <w:color w:val="000000" w:themeColor="text1"/>
                <w:lang w:val="en-US"/>
              </w:rPr>
            </w:pPr>
            <w:r w:rsidRPr="00052ACF">
              <w:rPr>
                <w:color w:val="000000" w:themeColor="text1"/>
                <w:lang w:val="vi-VN"/>
              </w:rPr>
              <w:t>The path approaching e-government adoption can be challenging</w:t>
            </w:r>
            <w:r>
              <w:rPr>
                <w:color w:val="000000" w:themeColor="text1"/>
                <w:lang w:val="en-US"/>
              </w:rPr>
              <w:t>.</w:t>
            </w:r>
          </w:p>
        </w:tc>
      </w:tr>
      <w:tr w:rsidR="00F42B89" w:rsidRPr="00052ACF" w:rsidTr="0091483A">
        <w:tc>
          <w:tcPr>
            <w:tcW w:w="1857" w:type="dxa"/>
          </w:tcPr>
          <w:p w:rsidR="00F42B89" w:rsidRPr="00052ACF" w:rsidRDefault="00F42B89" w:rsidP="0091483A">
            <w:pPr>
              <w:tabs>
                <w:tab w:val="left" w:pos="6804"/>
              </w:tabs>
              <w:spacing w:before="120" w:after="120" w:line="312" w:lineRule="auto"/>
              <w:rPr>
                <w:color w:val="000000" w:themeColor="text1"/>
                <w:lang w:val="vi-VN"/>
              </w:rPr>
            </w:pPr>
            <w:r w:rsidRPr="00052ACF">
              <w:rPr>
                <w:color w:val="000000" w:themeColor="text1"/>
                <w:lang w:val="vi-VN"/>
              </w:rPr>
              <w:t xml:space="preserve">Curtis </w:t>
            </w:r>
            <w:r w:rsidRPr="0091483A">
              <w:rPr>
                <w:i/>
                <w:iCs/>
                <w:color w:val="000000" w:themeColor="text1"/>
                <w:lang w:val="vi-VN"/>
              </w:rPr>
              <w:t>et al.</w:t>
            </w:r>
            <w:r w:rsidRPr="00052ACF">
              <w:rPr>
                <w:color w:val="000000" w:themeColor="text1"/>
                <w:lang w:val="vi-VN"/>
              </w:rPr>
              <w:t xml:space="preserve"> (2022)</w:t>
            </w:r>
          </w:p>
        </w:tc>
        <w:tc>
          <w:tcPr>
            <w:tcW w:w="2252" w:type="dxa"/>
            <w:gridSpan w:val="2"/>
          </w:tcPr>
          <w:p w:rsidR="00F42B89" w:rsidRPr="0091483A" w:rsidRDefault="00F42B89" w:rsidP="0091483A">
            <w:pPr>
              <w:tabs>
                <w:tab w:val="left" w:pos="6804"/>
              </w:tabs>
              <w:spacing w:before="120" w:after="120" w:line="312" w:lineRule="auto"/>
              <w:rPr>
                <w:color w:val="000000" w:themeColor="text1"/>
                <w:lang w:val="en-US"/>
              </w:rPr>
            </w:pPr>
            <w:r w:rsidRPr="00052ACF">
              <w:rPr>
                <w:color w:val="000000" w:themeColor="text1"/>
                <w:lang w:val="vi-VN"/>
              </w:rPr>
              <w:t>ASEAN member states, focus on cooperation between Australia and India with Southeast Asian nations (2021)</w:t>
            </w:r>
          </w:p>
          <w:p w:rsidR="00F42B89" w:rsidRPr="00052ACF" w:rsidRDefault="00F42B89" w:rsidP="0091483A">
            <w:pPr>
              <w:tabs>
                <w:tab w:val="left" w:pos="6804"/>
              </w:tabs>
              <w:spacing w:before="120" w:after="120" w:line="312" w:lineRule="auto"/>
              <w:rPr>
                <w:color w:val="000000" w:themeColor="text1"/>
                <w:lang w:val="vi-VN"/>
              </w:rPr>
            </w:pPr>
          </w:p>
        </w:tc>
        <w:tc>
          <w:tcPr>
            <w:tcW w:w="1987" w:type="dxa"/>
          </w:tcPr>
          <w:p w:rsidR="00F42B89" w:rsidRPr="0091483A" w:rsidRDefault="00F42B89" w:rsidP="0091483A">
            <w:pPr>
              <w:tabs>
                <w:tab w:val="left" w:pos="6804"/>
              </w:tabs>
              <w:spacing w:before="120" w:after="120" w:line="312" w:lineRule="auto"/>
              <w:rPr>
                <w:color w:val="000000" w:themeColor="text1"/>
                <w:lang w:val="en-US"/>
              </w:rPr>
            </w:pPr>
            <w:r w:rsidRPr="00052ACF">
              <w:rPr>
                <w:color w:val="000000" w:themeColor="text1"/>
                <w:lang w:val="vi-VN"/>
              </w:rPr>
              <w:t>Analytical, synthetic and policy-prescriptive, aiming to identify areas for cooperation and provide specific recommendations.</w:t>
            </w:r>
          </w:p>
        </w:tc>
        <w:tc>
          <w:tcPr>
            <w:tcW w:w="3822" w:type="dxa"/>
            <w:gridSpan w:val="2"/>
          </w:tcPr>
          <w:p w:rsidR="00F42B89" w:rsidRPr="00052ACF" w:rsidRDefault="00F42B89" w:rsidP="0091483A">
            <w:pPr>
              <w:tabs>
                <w:tab w:val="left" w:pos="6804"/>
              </w:tabs>
              <w:spacing w:before="120" w:after="120" w:line="312" w:lineRule="auto"/>
              <w:jc w:val="both"/>
              <w:rPr>
                <w:color w:val="000000" w:themeColor="text1"/>
                <w:lang w:val="vi-VN"/>
              </w:rPr>
            </w:pPr>
            <w:r w:rsidRPr="00052ACF">
              <w:rPr>
                <w:color w:val="000000" w:themeColor="text1"/>
                <w:lang w:val="vi-VN"/>
              </w:rPr>
              <w:t>Digital skill levels and literacy in Southeast Asia still lag behind the pace of usage and infrastructure. This is a priority area for post-Covid economic recovery.</w:t>
            </w:r>
          </w:p>
          <w:p w:rsidR="00F42B89" w:rsidRPr="00052ACF" w:rsidRDefault="00F42B89" w:rsidP="0091483A">
            <w:pPr>
              <w:tabs>
                <w:tab w:val="left" w:pos="6804"/>
              </w:tabs>
              <w:spacing w:before="120" w:after="120" w:line="312" w:lineRule="auto"/>
              <w:jc w:val="both"/>
              <w:rPr>
                <w:color w:val="000000" w:themeColor="text1"/>
                <w:lang w:val="vi-VN"/>
              </w:rPr>
            </w:pPr>
            <w:r w:rsidRPr="00052ACF">
              <w:rPr>
                <w:color w:val="000000" w:themeColor="text1"/>
                <w:lang w:val="vi-VN"/>
              </w:rPr>
              <w:t>Australia and India leverage their bilateral partnerships in cyber and critical technologies to support inclusive digital development in Southeast Asia and strengthen the region's digital economic foundations.</w:t>
            </w:r>
          </w:p>
        </w:tc>
      </w:tr>
      <w:tr w:rsidR="00F42B89" w:rsidRPr="00052ACF" w:rsidTr="0091483A">
        <w:tc>
          <w:tcPr>
            <w:tcW w:w="1857" w:type="dxa"/>
          </w:tcPr>
          <w:p w:rsidR="00F42B89" w:rsidRPr="00052ACF" w:rsidRDefault="00F42B89" w:rsidP="0091483A">
            <w:pPr>
              <w:tabs>
                <w:tab w:val="left" w:pos="6804"/>
              </w:tabs>
              <w:spacing w:before="120" w:after="120" w:line="312" w:lineRule="auto"/>
              <w:rPr>
                <w:color w:val="000000" w:themeColor="text1"/>
                <w:lang w:val="vi-VN"/>
              </w:rPr>
            </w:pPr>
            <w:r w:rsidRPr="00052ACF">
              <w:rPr>
                <w:color w:val="000000" w:themeColor="text1"/>
                <w:lang w:val="vi-VN"/>
              </w:rPr>
              <w:t>El-Chaarani, Abraham &amp; Skaf (2022)</w:t>
            </w:r>
          </w:p>
        </w:tc>
        <w:tc>
          <w:tcPr>
            <w:tcW w:w="2252" w:type="dxa"/>
            <w:gridSpan w:val="2"/>
          </w:tcPr>
          <w:p w:rsidR="00F42B89" w:rsidRPr="0091483A" w:rsidRDefault="00F42B89" w:rsidP="0091483A">
            <w:pPr>
              <w:tabs>
                <w:tab w:val="left" w:pos="6804"/>
              </w:tabs>
              <w:spacing w:before="120" w:after="120" w:line="312" w:lineRule="auto"/>
              <w:rPr>
                <w:color w:val="000000" w:themeColor="text1"/>
                <w:lang w:val="en-US"/>
              </w:rPr>
            </w:pPr>
            <w:r w:rsidRPr="00052ACF">
              <w:rPr>
                <w:color w:val="000000" w:themeColor="text1"/>
                <w:lang w:val="vi-VN"/>
              </w:rPr>
              <w:t>148 banks from 11 countries including Qatar, Oman, Bahrain, Saudi Arabia, Egypt, Kuwait, Jordan, Morocco, United Arab Emirates, Tunisia and Israel</w:t>
            </w:r>
            <w:r>
              <w:rPr>
                <w:color w:val="000000" w:themeColor="text1"/>
                <w:lang w:val="en-US"/>
              </w:rPr>
              <w:t>;</w:t>
            </w:r>
            <w:r w:rsidRPr="00052ACF">
              <w:rPr>
                <w:color w:val="000000" w:themeColor="text1"/>
                <w:lang w:val="vi-VN"/>
              </w:rPr>
              <w:t xml:space="preserve"> from 2016 to 2021</w:t>
            </w:r>
          </w:p>
        </w:tc>
        <w:tc>
          <w:tcPr>
            <w:tcW w:w="1987" w:type="dxa"/>
          </w:tcPr>
          <w:p w:rsidR="00F42B89" w:rsidRPr="00052ACF" w:rsidRDefault="00F42B89" w:rsidP="0091483A">
            <w:pPr>
              <w:tabs>
                <w:tab w:val="left" w:pos="6804"/>
              </w:tabs>
              <w:spacing w:before="120" w:after="120" w:line="312" w:lineRule="auto"/>
              <w:jc w:val="both"/>
              <w:rPr>
                <w:color w:val="000000" w:themeColor="text1"/>
                <w:lang w:val="vi-VN"/>
              </w:rPr>
            </w:pPr>
            <w:r w:rsidRPr="00052ACF">
              <w:rPr>
                <w:color w:val="000000" w:themeColor="text1"/>
                <w:lang w:val="vi-VN"/>
              </w:rPr>
              <w:t>OLS, 2SLS, GMM</w:t>
            </w:r>
          </w:p>
        </w:tc>
        <w:tc>
          <w:tcPr>
            <w:tcW w:w="3822" w:type="dxa"/>
            <w:gridSpan w:val="2"/>
          </w:tcPr>
          <w:p w:rsidR="00F42B89" w:rsidRPr="00052ACF" w:rsidRDefault="00F42B89" w:rsidP="0091483A">
            <w:pPr>
              <w:tabs>
                <w:tab w:val="left" w:pos="6804"/>
              </w:tabs>
              <w:spacing w:before="120" w:after="120" w:line="312" w:lineRule="auto"/>
              <w:jc w:val="both"/>
              <w:rPr>
                <w:color w:val="000000" w:themeColor="text1"/>
                <w:lang w:val="vi-VN"/>
              </w:rPr>
            </w:pPr>
            <w:r w:rsidRPr="00052ACF">
              <w:rPr>
                <w:color w:val="000000" w:themeColor="text1"/>
              </w:rPr>
              <w:t>Agency costs occur with the political relationships of management. For GCC banks, the political concentration of ownership has increased ROE during both the pre-crisis and crisis periods.</w:t>
            </w:r>
          </w:p>
        </w:tc>
      </w:tr>
      <w:tr w:rsidR="00F42B89" w:rsidRPr="00052ACF" w:rsidTr="0091483A">
        <w:tc>
          <w:tcPr>
            <w:tcW w:w="1857" w:type="dxa"/>
          </w:tcPr>
          <w:p w:rsidR="00F42B89" w:rsidRPr="0091483A" w:rsidRDefault="00F42B89" w:rsidP="0091483A">
            <w:pPr>
              <w:tabs>
                <w:tab w:val="left" w:pos="6804"/>
              </w:tabs>
              <w:spacing w:before="120" w:after="120" w:line="312" w:lineRule="auto"/>
              <w:rPr>
                <w:color w:val="000000" w:themeColor="text1"/>
                <w:lang w:val="en-US"/>
              </w:rPr>
            </w:pPr>
            <w:r w:rsidRPr="00052ACF">
              <w:rPr>
                <w:color w:val="000000" w:themeColor="text1"/>
                <w:lang w:val="vi-VN"/>
              </w:rPr>
              <w:t>El-Chaarani &amp; Lombardi (2022)</w:t>
            </w:r>
          </w:p>
        </w:tc>
        <w:tc>
          <w:tcPr>
            <w:tcW w:w="2252" w:type="dxa"/>
            <w:gridSpan w:val="2"/>
          </w:tcPr>
          <w:p w:rsidR="00F42B89" w:rsidRPr="0091483A" w:rsidRDefault="00F42B89" w:rsidP="0091483A">
            <w:pPr>
              <w:tabs>
                <w:tab w:val="left" w:pos="6804"/>
              </w:tabs>
              <w:spacing w:before="120" w:after="120" w:line="312" w:lineRule="auto"/>
              <w:rPr>
                <w:color w:val="000000" w:themeColor="text1"/>
                <w:lang w:val="en-US"/>
              </w:rPr>
            </w:pPr>
            <w:r w:rsidRPr="00052ACF">
              <w:rPr>
                <w:color w:val="000000" w:themeColor="text1"/>
                <w:lang w:val="vi-VN"/>
              </w:rPr>
              <w:t>Lebanese banks before and during the ongoing financial crisis in Lebanon</w:t>
            </w:r>
            <w:r>
              <w:rPr>
                <w:color w:val="000000" w:themeColor="text1"/>
                <w:lang w:val="en-US"/>
              </w:rPr>
              <w:t>;</w:t>
            </w:r>
            <w:r w:rsidRPr="00052ACF">
              <w:rPr>
                <w:color w:val="000000" w:themeColor="text1"/>
                <w:lang w:val="vi-VN"/>
              </w:rPr>
              <w:t xml:space="preserve"> from 2019 to 2022</w:t>
            </w:r>
          </w:p>
        </w:tc>
        <w:tc>
          <w:tcPr>
            <w:tcW w:w="1987" w:type="dxa"/>
          </w:tcPr>
          <w:p w:rsidR="00F42B89" w:rsidRPr="00052ACF" w:rsidRDefault="00F42B89" w:rsidP="0091483A">
            <w:pPr>
              <w:tabs>
                <w:tab w:val="left" w:pos="6804"/>
              </w:tabs>
              <w:spacing w:before="120" w:after="120" w:line="312" w:lineRule="auto"/>
              <w:jc w:val="both"/>
              <w:rPr>
                <w:color w:val="000000" w:themeColor="text1"/>
                <w:lang w:val="vi-VN"/>
              </w:rPr>
            </w:pPr>
            <w:r w:rsidRPr="00052ACF">
              <w:rPr>
                <w:color w:val="000000" w:themeColor="text1"/>
                <w:lang w:val="vi-VN"/>
              </w:rPr>
              <w:t>OLS</w:t>
            </w:r>
          </w:p>
        </w:tc>
        <w:tc>
          <w:tcPr>
            <w:tcW w:w="3822" w:type="dxa"/>
            <w:gridSpan w:val="2"/>
          </w:tcPr>
          <w:p w:rsidR="00F42B89" w:rsidRPr="00052ACF" w:rsidRDefault="00F42B89" w:rsidP="0091483A">
            <w:pPr>
              <w:tabs>
                <w:tab w:val="left" w:pos="6804"/>
              </w:tabs>
              <w:spacing w:before="120" w:after="120" w:line="312" w:lineRule="auto"/>
              <w:jc w:val="both"/>
              <w:rPr>
                <w:color w:val="000000" w:themeColor="text1"/>
                <w:lang w:val="vi-VN"/>
              </w:rPr>
            </w:pPr>
            <w:r w:rsidRPr="00052ACF">
              <w:rPr>
                <w:color w:val="000000" w:themeColor="text1"/>
              </w:rPr>
              <w:t xml:space="preserve">The internal corporate governance mechanisms can improve the financial performance of Lebanese banks. </w:t>
            </w:r>
          </w:p>
          <w:p w:rsidR="00F42B89" w:rsidRPr="00052ACF" w:rsidRDefault="00F42B89" w:rsidP="0091483A">
            <w:pPr>
              <w:tabs>
                <w:tab w:val="left" w:pos="6804"/>
              </w:tabs>
              <w:spacing w:before="120" w:after="120" w:line="312" w:lineRule="auto"/>
              <w:jc w:val="both"/>
              <w:rPr>
                <w:color w:val="000000" w:themeColor="text1"/>
                <w:lang w:val="vi-VN"/>
              </w:rPr>
            </w:pPr>
            <w:r w:rsidRPr="00052ACF">
              <w:rPr>
                <w:color w:val="000000" w:themeColor="text1"/>
              </w:rPr>
              <w:t>The granting of loans under political pressure increases the levels of non-performing loans.</w:t>
            </w:r>
          </w:p>
        </w:tc>
      </w:tr>
      <w:tr w:rsidR="00F42B89" w:rsidRPr="00052ACF" w:rsidTr="0091483A">
        <w:tc>
          <w:tcPr>
            <w:tcW w:w="1857" w:type="dxa"/>
          </w:tcPr>
          <w:p w:rsidR="00F42B89" w:rsidRPr="00052ACF" w:rsidRDefault="00F42B89" w:rsidP="0091483A">
            <w:pPr>
              <w:tabs>
                <w:tab w:val="left" w:pos="6804"/>
              </w:tabs>
              <w:spacing w:before="120" w:after="120" w:line="312" w:lineRule="auto"/>
              <w:rPr>
                <w:color w:val="000000" w:themeColor="text1"/>
                <w:lang w:val="vi-VN"/>
              </w:rPr>
            </w:pPr>
            <w:r w:rsidRPr="00052ACF">
              <w:rPr>
                <w:color w:val="000000" w:themeColor="text1"/>
                <w:lang w:val="vi-VN"/>
              </w:rPr>
              <w:t>Castro &amp; Lopes (2022)</w:t>
            </w:r>
          </w:p>
        </w:tc>
        <w:tc>
          <w:tcPr>
            <w:tcW w:w="2252" w:type="dxa"/>
            <w:gridSpan w:val="2"/>
          </w:tcPr>
          <w:p w:rsidR="00F42B89" w:rsidRPr="00052ACF" w:rsidRDefault="00F42B89" w:rsidP="0091483A">
            <w:pPr>
              <w:tabs>
                <w:tab w:val="left" w:pos="6804"/>
              </w:tabs>
              <w:spacing w:before="120" w:after="120" w:line="312" w:lineRule="auto"/>
              <w:rPr>
                <w:color w:val="000000" w:themeColor="text1"/>
                <w:lang w:val="vi-VN"/>
              </w:rPr>
            </w:pPr>
            <w:r w:rsidRPr="00052ACF">
              <w:rPr>
                <w:color w:val="000000" w:themeColor="text1"/>
                <w:lang w:val="vi-VN"/>
              </w:rPr>
              <w:t>103 developed and developing countries;  from 2003 to 2018</w:t>
            </w:r>
          </w:p>
        </w:tc>
        <w:tc>
          <w:tcPr>
            <w:tcW w:w="1987" w:type="dxa"/>
          </w:tcPr>
          <w:p w:rsidR="00F42B89" w:rsidRPr="00052ACF" w:rsidRDefault="00F42B89" w:rsidP="0091483A">
            <w:pPr>
              <w:tabs>
                <w:tab w:val="left" w:pos="6804"/>
              </w:tabs>
              <w:spacing w:before="120" w:after="120" w:line="312" w:lineRule="auto"/>
              <w:jc w:val="both"/>
              <w:rPr>
                <w:color w:val="000000" w:themeColor="text1"/>
                <w:lang w:val="vi-VN"/>
              </w:rPr>
            </w:pPr>
            <w:r w:rsidRPr="00052ACF">
              <w:rPr>
                <w:color w:val="000000" w:themeColor="text1"/>
                <w:lang w:val="vi-VN"/>
              </w:rPr>
              <w:t>Logit model</w:t>
            </w:r>
          </w:p>
        </w:tc>
        <w:tc>
          <w:tcPr>
            <w:tcW w:w="3822" w:type="dxa"/>
            <w:gridSpan w:val="2"/>
          </w:tcPr>
          <w:p w:rsidR="00F42B89" w:rsidRPr="00052ACF" w:rsidRDefault="00F42B89" w:rsidP="0091483A">
            <w:pPr>
              <w:tabs>
                <w:tab w:val="left" w:pos="6804"/>
              </w:tabs>
              <w:spacing w:before="120" w:after="120" w:line="312" w:lineRule="auto"/>
              <w:jc w:val="both"/>
              <w:rPr>
                <w:color w:val="000000" w:themeColor="text1"/>
                <w:lang w:val="vi-VN"/>
              </w:rPr>
            </w:pPr>
            <w:r w:rsidRPr="00052ACF">
              <w:rPr>
                <w:color w:val="000000" w:themeColor="text1"/>
              </w:rPr>
              <w:t xml:space="preserve">EGDI is a crucial determinant for a country to achieve sustainable development (proxied by adjusted net savings, which encompasses a country’s economic, social and environmental development) in both developed and developing nations. </w:t>
            </w:r>
          </w:p>
        </w:tc>
      </w:tr>
      <w:tr w:rsidR="00F42B89" w:rsidRPr="00052ACF" w:rsidTr="0091483A">
        <w:tc>
          <w:tcPr>
            <w:tcW w:w="1857" w:type="dxa"/>
          </w:tcPr>
          <w:p w:rsidR="00F42B89" w:rsidRPr="00052ACF" w:rsidRDefault="00F42B89" w:rsidP="0091483A">
            <w:pPr>
              <w:tabs>
                <w:tab w:val="left" w:pos="6804"/>
              </w:tabs>
              <w:spacing w:before="120" w:after="120" w:line="312" w:lineRule="auto"/>
              <w:rPr>
                <w:color w:val="000000" w:themeColor="text1"/>
                <w:lang w:val="vi-VN"/>
              </w:rPr>
            </w:pPr>
            <w:r w:rsidRPr="00052ACF">
              <w:rPr>
                <w:color w:val="000000" w:themeColor="text1"/>
                <w:lang w:val="vi-VN"/>
              </w:rPr>
              <w:t xml:space="preserve">Younus </w:t>
            </w:r>
            <w:r w:rsidRPr="0091483A">
              <w:rPr>
                <w:i/>
                <w:iCs/>
                <w:color w:val="000000" w:themeColor="text1"/>
                <w:lang w:val="vi-VN"/>
              </w:rPr>
              <w:t>et al.</w:t>
            </w:r>
            <w:r w:rsidRPr="00052ACF">
              <w:rPr>
                <w:color w:val="000000" w:themeColor="text1"/>
                <w:lang w:val="vi-VN"/>
              </w:rPr>
              <w:t xml:space="preserve"> (2023).</w:t>
            </w:r>
          </w:p>
        </w:tc>
        <w:tc>
          <w:tcPr>
            <w:tcW w:w="2252" w:type="dxa"/>
            <w:gridSpan w:val="2"/>
          </w:tcPr>
          <w:p w:rsidR="00F42B89" w:rsidRPr="0091483A" w:rsidRDefault="00F42B89" w:rsidP="0091483A">
            <w:pPr>
              <w:tabs>
                <w:tab w:val="left" w:pos="6804"/>
              </w:tabs>
              <w:spacing w:before="120" w:after="120" w:line="312" w:lineRule="auto"/>
              <w:rPr>
                <w:color w:val="000000" w:themeColor="text1"/>
                <w:lang w:val="en-US"/>
              </w:rPr>
            </w:pPr>
            <w:r w:rsidRPr="00052ACF">
              <w:rPr>
                <w:color w:val="000000" w:themeColor="text1"/>
                <w:lang w:val="vi-VN"/>
              </w:rPr>
              <w:t>South Asian countries: Afghanistan, Bangladesh, Bhutan, India, Maldives, Nepal, Pakistan, Sri Lanka</w:t>
            </w:r>
            <w:r>
              <w:rPr>
                <w:color w:val="000000" w:themeColor="text1"/>
                <w:lang w:val="en-US"/>
              </w:rPr>
              <w:t>;</w:t>
            </w:r>
            <w:r w:rsidRPr="00052ACF">
              <w:rPr>
                <w:color w:val="000000" w:themeColor="text1"/>
                <w:lang w:val="vi-VN"/>
              </w:rPr>
              <w:t xml:space="preserve"> </w:t>
            </w:r>
            <w:r w:rsidRPr="00052ACF">
              <w:rPr>
                <w:color w:val="000000" w:themeColor="text1"/>
              </w:rPr>
              <w:t>from 2016 to 2022</w:t>
            </w:r>
          </w:p>
        </w:tc>
        <w:tc>
          <w:tcPr>
            <w:tcW w:w="1987" w:type="dxa"/>
          </w:tcPr>
          <w:p w:rsidR="00F42B89" w:rsidRPr="00052ACF" w:rsidRDefault="00F42B89" w:rsidP="0091483A">
            <w:pPr>
              <w:tabs>
                <w:tab w:val="left" w:pos="6804"/>
              </w:tabs>
              <w:spacing w:before="120" w:after="120" w:line="312" w:lineRule="auto"/>
              <w:jc w:val="both"/>
              <w:rPr>
                <w:color w:val="000000" w:themeColor="text1"/>
                <w:lang w:val="vi-VN"/>
              </w:rPr>
            </w:pPr>
            <w:r w:rsidRPr="00052ACF">
              <w:rPr>
                <w:color w:val="000000" w:themeColor="text1"/>
                <w:lang w:val="vi-VN"/>
              </w:rPr>
              <w:t>Smart-PLS</w:t>
            </w:r>
          </w:p>
        </w:tc>
        <w:tc>
          <w:tcPr>
            <w:tcW w:w="3822" w:type="dxa"/>
            <w:gridSpan w:val="2"/>
          </w:tcPr>
          <w:p w:rsidR="00F42B89" w:rsidRPr="0091483A" w:rsidRDefault="00F42B89" w:rsidP="0091483A">
            <w:pPr>
              <w:tabs>
                <w:tab w:val="left" w:pos="6804"/>
              </w:tabs>
              <w:spacing w:before="120" w:after="120" w:line="312" w:lineRule="auto"/>
              <w:jc w:val="both"/>
              <w:rPr>
                <w:color w:val="000000" w:themeColor="text1"/>
                <w:lang w:val="en-US"/>
              </w:rPr>
            </w:pPr>
            <w:r w:rsidRPr="00052ACF">
              <w:rPr>
                <w:color w:val="000000" w:themeColor="text1"/>
              </w:rPr>
              <w:t>Bangladesh, India, the Maldives and Pakistan are countries with developed EGDI. Conversely, Afghanistan and Nepal are nations that need to improve their EGDI by enhancing human capacity, telecommunications infrastructure and online service provision</w:t>
            </w:r>
            <w:r>
              <w:rPr>
                <w:color w:val="000000" w:themeColor="text1"/>
                <w:lang w:val="en-US"/>
              </w:rPr>
              <w:t>.</w:t>
            </w:r>
          </w:p>
        </w:tc>
      </w:tr>
      <w:tr w:rsidR="00F42B89" w:rsidRPr="00052ACF" w:rsidTr="0091483A">
        <w:tc>
          <w:tcPr>
            <w:tcW w:w="1857" w:type="dxa"/>
          </w:tcPr>
          <w:p w:rsidR="00F42B89" w:rsidRPr="0091483A" w:rsidRDefault="00F42B89" w:rsidP="0091483A">
            <w:pPr>
              <w:tabs>
                <w:tab w:val="left" w:pos="6804"/>
              </w:tabs>
              <w:spacing w:before="120" w:after="120" w:line="312" w:lineRule="auto"/>
              <w:rPr>
                <w:color w:val="000000" w:themeColor="text1"/>
                <w:lang w:val="en-US"/>
              </w:rPr>
            </w:pPr>
            <w:r w:rsidRPr="00052ACF">
              <w:rPr>
                <w:color w:val="000000" w:themeColor="text1"/>
              </w:rPr>
              <w:t>Sukarno</w:t>
            </w:r>
            <w:r w:rsidRPr="00052ACF">
              <w:rPr>
                <w:color w:val="000000" w:themeColor="text1"/>
                <w:lang w:val="vi-VN"/>
              </w:rPr>
              <w:t xml:space="preserve"> </w:t>
            </w:r>
            <w:r w:rsidRPr="00052ACF">
              <w:rPr>
                <w:color w:val="000000" w:themeColor="text1"/>
              </w:rPr>
              <w:t>&amp; Nurmandi</w:t>
            </w:r>
            <w:r w:rsidRPr="00052ACF">
              <w:rPr>
                <w:color w:val="000000" w:themeColor="text1"/>
                <w:lang w:val="vi-VN"/>
              </w:rPr>
              <w:t xml:space="preserve"> (</w:t>
            </w:r>
            <w:r w:rsidRPr="00052ACF">
              <w:rPr>
                <w:color w:val="000000" w:themeColor="text1"/>
              </w:rPr>
              <w:t>2023)</w:t>
            </w:r>
          </w:p>
        </w:tc>
        <w:tc>
          <w:tcPr>
            <w:tcW w:w="2252" w:type="dxa"/>
            <w:gridSpan w:val="2"/>
          </w:tcPr>
          <w:p w:rsidR="00F42B89" w:rsidRPr="00052ACF" w:rsidRDefault="00F42B89" w:rsidP="0091483A">
            <w:pPr>
              <w:tabs>
                <w:tab w:val="left" w:pos="6804"/>
              </w:tabs>
              <w:spacing w:before="120" w:after="120" w:line="312" w:lineRule="auto"/>
              <w:rPr>
                <w:color w:val="000000" w:themeColor="text1"/>
                <w:lang w:val="vi-VN"/>
              </w:rPr>
            </w:pPr>
            <w:r w:rsidRPr="00052ACF">
              <w:rPr>
                <w:color w:val="000000" w:themeColor="text1"/>
                <w:lang w:val="vi-VN"/>
              </w:rPr>
              <w:t>Singapore, Indonesia, Myanmar, Vietnam, Thailand, Philippines, Cambodia, Malaysia, Brunei Darussalam, East Timor and Laos</w:t>
            </w:r>
          </w:p>
        </w:tc>
        <w:tc>
          <w:tcPr>
            <w:tcW w:w="1987" w:type="dxa"/>
          </w:tcPr>
          <w:p w:rsidR="00F42B89" w:rsidRPr="00052ACF" w:rsidRDefault="00F42B89" w:rsidP="0091483A">
            <w:pPr>
              <w:tabs>
                <w:tab w:val="left" w:pos="6804"/>
              </w:tabs>
              <w:spacing w:before="120" w:after="120" w:line="312" w:lineRule="auto"/>
              <w:rPr>
                <w:color w:val="000000" w:themeColor="text1"/>
                <w:lang w:val="vi-VN"/>
              </w:rPr>
            </w:pPr>
            <w:r w:rsidRPr="00052ACF">
              <w:rPr>
                <w:color w:val="000000" w:themeColor="text1"/>
                <w:lang w:val="vi-VN"/>
              </w:rPr>
              <w:t>Using Python to collect and analyse data for linear algebra and arithmetic classes and functions</w:t>
            </w:r>
          </w:p>
        </w:tc>
        <w:tc>
          <w:tcPr>
            <w:tcW w:w="3822" w:type="dxa"/>
            <w:gridSpan w:val="2"/>
          </w:tcPr>
          <w:p w:rsidR="00F42B89" w:rsidRPr="00052ACF" w:rsidRDefault="00F42B89" w:rsidP="0091483A">
            <w:pPr>
              <w:tabs>
                <w:tab w:val="left" w:pos="6804"/>
              </w:tabs>
              <w:spacing w:before="120" w:after="120" w:line="312" w:lineRule="auto"/>
              <w:jc w:val="both"/>
              <w:rPr>
                <w:color w:val="000000" w:themeColor="text1"/>
                <w:lang w:val="vi-VN"/>
              </w:rPr>
            </w:pPr>
            <w:r w:rsidRPr="00052ACF">
              <w:rPr>
                <w:color w:val="000000" w:themeColor="text1"/>
              </w:rPr>
              <w:t>The impact of EGDI on WGI is most significant in terms of government effectiveness and regulatory quality. Effective corporate governance practices can enhance a bank's reputation and strengthen public trust, which may lead to increased customer loyalty and improved financial performance</w:t>
            </w:r>
            <w:r w:rsidRPr="00052ACF">
              <w:rPr>
                <w:color w:val="000000" w:themeColor="text1"/>
                <w:lang w:val="vi-VN"/>
              </w:rPr>
              <w:t>.</w:t>
            </w:r>
          </w:p>
        </w:tc>
      </w:tr>
      <w:tr w:rsidR="00F42B89" w:rsidRPr="00052ACF" w:rsidTr="0091483A">
        <w:tc>
          <w:tcPr>
            <w:tcW w:w="1857" w:type="dxa"/>
            <w:vMerge w:val="restart"/>
          </w:tcPr>
          <w:p w:rsidR="00F42B89" w:rsidRPr="0091483A" w:rsidRDefault="00F42B89" w:rsidP="0091483A">
            <w:pPr>
              <w:tabs>
                <w:tab w:val="left" w:pos="6804"/>
              </w:tabs>
              <w:spacing w:before="120" w:after="120" w:line="312" w:lineRule="auto"/>
              <w:rPr>
                <w:lang w:val="en-US"/>
              </w:rPr>
            </w:pPr>
            <w:r w:rsidRPr="00052ACF">
              <w:rPr>
                <w:color w:val="000000" w:themeColor="text1"/>
              </w:rPr>
              <w:t xml:space="preserve">El-Abiad, </w:t>
            </w:r>
            <w:r w:rsidRPr="00052ACF">
              <w:rPr>
                <w:color w:val="000000" w:themeColor="text1"/>
                <w:lang w:val="vi-VN"/>
              </w:rPr>
              <w:t>Braendle</w:t>
            </w:r>
            <w:r w:rsidRPr="00052ACF">
              <w:rPr>
                <w:color w:val="000000" w:themeColor="text1"/>
              </w:rPr>
              <w:t xml:space="preserve"> &amp; El-Chaarani (2023)</w:t>
            </w:r>
          </w:p>
        </w:tc>
        <w:tc>
          <w:tcPr>
            <w:tcW w:w="2252" w:type="dxa"/>
            <w:gridSpan w:val="2"/>
          </w:tcPr>
          <w:p w:rsidR="00F42B89" w:rsidRPr="00052ACF" w:rsidRDefault="00F42B89" w:rsidP="0091483A">
            <w:pPr>
              <w:tabs>
                <w:tab w:val="left" w:pos="6804"/>
              </w:tabs>
              <w:spacing w:before="120" w:after="120" w:line="312" w:lineRule="auto"/>
              <w:rPr>
                <w:color w:val="000000" w:themeColor="text1"/>
              </w:rPr>
            </w:pPr>
            <w:r>
              <w:rPr>
                <w:color w:val="000000" w:themeColor="text1"/>
                <w:lang w:val="en-US"/>
              </w:rPr>
              <w:t>Seven</w:t>
            </w:r>
            <w:r w:rsidRPr="00052ACF">
              <w:rPr>
                <w:color w:val="000000" w:themeColor="text1"/>
              </w:rPr>
              <w:t xml:space="preserve"> banks from the United States, France, Spain, Italy, Lebanon, Egypt, and Jordan in 2021</w:t>
            </w:r>
          </w:p>
        </w:tc>
        <w:tc>
          <w:tcPr>
            <w:tcW w:w="1987" w:type="dxa"/>
          </w:tcPr>
          <w:p w:rsidR="00F42B89" w:rsidRPr="00052ACF" w:rsidRDefault="00F42B89" w:rsidP="0091483A">
            <w:pPr>
              <w:tabs>
                <w:tab w:val="left" w:pos="6804"/>
              </w:tabs>
              <w:spacing w:before="120" w:after="120" w:line="312" w:lineRule="auto"/>
              <w:rPr>
                <w:color w:val="000000" w:themeColor="text1"/>
                <w:lang w:val="vi-VN"/>
              </w:rPr>
            </w:pPr>
            <w:r w:rsidRPr="00052ACF">
              <w:rPr>
                <w:color w:val="000000" w:themeColor="text1"/>
                <w:lang w:val="vi-VN"/>
              </w:rPr>
              <w:t>U</w:t>
            </w:r>
            <w:r w:rsidRPr="00052ACF">
              <w:rPr>
                <w:color w:val="000000" w:themeColor="text1"/>
              </w:rPr>
              <w:t>sing the GIBX(62) index</w:t>
            </w:r>
          </w:p>
        </w:tc>
        <w:tc>
          <w:tcPr>
            <w:tcW w:w="3822" w:type="dxa"/>
            <w:gridSpan w:val="2"/>
          </w:tcPr>
          <w:p w:rsidR="00F42B89" w:rsidRPr="0091483A" w:rsidRDefault="00F42B89" w:rsidP="0091483A">
            <w:pPr>
              <w:tabs>
                <w:tab w:val="left" w:pos="6804"/>
              </w:tabs>
              <w:spacing w:before="120" w:after="120" w:line="312" w:lineRule="auto"/>
              <w:jc w:val="both"/>
              <w:rPr>
                <w:color w:val="000000" w:themeColor="text1"/>
                <w:lang w:val="en-US"/>
              </w:rPr>
            </w:pPr>
            <w:r w:rsidRPr="00052ACF">
              <w:rPr>
                <w:color w:val="000000" w:themeColor="text1"/>
                <w:lang w:val="vi-VN"/>
              </w:rPr>
              <w:t>Ef</w:t>
            </w:r>
            <w:r w:rsidRPr="00052ACF">
              <w:rPr>
                <w:color w:val="000000" w:themeColor="text1"/>
              </w:rPr>
              <w:t>fective corporate governance practices can enhance a bank's reputation and strengthen public trust, which may lead to increased customer loyalty and improved financial performance</w:t>
            </w:r>
            <w:r>
              <w:rPr>
                <w:color w:val="000000" w:themeColor="text1"/>
                <w:lang w:val="en-US"/>
              </w:rPr>
              <w:t>.</w:t>
            </w:r>
          </w:p>
        </w:tc>
      </w:tr>
      <w:tr w:rsidR="00F42B89" w:rsidRPr="00052ACF" w:rsidTr="0091483A">
        <w:tc>
          <w:tcPr>
            <w:tcW w:w="1857" w:type="dxa"/>
            <w:vMerge/>
          </w:tcPr>
          <w:p w:rsidR="00F42B89" w:rsidRPr="00052ACF" w:rsidRDefault="00F42B89" w:rsidP="0091483A">
            <w:pPr>
              <w:tabs>
                <w:tab w:val="left" w:pos="6804"/>
              </w:tabs>
              <w:spacing w:before="120" w:after="120" w:line="312" w:lineRule="auto"/>
              <w:rPr>
                <w:color w:val="000000" w:themeColor="text1"/>
              </w:rPr>
            </w:pPr>
          </w:p>
        </w:tc>
        <w:tc>
          <w:tcPr>
            <w:tcW w:w="8061" w:type="dxa"/>
            <w:gridSpan w:val="5"/>
          </w:tcPr>
          <w:p w:rsidR="00F42B89" w:rsidRPr="0091483A" w:rsidRDefault="00F42B89" w:rsidP="0091483A">
            <w:pPr>
              <w:tabs>
                <w:tab w:val="left" w:pos="6804"/>
              </w:tabs>
              <w:spacing w:before="120" w:after="120" w:line="312" w:lineRule="auto"/>
              <w:jc w:val="both"/>
              <w:rPr>
                <w:color w:val="000000" w:themeColor="text1"/>
                <w:lang w:val="en-US"/>
              </w:rPr>
            </w:pPr>
            <w:r w:rsidRPr="00052ACF">
              <w:rPr>
                <w:color w:val="000000" w:themeColor="text1"/>
                <w:lang w:val="vi-VN"/>
              </w:rPr>
              <w:t xml:space="preserve">GIBX(62): </w:t>
            </w:r>
            <w:r w:rsidRPr="00052ACF">
              <w:rPr>
                <w:color w:val="000000" w:themeColor="text1"/>
              </w:rPr>
              <w:t>The Governance Index for the banking sector, developed based on 62 internal indicators. This index provides two sets of information based on two different indicators: (i) a set related to global governance mechanisms in the banking sector</w:t>
            </w:r>
            <w:r>
              <w:rPr>
                <w:color w:val="000000" w:themeColor="text1"/>
                <w:lang w:val="en-US"/>
              </w:rPr>
              <w:t>;</w:t>
            </w:r>
            <w:r w:rsidRPr="00052ACF">
              <w:rPr>
                <w:color w:val="000000" w:themeColor="text1"/>
              </w:rPr>
              <w:t xml:space="preserve"> and (ii) a set related to various internal governance mechanisms, such as banking risks, compensation, disclosure, transparency, ethics, board governance and internal auditing.</w:t>
            </w:r>
          </w:p>
        </w:tc>
      </w:tr>
      <w:tr w:rsidR="00F42B89" w:rsidRPr="00052ACF" w:rsidTr="0091483A">
        <w:tc>
          <w:tcPr>
            <w:tcW w:w="1857" w:type="dxa"/>
          </w:tcPr>
          <w:p w:rsidR="00F42B89" w:rsidRPr="00052ACF" w:rsidRDefault="00F42B89" w:rsidP="0091483A">
            <w:pPr>
              <w:tabs>
                <w:tab w:val="left" w:pos="6804"/>
              </w:tabs>
              <w:spacing w:before="120" w:after="120" w:line="312" w:lineRule="auto"/>
              <w:rPr>
                <w:color w:val="000000" w:themeColor="text1"/>
                <w:lang w:val="vi-VN"/>
              </w:rPr>
            </w:pPr>
            <w:r w:rsidRPr="00052ACF">
              <w:rPr>
                <w:color w:val="000000" w:themeColor="text1"/>
                <w:lang w:val="vi-VN"/>
              </w:rPr>
              <w:t xml:space="preserve">Anindya </w:t>
            </w:r>
            <w:r w:rsidRPr="0091483A">
              <w:rPr>
                <w:i/>
                <w:iCs/>
                <w:color w:val="000000" w:themeColor="text1"/>
                <w:lang w:val="vi-VN"/>
              </w:rPr>
              <w:t>et al</w:t>
            </w:r>
            <w:r w:rsidRPr="00052ACF">
              <w:rPr>
                <w:color w:val="000000" w:themeColor="text1"/>
                <w:lang w:val="vi-VN"/>
              </w:rPr>
              <w:t>. (2024)</w:t>
            </w:r>
          </w:p>
        </w:tc>
        <w:tc>
          <w:tcPr>
            <w:tcW w:w="2252" w:type="dxa"/>
            <w:gridSpan w:val="2"/>
          </w:tcPr>
          <w:p w:rsidR="00F42B89" w:rsidRPr="00052ACF" w:rsidRDefault="00F42B89" w:rsidP="0091483A">
            <w:pPr>
              <w:tabs>
                <w:tab w:val="left" w:pos="6804"/>
              </w:tabs>
              <w:spacing w:before="120" w:after="120" w:line="312" w:lineRule="auto"/>
              <w:rPr>
                <w:color w:val="000000" w:themeColor="text1"/>
                <w:lang w:val="vi-VN"/>
              </w:rPr>
            </w:pPr>
            <w:r w:rsidRPr="00052ACF">
              <w:rPr>
                <w:color w:val="000000" w:themeColor="text1"/>
                <w:lang w:val="vi-VN"/>
              </w:rPr>
              <w:t>ASEANs (Singapore, Indonesia, Myanmar, Vietnam, Thailand, Philippines, Cambodia, Malaysia, Brunei Darussalam, East Timor and Laos); from 2003 to 2016</w:t>
            </w:r>
          </w:p>
        </w:tc>
        <w:tc>
          <w:tcPr>
            <w:tcW w:w="1987" w:type="dxa"/>
          </w:tcPr>
          <w:p w:rsidR="00F42B89" w:rsidRPr="00052ACF" w:rsidRDefault="00F42B89" w:rsidP="0091483A">
            <w:pPr>
              <w:tabs>
                <w:tab w:val="left" w:pos="6804"/>
              </w:tabs>
              <w:spacing w:before="120" w:after="120" w:line="312" w:lineRule="auto"/>
              <w:rPr>
                <w:color w:val="000000" w:themeColor="text1"/>
                <w:lang w:val="vi-VN"/>
              </w:rPr>
            </w:pPr>
            <w:r w:rsidRPr="00052ACF">
              <w:rPr>
                <w:color w:val="000000" w:themeColor="text1"/>
                <w:lang w:val="vi-VN"/>
              </w:rPr>
              <w:t xml:space="preserve">The monograph describes the development of e-government in Southeast Asia through a literature review based on the 2003–2016 UN E-Government Survey. </w:t>
            </w:r>
          </w:p>
          <w:p w:rsidR="00F42B89" w:rsidRPr="0091483A" w:rsidRDefault="00F42B89" w:rsidP="0091483A">
            <w:pPr>
              <w:tabs>
                <w:tab w:val="left" w:pos="6804"/>
              </w:tabs>
              <w:spacing w:before="120" w:after="120" w:line="312" w:lineRule="auto"/>
              <w:rPr>
                <w:color w:val="000000" w:themeColor="text1"/>
                <w:lang w:val="en-US"/>
              </w:rPr>
            </w:pPr>
            <w:r w:rsidRPr="00052ACF">
              <w:rPr>
                <w:color w:val="000000" w:themeColor="text1"/>
                <w:lang w:val="vi-VN"/>
              </w:rPr>
              <w:t>Visual comparative data is created by aggregating the data collected in all available UN e-Government Surveys.</w:t>
            </w:r>
          </w:p>
        </w:tc>
        <w:tc>
          <w:tcPr>
            <w:tcW w:w="3822" w:type="dxa"/>
            <w:gridSpan w:val="2"/>
          </w:tcPr>
          <w:p w:rsidR="00F42B89" w:rsidRPr="00052ACF" w:rsidRDefault="00F42B89" w:rsidP="0091483A">
            <w:pPr>
              <w:tabs>
                <w:tab w:val="left" w:pos="6804"/>
              </w:tabs>
              <w:spacing w:before="120" w:after="120" w:line="312" w:lineRule="auto"/>
              <w:jc w:val="both"/>
              <w:rPr>
                <w:color w:val="000000" w:themeColor="text1"/>
                <w:lang w:val="vi-VN"/>
              </w:rPr>
            </w:pPr>
            <w:r w:rsidRPr="00052ACF">
              <w:rPr>
                <w:color w:val="000000" w:themeColor="text1"/>
                <w:lang w:val="vi-VN"/>
              </w:rPr>
              <w:t>Southeast Asian countries to have limited or minimal e-government conduct.</w:t>
            </w:r>
          </w:p>
          <w:p w:rsidR="00F42B89" w:rsidRPr="00052ACF" w:rsidRDefault="00F42B89" w:rsidP="0091483A">
            <w:pPr>
              <w:tabs>
                <w:tab w:val="left" w:pos="6804"/>
              </w:tabs>
              <w:spacing w:before="120" w:after="120" w:line="312" w:lineRule="auto"/>
              <w:jc w:val="both"/>
              <w:rPr>
                <w:color w:val="000000" w:themeColor="text1"/>
                <w:lang w:val="vi-VN"/>
              </w:rPr>
            </w:pPr>
            <w:r w:rsidRPr="00052ACF">
              <w:rPr>
                <w:color w:val="000000" w:themeColor="text1"/>
                <w:lang w:val="vi-VN"/>
              </w:rPr>
              <w:t>Late technological adoption, digital divide and poverty are recurring problems in developing countries in the region.</w:t>
            </w:r>
          </w:p>
          <w:p w:rsidR="00F42B89" w:rsidRPr="00052ACF" w:rsidRDefault="00F42B89" w:rsidP="0091483A">
            <w:pPr>
              <w:tabs>
                <w:tab w:val="left" w:pos="6804"/>
              </w:tabs>
              <w:spacing w:before="120" w:after="120" w:line="312" w:lineRule="auto"/>
              <w:jc w:val="both"/>
              <w:rPr>
                <w:color w:val="000000" w:themeColor="text1"/>
                <w:lang w:val="vi-VN"/>
              </w:rPr>
            </w:pPr>
            <w:r w:rsidRPr="00052ACF">
              <w:rPr>
                <w:color w:val="000000" w:themeColor="text1"/>
                <w:lang w:val="vi-VN"/>
              </w:rPr>
              <w:t>Governments ASEAN are forced to tackle issues such as poverty alleviation, local economic empowerment and equal access to information.</w:t>
            </w:r>
          </w:p>
          <w:p w:rsidR="00F42B89" w:rsidRPr="00052ACF" w:rsidRDefault="00F42B89" w:rsidP="0091483A">
            <w:pPr>
              <w:tabs>
                <w:tab w:val="left" w:pos="6804"/>
              </w:tabs>
              <w:spacing w:before="120" w:after="120" w:line="312" w:lineRule="auto"/>
              <w:jc w:val="both"/>
              <w:rPr>
                <w:color w:val="000000" w:themeColor="text1"/>
                <w:lang w:val="vi-VN"/>
              </w:rPr>
            </w:pPr>
          </w:p>
        </w:tc>
      </w:tr>
      <w:tr w:rsidR="00F42B89" w:rsidRPr="00052ACF" w:rsidTr="0091483A">
        <w:tc>
          <w:tcPr>
            <w:tcW w:w="1857" w:type="dxa"/>
          </w:tcPr>
          <w:p w:rsidR="00F42B89" w:rsidRPr="0091483A" w:rsidRDefault="00F42B89" w:rsidP="0091483A">
            <w:pPr>
              <w:tabs>
                <w:tab w:val="left" w:pos="6804"/>
              </w:tabs>
              <w:spacing w:before="120" w:after="120" w:line="312" w:lineRule="auto"/>
              <w:rPr>
                <w:color w:val="000000" w:themeColor="text1"/>
                <w:lang w:val="en-US"/>
              </w:rPr>
            </w:pPr>
            <w:r w:rsidRPr="00052ACF">
              <w:rPr>
                <w:color w:val="000000" w:themeColor="text1"/>
                <w:lang w:val="vi-VN"/>
              </w:rPr>
              <w:t>El-Chaarani &amp; El-Abiad (2024)</w:t>
            </w:r>
          </w:p>
        </w:tc>
        <w:tc>
          <w:tcPr>
            <w:tcW w:w="2252" w:type="dxa"/>
            <w:gridSpan w:val="2"/>
          </w:tcPr>
          <w:p w:rsidR="00F42B89" w:rsidRPr="00052ACF" w:rsidRDefault="00F42B89" w:rsidP="0091483A">
            <w:pPr>
              <w:tabs>
                <w:tab w:val="left" w:pos="6804"/>
              </w:tabs>
              <w:spacing w:before="120" w:after="120" w:line="312" w:lineRule="auto"/>
              <w:jc w:val="both"/>
              <w:rPr>
                <w:color w:val="000000" w:themeColor="text1"/>
                <w:lang w:val="vi-VN"/>
              </w:rPr>
            </w:pPr>
            <w:r w:rsidRPr="00052ACF">
              <w:rPr>
                <w:color w:val="000000" w:themeColor="text1"/>
              </w:rPr>
              <w:t>127 banks from 14 countries (MENA - Middle East and North Africa and European countries) in 2020</w:t>
            </w:r>
          </w:p>
        </w:tc>
        <w:tc>
          <w:tcPr>
            <w:tcW w:w="1987" w:type="dxa"/>
          </w:tcPr>
          <w:p w:rsidR="00F42B89" w:rsidRPr="00052ACF" w:rsidRDefault="00F42B89" w:rsidP="0091483A">
            <w:pPr>
              <w:tabs>
                <w:tab w:val="left" w:pos="6804"/>
              </w:tabs>
              <w:spacing w:before="120" w:after="120" w:line="312" w:lineRule="auto"/>
              <w:rPr>
                <w:color w:val="000000" w:themeColor="text1"/>
                <w:lang w:val="vi-VN"/>
              </w:rPr>
            </w:pPr>
            <w:r>
              <w:rPr>
                <w:color w:val="000000" w:themeColor="text1"/>
                <w:lang w:val="en-US"/>
              </w:rPr>
              <w:t>U</w:t>
            </w:r>
            <w:r w:rsidRPr="00052ACF">
              <w:rPr>
                <w:color w:val="000000" w:themeColor="text1"/>
              </w:rPr>
              <w:t>sing t-tests and</w:t>
            </w:r>
            <w:r w:rsidRPr="00052ACF">
              <w:rPr>
                <w:color w:val="000000" w:themeColor="text1"/>
                <w:lang w:val="vi-VN"/>
              </w:rPr>
              <w:t xml:space="preserve"> Mann–Whitney U</w:t>
            </w:r>
          </w:p>
        </w:tc>
        <w:tc>
          <w:tcPr>
            <w:tcW w:w="3822" w:type="dxa"/>
            <w:gridSpan w:val="2"/>
          </w:tcPr>
          <w:p w:rsidR="00F42B89" w:rsidRPr="00052ACF" w:rsidRDefault="00F42B89" w:rsidP="0091483A">
            <w:pPr>
              <w:tabs>
                <w:tab w:val="left" w:pos="6804"/>
              </w:tabs>
              <w:spacing w:before="120" w:after="120" w:line="312" w:lineRule="auto"/>
              <w:jc w:val="both"/>
              <w:rPr>
                <w:color w:val="000000" w:themeColor="text1"/>
                <w:lang w:val="vi-VN"/>
              </w:rPr>
            </w:pPr>
            <w:r w:rsidRPr="00052ACF">
              <w:rPr>
                <w:color w:val="000000" w:themeColor="text1"/>
              </w:rPr>
              <w:t xml:space="preserve"> </w:t>
            </w:r>
            <w:r>
              <w:rPr>
                <w:color w:val="000000" w:themeColor="text1"/>
                <w:lang w:val="en-US"/>
              </w:rPr>
              <w:t xml:space="preserve">A </w:t>
            </w:r>
            <w:r w:rsidRPr="00052ACF">
              <w:rPr>
                <w:color w:val="000000" w:themeColor="text1"/>
              </w:rPr>
              <w:t>strong impact of the public legal protection environment in a specific country</w:t>
            </w:r>
            <w:r>
              <w:rPr>
                <w:color w:val="000000" w:themeColor="text1"/>
                <w:lang w:val="en-US"/>
              </w:rPr>
              <w:t xml:space="preserve"> exists</w:t>
            </w:r>
            <w:r w:rsidRPr="00052ACF">
              <w:rPr>
                <w:color w:val="000000" w:themeColor="text1"/>
              </w:rPr>
              <w:t>, which helps enhance the effectiveness of corporate governance mechanisms in the banking sector</w:t>
            </w:r>
            <w:r>
              <w:rPr>
                <w:color w:val="000000" w:themeColor="text1"/>
                <w:lang w:val="en-US"/>
              </w:rPr>
              <w:t>.</w:t>
            </w:r>
            <w:r w:rsidRPr="00052ACF">
              <w:rPr>
                <w:color w:val="000000" w:themeColor="text1"/>
              </w:rPr>
              <w:t xml:space="preserve"> </w:t>
            </w:r>
          </w:p>
        </w:tc>
      </w:tr>
      <w:tr w:rsidR="00F42B89" w:rsidRPr="00052ACF" w:rsidTr="0091483A">
        <w:tc>
          <w:tcPr>
            <w:tcW w:w="9918" w:type="dxa"/>
            <w:gridSpan w:val="6"/>
          </w:tcPr>
          <w:p w:rsidR="00F42B89" w:rsidRPr="00052ACF" w:rsidRDefault="00F42B89" w:rsidP="0091483A">
            <w:pPr>
              <w:tabs>
                <w:tab w:val="left" w:pos="6804"/>
              </w:tabs>
              <w:spacing w:before="120" w:after="120" w:line="312" w:lineRule="auto"/>
              <w:rPr>
                <w:color w:val="000000" w:themeColor="text1"/>
              </w:rPr>
            </w:pPr>
            <w:r w:rsidRPr="00052ACF">
              <w:rPr>
                <w:color w:val="000000" w:themeColor="text1"/>
              </w:rPr>
              <w:t>Research on</w:t>
            </w:r>
            <w:r w:rsidRPr="00052ACF">
              <w:rPr>
                <w:color w:val="000000" w:themeColor="text1"/>
                <w:lang w:val="vi-VN"/>
              </w:rPr>
              <w:t xml:space="preserve"> </w:t>
            </w:r>
            <w:r w:rsidRPr="00052ACF">
              <w:rPr>
                <w:color w:val="000000" w:themeColor="text1"/>
              </w:rPr>
              <w:t>WGI (PVE, RQE, CCE, GEE, RLE, VAE) and the Financial Performance of Commercial Banks</w:t>
            </w:r>
          </w:p>
        </w:tc>
      </w:tr>
      <w:tr w:rsidR="00F42B89" w:rsidRPr="00052ACF" w:rsidTr="0091483A">
        <w:tc>
          <w:tcPr>
            <w:tcW w:w="1857" w:type="dxa"/>
          </w:tcPr>
          <w:p w:rsidR="00F42B89" w:rsidRPr="0091483A" w:rsidRDefault="00F42B89" w:rsidP="0091483A">
            <w:pPr>
              <w:tabs>
                <w:tab w:val="left" w:pos="6804"/>
              </w:tabs>
              <w:spacing w:before="120" w:after="120" w:line="312" w:lineRule="auto"/>
              <w:rPr>
                <w:color w:val="000000" w:themeColor="text1"/>
                <w:lang w:val="en-US"/>
              </w:rPr>
            </w:pPr>
            <w:r w:rsidRPr="00052ACF">
              <w:rPr>
                <w:color w:val="000000" w:themeColor="text1"/>
              </w:rPr>
              <w:t>Nguyen (2019)</w:t>
            </w:r>
          </w:p>
        </w:tc>
        <w:tc>
          <w:tcPr>
            <w:tcW w:w="2162" w:type="dxa"/>
          </w:tcPr>
          <w:p w:rsidR="00F42B89" w:rsidRPr="00052ACF" w:rsidRDefault="00F42B89" w:rsidP="0091483A">
            <w:pPr>
              <w:tabs>
                <w:tab w:val="left" w:pos="6804"/>
              </w:tabs>
              <w:spacing w:before="120" w:after="120" w:line="312" w:lineRule="auto"/>
              <w:jc w:val="both"/>
              <w:rPr>
                <w:color w:val="000000" w:themeColor="text1"/>
                <w:lang w:val="vi-VN"/>
              </w:rPr>
            </w:pPr>
            <w:r w:rsidRPr="00052ACF">
              <w:rPr>
                <w:color w:val="000000" w:themeColor="text1"/>
              </w:rPr>
              <w:t xml:space="preserve">ASEAN </w:t>
            </w:r>
            <w:r w:rsidRPr="00052ACF">
              <w:rPr>
                <w:color w:val="000000" w:themeColor="text1"/>
                <w:lang w:val="vi-VN"/>
              </w:rPr>
              <w:t>(</w:t>
            </w:r>
            <w:r w:rsidRPr="00052ACF">
              <w:rPr>
                <w:color w:val="000000" w:themeColor="text1"/>
              </w:rPr>
              <w:t>Vietnam, Thailand, Malaysia, Indonesia, Philippines</w:t>
            </w:r>
            <w:r w:rsidRPr="00052ACF">
              <w:rPr>
                <w:color w:val="000000" w:themeColor="text1"/>
                <w:lang w:val="vi-VN"/>
              </w:rPr>
              <w:t>)</w:t>
            </w:r>
            <w:r>
              <w:rPr>
                <w:color w:val="000000" w:themeColor="text1"/>
                <w:lang w:val="en-US"/>
              </w:rPr>
              <w:t xml:space="preserve"> </w:t>
            </w:r>
            <w:r w:rsidRPr="00052ACF">
              <w:rPr>
                <w:color w:val="000000" w:themeColor="text1"/>
              </w:rPr>
              <w:t>commercial banks</w:t>
            </w:r>
            <w:r>
              <w:rPr>
                <w:color w:val="000000" w:themeColor="text1"/>
                <w:lang w:val="en-US"/>
              </w:rPr>
              <w:t>;</w:t>
            </w:r>
            <w:r w:rsidRPr="00052ACF">
              <w:rPr>
                <w:color w:val="000000" w:themeColor="text1"/>
              </w:rPr>
              <w:t xml:space="preserve"> from 2010</w:t>
            </w:r>
            <w:r w:rsidRPr="00052ACF">
              <w:rPr>
                <w:color w:val="000000" w:themeColor="text1"/>
                <w:lang w:val="vi-VN"/>
              </w:rPr>
              <w:t xml:space="preserve"> to </w:t>
            </w:r>
            <w:r w:rsidRPr="00052ACF">
              <w:rPr>
                <w:color w:val="000000" w:themeColor="text1"/>
              </w:rPr>
              <w:t xml:space="preserve">2017 </w:t>
            </w:r>
          </w:p>
        </w:tc>
        <w:tc>
          <w:tcPr>
            <w:tcW w:w="2144" w:type="dxa"/>
            <w:gridSpan w:val="3"/>
          </w:tcPr>
          <w:p w:rsidR="00F42B89" w:rsidRPr="00052ACF" w:rsidRDefault="00F42B89" w:rsidP="0091483A">
            <w:pPr>
              <w:tabs>
                <w:tab w:val="left" w:pos="6804"/>
              </w:tabs>
              <w:spacing w:before="120" w:after="120" w:line="312" w:lineRule="auto"/>
              <w:jc w:val="both"/>
              <w:rPr>
                <w:color w:val="000000" w:themeColor="text1"/>
              </w:rPr>
            </w:pPr>
            <w:r w:rsidRPr="00052ACF">
              <w:rPr>
                <w:color w:val="000000" w:themeColor="text1"/>
              </w:rPr>
              <w:t>Random Effects Model (REM)</w:t>
            </w:r>
          </w:p>
        </w:tc>
        <w:tc>
          <w:tcPr>
            <w:tcW w:w="3755" w:type="dxa"/>
          </w:tcPr>
          <w:p w:rsidR="00F42B89" w:rsidRPr="0091483A" w:rsidRDefault="00F42B89" w:rsidP="0091483A">
            <w:pPr>
              <w:tabs>
                <w:tab w:val="left" w:pos="6804"/>
              </w:tabs>
              <w:spacing w:before="120" w:after="120" w:line="312" w:lineRule="auto"/>
              <w:jc w:val="both"/>
              <w:rPr>
                <w:color w:val="000000" w:themeColor="text1"/>
                <w:lang w:val="en-US"/>
              </w:rPr>
            </w:pPr>
            <w:r w:rsidRPr="00052ACF">
              <w:rPr>
                <w:color w:val="000000" w:themeColor="text1"/>
              </w:rPr>
              <w:t>The component variables of WGI are: VAE has a positive and significant effect on ROE, but this effect is not large, while the remaining variables—PVE, RQE, CCE, GEE and RLE—do not impact ROE. The study also found no effect of the six component variables of WGI on ROA.</w:t>
            </w:r>
          </w:p>
        </w:tc>
      </w:tr>
      <w:tr w:rsidR="00F42B89" w:rsidRPr="00052ACF" w:rsidTr="0091483A">
        <w:tc>
          <w:tcPr>
            <w:tcW w:w="1857" w:type="dxa"/>
          </w:tcPr>
          <w:p w:rsidR="00F42B89" w:rsidRPr="00052ACF" w:rsidRDefault="00F42B89" w:rsidP="0091483A">
            <w:pPr>
              <w:tabs>
                <w:tab w:val="left" w:pos="6804"/>
              </w:tabs>
              <w:spacing w:before="120" w:after="120" w:line="312" w:lineRule="auto"/>
              <w:rPr>
                <w:color w:val="000000" w:themeColor="text1"/>
                <w:lang w:val="vi-VN"/>
              </w:rPr>
            </w:pPr>
            <w:r w:rsidRPr="00052ACF">
              <w:rPr>
                <w:color w:val="000000" w:themeColor="text1"/>
              </w:rPr>
              <w:t>Muizzuddin</w:t>
            </w:r>
            <w:r w:rsidRPr="00052ACF">
              <w:rPr>
                <w:color w:val="000000" w:themeColor="text1"/>
                <w:lang w:val="vi-VN"/>
              </w:rPr>
              <w:t xml:space="preserve"> </w:t>
            </w:r>
            <w:r w:rsidRPr="0091483A">
              <w:rPr>
                <w:i/>
                <w:iCs/>
                <w:color w:val="000000" w:themeColor="text1"/>
                <w:lang w:val="vi-VN"/>
              </w:rPr>
              <w:t>et al.</w:t>
            </w:r>
            <w:r w:rsidRPr="00052ACF">
              <w:rPr>
                <w:color w:val="000000" w:themeColor="text1"/>
                <w:lang w:val="vi-VN"/>
              </w:rPr>
              <w:t>(2021)</w:t>
            </w:r>
          </w:p>
        </w:tc>
        <w:tc>
          <w:tcPr>
            <w:tcW w:w="2162" w:type="dxa"/>
          </w:tcPr>
          <w:p w:rsidR="00F42B89" w:rsidRPr="00052ACF" w:rsidRDefault="00F42B89" w:rsidP="0091483A">
            <w:pPr>
              <w:tabs>
                <w:tab w:val="left" w:pos="6804"/>
              </w:tabs>
              <w:spacing w:before="120" w:after="120" w:line="312" w:lineRule="auto"/>
              <w:rPr>
                <w:color w:val="000000" w:themeColor="text1"/>
              </w:rPr>
            </w:pPr>
            <w:r w:rsidRPr="00052ACF">
              <w:rPr>
                <w:color w:val="000000" w:themeColor="text1"/>
              </w:rPr>
              <w:t>427 Asian</w:t>
            </w:r>
            <w:r w:rsidRPr="00052ACF">
              <w:rPr>
                <w:color w:val="000000" w:themeColor="text1"/>
                <w:lang w:val="vi-VN"/>
              </w:rPr>
              <w:t xml:space="preserve"> </w:t>
            </w:r>
            <w:r w:rsidRPr="00052ACF">
              <w:rPr>
                <w:color w:val="000000" w:themeColor="text1"/>
              </w:rPr>
              <w:t>commercial banks</w:t>
            </w:r>
            <w:r w:rsidRPr="00052ACF">
              <w:rPr>
                <w:color w:val="000000" w:themeColor="text1"/>
                <w:lang w:val="vi-VN"/>
              </w:rPr>
              <w:t xml:space="preserve">; </w:t>
            </w:r>
            <w:r w:rsidRPr="00052ACF">
              <w:rPr>
                <w:color w:val="000000" w:themeColor="text1"/>
              </w:rPr>
              <w:t xml:space="preserve"> from 2011 to 2019 </w:t>
            </w:r>
          </w:p>
          <w:p w:rsidR="00F42B89" w:rsidRPr="00052ACF" w:rsidRDefault="00F42B89" w:rsidP="0091483A">
            <w:pPr>
              <w:tabs>
                <w:tab w:val="left" w:pos="6804"/>
              </w:tabs>
              <w:spacing w:before="120" w:after="120" w:line="312" w:lineRule="auto"/>
              <w:rPr>
                <w:color w:val="000000" w:themeColor="text1"/>
              </w:rPr>
            </w:pPr>
          </w:p>
        </w:tc>
        <w:tc>
          <w:tcPr>
            <w:tcW w:w="2144" w:type="dxa"/>
            <w:gridSpan w:val="3"/>
          </w:tcPr>
          <w:p w:rsidR="00F42B89" w:rsidRPr="00052ACF" w:rsidRDefault="00F42B89" w:rsidP="0091483A">
            <w:pPr>
              <w:tabs>
                <w:tab w:val="left" w:pos="6804"/>
              </w:tabs>
              <w:spacing w:before="120" w:after="120" w:line="312" w:lineRule="auto"/>
              <w:jc w:val="both"/>
              <w:rPr>
                <w:color w:val="000000" w:themeColor="text1"/>
              </w:rPr>
            </w:pPr>
            <w:r w:rsidRPr="00052ACF">
              <w:rPr>
                <w:color w:val="000000" w:themeColor="text1"/>
              </w:rPr>
              <w:t>GMM</w:t>
            </w:r>
          </w:p>
        </w:tc>
        <w:tc>
          <w:tcPr>
            <w:tcW w:w="3755" w:type="dxa"/>
          </w:tcPr>
          <w:p w:rsidR="00F42B89" w:rsidRPr="00052ACF" w:rsidRDefault="00F42B89" w:rsidP="0091483A">
            <w:pPr>
              <w:tabs>
                <w:tab w:val="left" w:pos="6804"/>
              </w:tabs>
              <w:spacing w:before="120" w:after="120" w:line="312" w:lineRule="auto"/>
              <w:jc w:val="both"/>
              <w:rPr>
                <w:color w:val="000000" w:themeColor="text1"/>
                <w:lang w:val="vi-VN"/>
              </w:rPr>
            </w:pPr>
            <w:r w:rsidRPr="00052ACF">
              <w:rPr>
                <w:color w:val="000000" w:themeColor="text1"/>
              </w:rPr>
              <w:t>Better institutional quality, especially government effectiveness, regulatory quality, the rule of law and corruption control in each country are important aspects that promote bank stability and mitigate the negative impact of competition on bank stability, as competition erodes bank stability. The component factors of WGI include: VAE and PVE have a negative and significant effect on Ln_ZROA (Natural logarithm of z-score); GEE, RQE and RQE have a positive and significant effect on Ln_ZROA; RLE does not impact Ln_ZROA</w:t>
            </w:r>
            <w:r w:rsidRPr="00052ACF">
              <w:rPr>
                <w:color w:val="000000" w:themeColor="text1"/>
                <w:lang w:val="vi-VN"/>
              </w:rPr>
              <w:t>.</w:t>
            </w:r>
          </w:p>
        </w:tc>
      </w:tr>
      <w:tr w:rsidR="00F42B89" w:rsidRPr="00052ACF" w:rsidTr="0091483A">
        <w:tc>
          <w:tcPr>
            <w:tcW w:w="1857" w:type="dxa"/>
          </w:tcPr>
          <w:p w:rsidR="00F42B89" w:rsidRPr="00052ACF" w:rsidRDefault="00F42B89" w:rsidP="0091483A">
            <w:pPr>
              <w:tabs>
                <w:tab w:val="left" w:pos="6804"/>
              </w:tabs>
              <w:spacing w:before="120" w:after="120" w:line="312" w:lineRule="auto"/>
              <w:rPr>
                <w:color w:val="000000" w:themeColor="text1"/>
                <w:lang w:val="vi-VN"/>
              </w:rPr>
            </w:pPr>
            <w:r w:rsidRPr="00052ACF">
              <w:rPr>
                <w:color w:val="000000" w:themeColor="text1"/>
              </w:rPr>
              <w:t>Alam</w:t>
            </w:r>
            <w:r w:rsidRPr="00052ACF">
              <w:rPr>
                <w:color w:val="000000" w:themeColor="text1"/>
                <w:lang w:val="vi-VN"/>
              </w:rPr>
              <w:t xml:space="preserve"> </w:t>
            </w:r>
            <w:r w:rsidRPr="0091483A">
              <w:rPr>
                <w:i/>
                <w:iCs/>
                <w:color w:val="000000" w:themeColor="text1"/>
                <w:lang w:val="vi-VN"/>
              </w:rPr>
              <w:t>et al.</w:t>
            </w:r>
            <w:r w:rsidRPr="00052ACF">
              <w:rPr>
                <w:color w:val="000000" w:themeColor="text1"/>
                <w:lang w:val="vi-VN"/>
              </w:rPr>
              <w:t xml:space="preserve"> (2021)</w:t>
            </w:r>
          </w:p>
        </w:tc>
        <w:tc>
          <w:tcPr>
            <w:tcW w:w="2162" w:type="dxa"/>
          </w:tcPr>
          <w:p w:rsidR="00F42B89" w:rsidRPr="00052ACF" w:rsidRDefault="00F42B89" w:rsidP="0091483A">
            <w:pPr>
              <w:tabs>
                <w:tab w:val="left" w:pos="6804"/>
              </w:tabs>
              <w:spacing w:before="120" w:after="120" w:line="312" w:lineRule="auto"/>
              <w:rPr>
                <w:color w:val="000000" w:themeColor="text1"/>
              </w:rPr>
            </w:pPr>
            <w:r w:rsidRPr="00052ACF">
              <w:rPr>
                <w:color w:val="000000" w:themeColor="text1"/>
              </w:rPr>
              <w:t xml:space="preserve">11 Islamic banks from </w:t>
            </w:r>
            <w:r>
              <w:rPr>
                <w:color w:val="000000" w:themeColor="text1"/>
                <w:lang w:val="en-US"/>
              </w:rPr>
              <w:t>four</w:t>
            </w:r>
            <w:r w:rsidRPr="00052ACF">
              <w:rPr>
                <w:color w:val="000000" w:themeColor="text1"/>
              </w:rPr>
              <w:t xml:space="preserve"> countries </w:t>
            </w:r>
            <w:r w:rsidRPr="00052ACF">
              <w:rPr>
                <w:color w:val="000000" w:themeColor="text1"/>
                <w:lang w:val="vi-VN"/>
              </w:rPr>
              <w:t>(</w:t>
            </w:r>
            <w:r w:rsidRPr="00052ACF">
              <w:rPr>
                <w:color w:val="000000" w:themeColor="text1"/>
              </w:rPr>
              <w:t>Kuwait</w:t>
            </w:r>
            <w:r w:rsidRPr="00052ACF">
              <w:rPr>
                <w:color w:val="000000" w:themeColor="text1"/>
                <w:lang w:val="vi-VN"/>
              </w:rPr>
              <w:t xml:space="preserve">, </w:t>
            </w:r>
            <w:r w:rsidRPr="00052ACF">
              <w:rPr>
                <w:color w:val="000000" w:themeColor="text1"/>
              </w:rPr>
              <w:t>Qatar</w:t>
            </w:r>
            <w:r w:rsidRPr="00052ACF">
              <w:rPr>
                <w:color w:val="000000" w:themeColor="text1"/>
                <w:lang w:val="vi-VN"/>
              </w:rPr>
              <w:t xml:space="preserve">, </w:t>
            </w:r>
            <w:r w:rsidRPr="00052ACF">
              <w:rPr>
                <w:color w:val="000000" w:themeColor="text1"/>
              </w:rPr>
              <w:t>Saudi Arabia</w:t>
            </w:r>
            <w:r w:rsidRPr="00052ACF">
              <w:rPr>
                <w:color w:val="000000" w:themeColor="text1"/>
                <w:lang w:val="vi-VN"/>
              </w:rPr>
              <w:t xml:space="preserve">, </w:t>
            </w:r>
            <w:r w:rsidRPr="00052ACF">
              <w:rPr>
                <w:color w:val="000000" w:themeColor="text1"/>
              </w:rPr>
              <w:t>United Arab Emirates</w:t>
            </w:r>
            <w:r w:rsidRPr="00052ACF">
              <w:rPr>
                <w:color w:val="000000" w:themeColor="text1"/>
                <w:lang w:val="vi-VN"/>
              </w:rPr>
              <w:t>); f</w:t>
            </w:r>
            <w:r w:rsidRPr="00052ACF">
              <w:rPr>
                <w:color w:val="000000" w:themeColor="text1"/>
              </w:rPr>
              <w:t>rom</w:t>
            </w:r>
            <w:r w:rsidRPr="00052ACF">
              <w:rPr>
                <w:color w:val="000000" w:themeColor="text1"/>
                <w:lang w:val="vi-VN"/>
              </w:rPr>
              <w:t xml:space="preserve"> </w:t>
            </w:r>
            <w:r w:rsidRPr="00052ACF">
              <w:rPr>
                <w:color w:val="000000" w:themeColor="text1"/>
              </w:rPr>
              <w:t>2011 to</w:t>
            </w:r>
            <w:r w:rsidRPr="00052ACF">
              <w:rPr>
                <w:color w:val="000000" w:themeColor="text1"/>
                <w:lang w:val="vi-VN"/>
              </w:rPr>
              <w:t xml:space="preserve"> </w:t>
            </w:r>
            <w:r w:rsidRPr="00052ACF">
              <w:rPr>
                <w:color w:val="000000" w:themeColor="text1"/>
              </w:rPr>
              <w:t xml:space="preserve">2019 </w:t>
            </w:r>
          </w:p>
        </w:tc>
        <w:tc>
          <w:tcPr>
            <w:tcW w:w="2144" w:type="dxa"/>
            <w:gridSpan w:val="3"/>
          </w:tcPr>
          <w:p w:rsidR="00F42B89" w:rsidRPr="0091483A" w:rsidRDefault="00F42B89" w:rsidP="0091483A">
            <w:pPr>
              <w:tabs>
                <w:tab w:val="left" w:pos="6804"/>
              </w:tabs>
              <w:spacing w:before="120" w:after="120" w:line="312" w:lineRule="auto"/>
              <w:rPr>
                <w:color w:val="000000" w:themeColor="text1"/>
                <w:lang w:val="en-US"/>
              </w:rPr>
            </w:pPr>
            <w:r w:rsidRPr="00052ACF">
              <w:rPr>
                <w:color w:val="000000" w:themeColor="text1"/>
              </w:rPr>
              <w:t>Tobit regression model</w:t>
            </w:r>
            <w:r>
              <w:rPr>
                <w:color w:val="000000" w:themeColor="text1"/>
                <w:lang w:val="en-US"/>
              </w:rPr>
              <w:t>.</w:t>
            </w:r>
          </w:p>
          <w:p w:rsidR="00F42B89" w:rsidRPr="0091483A" w:rsidRDefault="00F42B89" w:rsidP="0091483A">
            <w:pPr>
              <w:tabs>
                <w:tab w:val="left" w:pos="6804"/>
              </w:tabs>
              <w:spacing w:before="120" w:after="120" w:line="312" w:lineRule="auto"/>
              <w:rPr>
                <w:color w:val="000000" w:themeColor="text1"/>
                <w:lang w:val="en-US"/>
              </w:rPr>
            </w:pPr>
            <w:r w:rsidRPr="00052ACF">
              <w:rPr>
                <w:color w:val="000000" w:themeColor="text1"/>
              </w:rPr>
              <w:t>The government effectiveness index (GOV) is measured according to WGI by taking the weighted average of the standard deviation of six governance indicators: VAE, PVE, RQE, RLE, GEE and CCE</w:t>
            </w:r>
          </w:p>
        </w:tc>
        <w:tc>
          <w:tcPr>
            <w:tcW w:w="3755" w:type="dxa"/>
          </w:tcPr>
          <w:p w:rsidR="00F42B89" w:rsidRPr="0091483A" w:rsidRDefault="00F42B89" w:rsidP="0091483A">
            <w:pPr>
              <w:tabs>
                <w:tab w:val="left" w:pos="6804"/>
              </w:tabs>
              <w:spacing w:before="120" w:after="120" w:line="312" w:lineRule="auto"/>
              <w:jc w:val="both"/>
              <w:rPr>
                <w:color w:val="000000" w:themeColor="text1"/>
                <w:lang w:val="en-US"/>
              </w:rPr>
            </w:pPr>
            <w:r w:rsidRPr="00052ACF">
              <w:rPr>
                <w:color w:val="000000" w:themeColor="text1"/>
                <w:lang w:val="vi-VN"/>
              </w:rPr>
              <w:t>T</w:t>
            </w:r>
            <w:r w:rsidRPr="00052ACF">
              <w:rPr>
                <w:color w:val="000000" w:themeColor="text1"/>
              </w:rPr>
              <w:t>he government effectiveness index (GOV) has a positive impact on bank efficiency (measured according to the data envelopment analysis (DEA) method) of conventional banks; however, the study found no impact of GOV on the sample of Islamic banks</w:t>
            </w:r>
            <w:r>
              <w:rPr>
                <w:color w:val="000000" w:themeColor="text1"/>
                <w:lang w:val="en-US"/>
              </w:rPr>
              <w:t>.</w:t>
            </w:r>
          </w:p>
        </w:tc>
      </w:tr>
      <w:tr w:rsidR="00F42B89" w:rsidRPr="00052ACF" w:rsidTr="0091483A">
        <w:tc>
          <w:tcPr>
            <w:tcW w:w="1857" w:type="dxa"/>
          </w:tcPr>
          <w:p w:rsidR="00F42B89" w:rsidRPr="00052ACF" w:rsidRDefault="00F42B89" w:rsidP="0091483A">
            <w:pPr>
              <w:tabs>
                <w:tab w:val="left" w:pos="6804"/>
              </w:tabs>
              <w:spacing w:before="120" w:after="120" w:line="312" w:lineRule="auto"/>
              <w:rPr>
                <w:color w:val="000000" w:themeColor="text1"/>
                <w:lang w:val="vi-VN"/>
              </w:rPr>
            </w:pPr>
            <w:r w:rsidRPr="00052ACF">
              <w:rPr>
                <w:color w:val="000000" w:themeColor="text1"/>
              </w:rPr>
              <w:t>Thach</w:t>
            </w:r>
            <w:r w:rsidRPr="00052ACF">
              <w:rPr>
                <w:color w:val="000000" w:themeColor="text1"/>
                <w:lang w:val="vi-VN"/>
              </w:rPr>
              <w:t xml:space="preserve"> </w:t>
            </w:r>
            <w:r w:rsidRPr="0091483A">
              <w:rPr>
                <w:i/>
                <w:iCs/>
                <w:color w:val="000000" w:themeColor="text1"/>
                <w:lang w:val="vi-VN"/>
              </w:rPr>
              <w:t>et al.</w:t>
            </w:r>
            <w:r w:rsidRPr="00052ACF">
              <w:rPr>
                <w:color w:val="000000" w:themeColor="text1"/>
                <w:lang w:val="vi-VN"/>
              </w:rPr>
              <w:t xml:space="preserve"> (2021)</w:t>
            </w:r>
          </w:p>
        </w:tc>
        <w:tc>
          <w:tcPr>
            <w:tcW w:w="2162" w:type="dxa"/>
          </w:tcPr>
          <w:p w:rsidR="00F42B89" w:rsidRPr="0091483A" w:rsidRDefault="00F42B89" w:rsidP="0091483A">
            <w:pPr>
              <w:tabs>
                <w:tab w:val="left" w:pos="6804"/>
              </w:tabs>
              <w:spacing w:before="120" w:after="120" w:line="312" w:lineRule="auto"/>
              <w:jc w:val="both"/>
              <w:rPr>
                <w:color w:val="000000" w:themeColor="text1"/>
                <w:lang w:val="en-US"/>
              </w:rPr>
            </w:pPr>
            <w:r w:rsidRPr="00052ACF">
              <w:rPr>
                <w:color w:val="000000" w:themeColor="text1"/>
                <w:lang w:val="vi-VN"/>
              </w:rPr>
              <w:t>S</w:t>
            </w:r>
            <w:r w:rsidRPr="00052ACF">
              <w:rPr>
                <w:color w:val="000000" w:themeColor="text1"/>
              </w:rPr>
              <w:t>tate-owned banks in Vietnam</w:t>
            </w:r>
            <w:r>
              <w:rPr>
                <w:color w:val="000000" w:themeColor="text1"/>
                <w:lang w:val="en-US"/>
              </w:rPr>
              <w:t>;</w:t>
            </w:r>
            <w:r w:rsidRPr="00052ACF">
              <w:rPr>
                <w:color w:val="000000" w:themeColor="text1"/>
              </w:rPr>
              <w:t xml:space="preserve">  </w:t>
            </w:r>
            <w:r>
              <w:rPr>
                <w:color w:val="000000" w:themeColor="text1"/>
                <w:lang w:val="en-US"/>
              </w:rPr>
              <w:t xml:space="preserve">from </w:t>
            </w:r>
            <w:r w:rsidRPr="00052ACF">
              <w:rPr>
                <w:color w:val="000000" w:themeColor="text1"/>
              </w:rPr>
              <w:t>2010</w:t>
            </w:r>
            <w:r>
              <w:rPr>
                <w:color w:val="000000" w:themeColor="text1"/>
                <w:lang w:val="en-US"/>
              </w:rPr>
              <w:t xml:space="preserve"> to </w:t>
            </w:r>
            <w:r w:rsidRPr="00052ACF">
              <w:rPr>
                <w:color w:val="000000" w:themeColor="text1"/>
              </w:rPr>
              <w:t>2019</w:t>
            </w:r>
          </w:p>
        </w:tc>
        <w:tc>
          <w:tcPr>
            <w:tcW w:w="2144" w:type="dxa"/>
            <w:gridSpan w:val="3"/>
          </w:tcPr>
          <w:p w:rsidR="00F42B89" w:rsidRPr="0091483A" w:rsidRDefault="00F42B89" w:rsidP="0091483A">
            <w:pPr>
              <w:tabs>
                <w:tab w:val="left" w:pos="6804"/>
              </w:tabs>
              <w:spacing w:before="120" w:after="120" w:line="312" w:lineRule="auto"/>
              <w:rPr>
                <w:color w:val="000000" w:themeColor="text1"/>
                <w:lang w:val="en-US"/>
              </w:rPr>
            </w:pPr>
            <w:r w:rsidRPr="00052ACF">
              <w:rPr>
                <w:color w:val="000000" w:themeColor="text1"/>
              </w:rPr>
              <w:t>Multiple regression using two methods: L</w:t>
            </w:r>
            <w:proofErr w:type="spellStart"/>
            <w:r>
              <w:rPr>
                <w:color w:val="000000" w:themeColor="text1"/>
                <w:lang w:val="en-US"/>
              </w:rPr>
              <w:t>asso</w:t>
            </w:r>
            <w:proofErr w:type="spellEnd"/>
            <w:r w:rsidRPr="00052ACF">
              <w:rPr>
                <w:color w:val="000000" w:themeColor="text1"/>
              </w:rPr>
              <w:t xml:space="preserve"> and Ridge </w:t>
            </w:r>
          </w:p>
        </w:tc>
        <w:tc>
          <w:tcPr>
            <w:tcW w:w="3755" w:type="dxa"/>
          </w:tcPr>
          <w:p w:rsidR="00F42B89" w:rsidRPr="00052ACF" w:rsidRDefault="00F42B89" w:rsidP="0091483A">
            <w:pPr>
              <w:tabs>
                <w:tab w:val="left" w:pos="6804"/>
              </w:tabs>
              <w:spacing w:before="120" w:after="120" w:line="312" w:lineRule="auto"/>
              <w:jc w:val="both"/>
              <w:rPr>
                <w:color w:val="000000" w:themeColor="text1"/>
                <w:lang w:val="vi-VN"/>
              </w:rPr>
            </w:pPr>
            <w:r w:rsidRPr="00052ACF">
              <w:rPr>
                <w:color w:val="000000" w:themeColor="text1"/>
              </w:rPr>
              <w:t>The results show:</w:t>
            </w:r>
          </w:p>
          <w:p w:rsidR="00F42B89" w:rsidRPr="00052ACF" w:rsidRDefault="00F42B89" w:rsidP="0091483A">
            <w:pPr>
              <w:tabs>
                <w:tab w:val="left" w:pos="6804"/>
              </w:tabs>
              <w:spacing w:before="120" w:after="120" w:line="312" w:lineRule="auto"/>
              <w:jc w:val="both"/>
              <w:rPr>
                <w:color w:val="000000" w:themeColor="text1"/>
                <w:lang w:val="vi-VN"/>
              </w:rPr>
            </w:pPr>
            <w:r w:rsidRPr="00052ACF">
              <w:rPr>
                <w:color w:val="000000" w:themeColor="text1"/>
              </w:rPr>
              <w:t xml:space="preserve">(i) Ridge </w:t>
            </w:r>
            <w:r>
              <w:rPr>
                <w:color w:val="000000" w:themeColor="text1"/>
                <w:lang w:val="en-US"/>
              </w:rPr>
              <w:t>r</w:t>
            </w:r>
            <w:r w:rsidRPr="00052ACF">
              <w:rPr>
                <w:color w:val="000000" w:themeColor="text1"/>
              </w:rPr>
              <w:t>egression methods: PVE, GEE and RQE have a negative impact on the performance of state-owned banks (NII: The total non-interest income/Total Assets); CCE, RLE and VAE have a positive impact on NII.</w:t>
            </w:r>
          </w:p>
          <w:p w:rsidR="00F42B89" w:rsidRPr="0091483A" w:rsidRDefault="00F42B89" w:rsidP="0091483A">
            <w:pPr>
              <w:tabs>
                <w:tab w:val="left" w:pos="6804"/>
              </w:tabs>
              <w:spacing w:before="120" w:after="120" w:line="312" w:lineRule="auto"/>
              <w:jc w:val="both"/>
              <w:rPr>
                <w:color w:val="000000" w:themeColor="text1"/>
                <w:lang w:val="en-US"/>
              </w:rPr>
            </w:pPr>
            <w:r w:rsidRPr="00052ACF">
              <w:rPr>
                <w:color w:val="000000" w:themeColor="text1"/>
              </w:rPr>
              <w:t>(ii) L</w:t>
            </w:r>
            <w:proofErr w:type="spellStart"/>
            <w:r>
              <w:rPr>
                <w:color w:val="000000" w:themeColor="text1"/>
                <w:lang w:val="en-US"/>
              </w:rPr>
              <w:t>asso</w:t>
            </w:r>
            <w:proofErr w:type="spellEnd"/>
            <w:r w:rsidRPr="00052ACF">
              <w:rPr>
                <w:color w:val="000000" w:themeColor="text1"/>
              </w:rPr>
              <w:t xml:space="preserve"> methods: PVE has a negative impact on NII; no impact was found for RQE, CCE, GEE, RLE and VAE</w:t>
            </w:r>
            <w:r>
              <w:rPr>
                <w:color w:val="000000" w:themeColor="text1"/>
                <w:lang w:val="en-US"/>
              </w:rPr>
              <w:t>.</w:t>
            </w:r>
          </w:p>
        </w:tc>
      </w:tr>
      <w:tr w:rsidR="00F42B89" w:rsidRPr="00052ACF" w:rsidTr="0091483A">
        <w:tc>
          <w:tcPr>
            <w:tcW w:w="1857" w:type="dxa"/>
          </w:tcPr>
          <w:p w:rsidR="00F42B89" w:rsidRPr="00052ACF" w:rsidRDefault="00F42B89" w:rsidP="0091483A">
            <w:pPr>
              <w:tabs>
                <w:tab w:val="left" w:pos="6804"/>
              </w:tabs>
              <w:spacing w:before="120" w:after="120" w:line="312" w:lineRule="auto"/>
              <w:rPr>
                <w:color w:val="000000" w:themeColor="text1"/>
              </w:rPr>
            </w:pPr>
            <w:r w:rsidRPr="00052ACF">
              <w:rPr>
                <w:color w:val="000000" w:themeColor="text1"/>
              </w:rPr>
              <w:t xml:space="preserve">Tran </w:t>
            </w:r>
            <w:r w:rsidRPr="0091483A">
              <w:rPr>
                <w:i/>
                <w:iCs/>
                <w:color w:val="000000" w:themeColor="text1"/>
              </w:rPr>
              <w:t>et al.</w:t>
            </w:r>
            <w:r w:rsidRPr="00052ACF">
              <w:rPr>
                <w:color w:val="000000" w:themeColor="text1"/>
              </w:rPr>
              <w:t xml:space="preserve"> (2023)</w:t>
            </w:r>
          </w:p>
        </w:tc>
        <w:tc>
          <w:tcPr>
            <w:tcW w:w="2162" w:type="dxa"/>
          </w:tcPr>
          <w:p w:rsidR="00F42B89" w:rsidRPr="0091483A" w:rsidRDefault="00F42B89" w:rsidP="0091483A">
            <w:pPr>
              <w:tabs>
                <w:tab w:val="left" w:pos="6804"/>
              </w:tabs>
              <w:spacing w:before="120" w:after="120" w:line="312" w:lineRule="auto"/>
              <w:jc w:val="both"/>
              <w:rPr>
                <w:color w:val="000000" w:themeColor="text1"/>
                <w:lang w:val="en-US"/>
              </w:rPr>
            </w:pPr>
            <w:r w:rsidRPr="00052ACF">
              <w:rPr>
                <w:color w:val="000000" w:themeColor="text1"/>
              </w:rPr>
              <w:t>133 developing and emerging countries</w:t>
            </w:r>
            <w:r>
              <w:rPr>
                <w:color w:val="000000" w:themeColor="text1"/>
                <w:lang w:val="en-US"/>
              </w:rPr>
              <w:t>;</w:t>
            </w:r>
            <w:r w:rsidRPr="00052ACF">
              <w:rPr>
                <w:color w:val="000000" w:themeColor="text1"/>
              </w:rPr>
              <w:t xml:space="preserve"> </w:t>
            </w:r>
            <w:r>
              <w:rPr>
                <w:color w:val="000000" w:themeColor="text1"/>
                <w:lang w:val="en-US"/>
              </w:rPr>
              <w:t xml:space="preserve">from </w:t>
            </w:r>
            <w:r w:rsidRPr="00052ACF">
              <w:rPr>
                <w:color w:val="000000" w:themeColor="text1"/>
              </w:rPr>
              <w:t>2002</w:t>
            </w:r>
            <w:r>
              <w:rPr>
                <w:color w:val="000000" w:themeColor="text1"/>
                <w:lang w:val="en-US"/>
              </w:rPr>
              <w:t xml:space="preserve"> to </w:t>
            </w:r>
            <w:r w:rsidRPr="00052ACF">
              <w:rPr>
                <w:color w:val="000000" w:themeColor="text1"/>
              </w:rPr>
              <w:t>2020</w:t>
            </w:r>
          </w:p>
        </w:tc>
        <w:tc>
          <w:tcPr>
            <w:tcW w:w="2144" w:type="dxa"/>
            <w:gridSpan w:val="3"/>
          </w:tcPr>
          <w:p w:rsidR="00F42B89" w:rsidRPr="0091483A" w:rsidRDefault="00F42B89" w:rsidP="0091483A">
            <w:pPr>
              <w:tabs>
                <w:tab w:val="left" w:pos="6804"/>
              </w:tabs>
              <w:spacing w:before="120" w:after="120" w:line="312" w:lineRule="auto"/>
              <w:jc w:val="both"/>
              <w:rPr>
                <w:color w:val="000000" w:themeColor="text1"/>
                <w:lang w:val="en-US"/>
              </w:rPr>
            </w:pPr>
            <w:r w:rsidRPr="00052ACF">
              <w:rPr>
                <w:color w:val="000000" w:themeColor="text1"/>
              </w:rPr>
              <w:t>OLS, FEM, REM, FGLS and Bayesian</w:t>
            </w:r>
          </w:p>
        </w:tc>
        <w:tc>
          <w:tcPr>
            <w:tcW w:w="3755" w:type="dxa"/>
          </w:tcPr>
          <w:p w:rsidR="00F42B89" w:rsidRPr="00052ACF" w:rsidRDefault="00F42B89" w:rsidP="0091483A">
            <w:pPr>
              <w:tabs>
                <w:tab w:val="left" w:pos="6804"/>
              </w:tabs>
              <w:spacing w:before="120" w:after="120" w:line="312" w:lineRule="auto"/>
              <w:jc w:val="both"/>
              <w:rPr>
                <w:color w:val="000000" w:themeColor="text1"/>
              </w:rPr>
            </w:pPr>
            <w:r w:rsidRPr="00052ACF">
              <w:rPr>
                <w:color w:val="000000" w:themeColor="text1"/>
              </w:rPr>
              <w:t>The quality of the institutional environment (WGI)  plays a critical role in improving the stability of banks in developing and emerging countries.</w:t>
            </w:r>
          </w:p>
        </w:tc>
      </w:tr>
      <w:tr w:rsidR="00F42B89" w:rsidRPr="00052ACF" w:rsidTr="0091483A">
        <w:tc>
          <w:tcPr>
            <w:tcW w:w="1857" w:type="dxa"/>
          </w:tcPr>
          <w:p w:rsidR="00F42B89" w:rsidRPr="0091483A" w:rsidRDefault="00F42B89" w:rsidP="0091483A">
            <w:pPr>
              <w:tabs>
                <w:tab w:val="left" w:pos="6804"/>
              </w:tabs>
              <w:spacing w:before="120" w:after="120" w:line="312" w:lineRule="auto"/>
              <w:rPr>
                <w:color w:val="000000" w:themeColor="text1"/>
                <w:lang w:val="en-US"/>
              </w:rPr>
            </w:pPr>
            <w:r w:rsidRPr="00052ACF">
              <w:rPr>
                <w:color w:val="000000" w:themeColor="text1"/>
                <w:lang w:val="vi-VN"/>
              </w:rPr>
              <w:t>D</w:t>
            </w:r>
            <w:r w:rsidRPr="00052ACF">
              <w:rPr>
                <w:color w:val="000000" w:themeColor="text1"/>
              </w:rPr>
              <w:t>os Santos &amp; Jucá</w:t>
            </w:r>
            <w:r w:rsidRPr="00052ACF">
              <w:rPr>
                <w:color w:val="000000" w:themeColor="text1"/>
                <w:lang w:val="vi-VN"/>
              </w:rPr>
              <w:t xml:space="preserve"> </w:t>
            </w:r>
            <w:r w:rsidRPr="00052ACF">
              <w:rPr>
                <w:color w:val="000000" w:themeColor="text1"/>
              </w:rPr>
              <w:t>(2024)</w:t>
            </w:r>
          </w:p>
        </w:tc>
        <w:tc>
          <w:tcPr>
            <w:tcW w:w="2162" w:type="dxa"/>
          </w:tcPr>
          <w:p w:rsidR="00F42B89" w:rsidRPr="0091483A" w:rsidRDefault="00F42B89" w:rsidP="0091483A">
            <w:pPr>
              <w:tabs>
                <w:tab w:val="left" w:pos="6804"/>
              </w:tabs>
              <w:spacing w:before="120" w:after="120" w:line="312" w:lineRule="auto"/>
              <w:jc w:val="both"/>
              <w:rPr>
                <w:color w:val="000000" w:themeColor="text1"/>
                <w:lang w:val="en-US"/>
              </w:rPr>
            </w:pPr>
            <w:r w:rsidRPr="00052ACF">
              <w:rPr>
                <w:color w:val="000000" w:themeColor="text1"/>
              </w:rPr>
              <w:t xml:space="preserve">111 banks located in 28 countries, of which: 12 banks and </w:t>
            </w:r>
            <w:r>
              <w:rPr>
                <w:color w:val="000000" w:themeColor="text1"/>
                <w:lang w:val="en-US"/>
              </w:rPr>
              <w:t>four</w:t>
            </w:r>
            <w:r w:rsidRPr="00052ACF">
              <w:rPr>
                <w:color w:val="000000" w:themeColor="text1"/>
              </w:rPr>
              <w:t xml:space="preserve"> countries in Latin America and the Caribbean, 45 banks and 13 countries in Africa and the Middle East, </w:t>
            </w:r>
            <w:r>
              <w:rPr>
                <w:color w:val="000000" w:themeColor="text1"/>
                <w:lang w:val="en-US"/>
              </w:rPr>
              <w:t>seven</w:t>
            </w:r>
            <w:r w:rsidRPr="00052ACF">
              <w:rPr>
                <w:color w:val="000000" w:themeColor="text1"/>
              </w:rPr>
              <w:t xml:space="preserve"> banks and </w:t>
            </w:r>
            <w:r>
              <w:rPr>
                <w:color w:val="000000" w:themeColor="text1"/>
                <w:lang w:val="en-US"/>
              </w:rPr>
              <w:t>four</w:t>
            </w:r>
            <w:r w:rsidRPr="00052ACF">
              <w:rPr>
                <w:color w:val="000000" w:themeColor="text1"/>
              </w:rPr>
              <w:t xml:space="preserve"> countries in Europe, and 47 banks and </w:t>
            </w:r>
            <w:r>
              <w:rPr>
                <w:color w:val="000000" w:themeColor="text1"/>
                <w:lang w:val="en-US"/>
              </w:rPr>
              <w:t>seven</w:t>
            </w:r>
            <w:r w:rsidRPr="00052ACF">
              <w:rPr>
                <w:color w:val="000000" w:themeColor="text1"/>
              </w:rPr>
              <w:t xml:space="preserve"> countries in Asia and the Pacific</w:t>
            </w:r>
          </w:p>
          <w:p w:rsidR="00F42B89" w:rsidRPr="0091483A" w:rsidRDefault="00F42B89" w:rsidP="0091483A">
            <w:pPr>
              <w:tabs>
                <w:tab w:val="left" w:pos="6804"/>
              </w:tabs>
              <w:spacing w:before="120" w:after="120" w:line="312" w:lineRule="auto"/>
              <w:jc w:val="both"/>
              <w:rPr>
                <w:color w:val="000000" w:themeColor="text1"/>
                <w:lang w:val="en-US"/>
              </w:rPr>
            </w:pPr>
            <w:r w:rsidRPr="00052ACF">
              <w:rPr>
                <w:color w:val="000000" w:themeColor="text1"/>
                <w:lang w:val="vi-VN"/>
              </w:rPr>
              <w:t>from 2013 to 2022</w:t>
            </w:r>
          </w:p>
        </w:tc>
        <w:tc>
          <w:tcPr>
            <w:tcW w:w="2144" w:type="dxa"/>
            <w:gridSpan w:val="3"/>
          </w:tcPr>
          <w:p w:rsidR="00F42B89" w:rsidRPr="0091483A" w:rsidRDefault="00F42B89" w:rsidP="0091483A">
            <w:pPr>
              <w:tabs>
                <w:tab w:val="left" w:pos="6804"/>
              </w:tabs>
              <w:spacing w:before="120" w:after="120" w:line="312" w:lineRule="auto"/>
              <w:jc w:val="both"/>
              <w:rPr>
                <w:color w:val="000000" w:themeColor="text1"/>
                <w:lang w:val="en-US"/>
              </w:rPr>
            </w:pPr>
            <w:r w:rsidRPr="00052ACF">
              <w:rPr>
                <w:color w:val="000000" w:themeColor="text1"/>
              </w:rPr>
              <w:t>Regression analysis with pooled data</w:t>
            </w:r>
          </w:p>
          <w:p w:rsidR="00F42B89" w:rsidRPr="0091483A" w:rsidRDefault="00F42B89" w:rsidP="0091483A">
            <w:pPr>
              <w:tabs>
                <w:tab w:val="left" w:pos="6804"/>
              </w:tabs>
              <w:spacing w:before="120" w:after="120" w:line="312" w:lineRule="auto"/>
              <w:jc w:val="both"/>
              <w:rPr>
                <w:color w:val="000000" w:themeColor="text1"/>
                <w:lang w:val="en-US"/>
              </w:rPr>
            </w:pPr>
            <w:r w:rsidRPr="00052ACF">
              <w:rPr>
                <w:color w:val="000000" w:themeColor="text1"/>
              </w:rPr>
              <w:br/>
              <w:t>WGI is measured by taking the weighted average of the standard deviation of six governance indicators: VAE, PVE, RQE, RLE, GEE and CCE</w:t>
            </w:r>
          </w:p>
        </w:tc>
        <w:tc>
          <w:tcPr>
            <w:tcW w:w="3755" w:type="dxa"/>
          </w:tcPr>
          <w:p w:rsidR="00F42B89" w:rsidRPr="00052ACF" w:rsidRDefault="00F42B89" w:rsidP="0091483A">
            <w:pPr>
              <w:tabs>
                <w:tab w:val="left" w:pos="6804"/>
              </w:tabs>
              <w:spacing w:before="120" w:after="120" w:line="312" w:lineRule="auto"/>
              <w:jc w:val="both"/>
              <w:rPr>
                <w:color w:val="000000" w:themeColor="text1"/>
                <w:lang w:val="vi-VN"/>
              </w:rPr>
            </w:pPr>
            <w:r w:rsidRPr="00052ACF">
              <w:rPr>
                <w:color w:val="000000" w:themeColor="text1"/>
              </w:rPr>
              <w:t>WGI has a positive impact on bank performance (measured by Tobin's Q, market value of equities, total equity).</w:t>
            </w:r>
          </w:p>
          <w:p w:rsidR="00F42B89" w:rsidRPr="0091483A" w:rsidRDefault="00F42B89" w:rsidP="0091483A">
            <w:pPr>
              <w:tabs>
                <w:tab w:val="left" w:pos="6804"/>
              </w:tabs>
              <w:spacing w:before="120" w:after="120" w:line="312" w:lineRule="auto"/>
              <w:jc w:val="both"/>
              <w:rPr>
                <w:color w:val="000000" w:themeColor="text1"/>
                <w:lang w:val="en-US"/>
              </w:rPr>
            </w:pPr>
            <w:r w:rsidRPr="00052ACF">
              <w:rPr>
                <w:color w:val="000000" w:themeColor="text1"/>
              </w:rPr>
              <w:t xml:space="preserve"> However, WGI has a negative impact on bank performance (measured by total equity)</w:t>
            </w:r>
            <w:r>
              <w:rPr>
                <w:color w:val="000000" w:themeColor="text1"/>
                <w:lang w:val="en-US"/>
              </w:rPr>
              <w:t>.</w:t>
            </w:r>
          </w:p>
        </w:tc>
      </w:tr>
      <w:tr w:rsidR="00F42B89" w:rsidRPr="00052ACF" w:rsidTr="0091483A">
        <w:tc>
          <w:tcPr>
            <w:tcW w:w="1857" w:type="dxa"/>
          </w:tcPr>
          <w:p w:rsidR="00F42B89" w:rsidRPr="00052ACF" w:rsidRDefault="00F42B89" w:rsidP="0091483A">
            <w:pPr>
              <w:tabs>
                <w:tab w:val="left" w:pos="6804"/>
              </w:tabs>
              <w:spacing w:before="120" w:after="120" w:line="312" w:lineRule="auto"/>
              <w:rPr>
                <w:color w:val="000000" w:themeColor="text1"/>
                <w:lang w:val="vi-VN"/>
              </w:rPr>
            </w:pPr>
            <w:r w:rsidRPr="00052ACF">
              <w:rPr>
                <w:color w:val="000000" w:themeColor="text1"/>
              </w:rPr>
              <w:t>Ferreira</w:t>
            </w:r>
            <w:r w:rsidRPr="00052ACF">
              <w:rPr>
                <w:color w:val="000000" w:themeColor="text1"/>
                <w:lang w:val="vi-VN"/>
              </w:rPr>
              <w:t xml:space="preserve"> </w:t>
            </w:r>
            <w:r w:rsidRPr="00052ACF">
              <w:rPr>
                <w:color w:val="000000" w:themeColor="text1"/>
              </w:rPr>
              <w:t>&amp; JucÃ</w:t>
            </w:r>
            <w:r w:rsidRPr="00052ACF">
              <w:rPr>
                <w:color w:val="000000" w:themeColor="text1"/>
                <w:lang w:val="vi-VN"/>
              </w:rPr>
              <w:t xml:space="preserve"> (2025)</w:t>
            </w:r>
          </w:p>
        </w:tc>
        <w:tc>
          <w:tcPr>
            <w:tcW w:w="2162" w:type="dxa"/>
          </w:tcPr>
          <w:p w:rsidR="00F42B89" w:rsidRPr="00052ACF" w:rsidRDefault="00F42B89" w:rsidP="0091483A">
            <w:pPr>
              <w:tabs>
                <w:tab w:val="left" w:pos="6804"/>
              </w:tabs>
              <w:spacing w:before="120" w:after="120" w:line="312" w:lineRule="auto"/>
              <w:jc w:val="both"/>
              <w:rPr>
                <w:color w:val="000000" w:themeColor="text1"/>
              </w:rPr>
            </w:pPr>
            <w:r w:rsidRPr="00052ACF">
              <w:rPr>
                <w:color w:val="000000" w:themeColor="text1"/>
              </w:rPr>
              <w:t>195 publicly traded commercial banks from 69 countries is considered - 39 developed and 30 emerging</w:t>
            </w:r>
          </w:p>
        </w:tc>
        <w:tc>
          <w:tcPr>
            <w:tcW w:w="2144" w:type="dxa"/>
            <w:gridSpan w:val="3"/>
          </w:tcPr>
          <w:p w:rsidR="00F42B89" w:rsidRPr="0091483A" w:rsidRDefault="00F42B89" w:rsidP="0091483A">
            <w:pPr>
              <w:tabs>
                <w:tab w:val="left" w:pos="6804"/>
              </w:tabs>
              <w:spacing w:before="120" w:after="120" w:line="312" w:lineRule="auto"/>
              <w:jc w:val="both"/>
              <w:rPr>
                <w:color w:val="000000" w:themeColor="text1"/>
                <w:lang w:val="en-US"/>
              </w:rPr>
            </w:pPr>
            <w:r w:rsidRPr="00052ACF">
              <w:rPr>
                <w:color w:val="000000" w:themeColor="text1"/>
              </w:rPr>
              <w:t>Logistic regression model</w:t>
            </w:r>
          </w:p>
          <w:p w:rsidR="00F42B89" w:rsidRPr="0091483A" w:rsidRDefault="00F42B89" w:rsidP="0091483A">
            <w:pPr>
              <w:tabs>
                <w:tab w:val="left" w:pos="6804"/>
              </w:tabs>
              <w:spacing w:before="120" w:after="120" w:line="312" w:lineRule="auto"/>
              <w:jc w:val="both"/>
              <w:rPr>
                <w:color w:val="000000" w:themeColor="text1"/>
                <w:lang w:val="en-US"/>
              </w:rPr>
            </w:pPr>
            <w:r w:rsidRPr="00052ACF">
              <w:rPr>
                <w:color w:val="000000" w:themeColor="text1"/>
                <w:lang w:val="vi-VN"/>
              </w:rPr>
              <w:t xml:space="preserve">The WGI is derived from the average six-dimensional estimate: </w:t>
            </w:r>
            <w:r w:rsidRPr="00052ACF">
              <w:rPr>
                <w:color w:val="000000" w:themeColor="text1"/>
              </w:rPr>
              <w:t>VAE, PVE, RQE, RLE, GEE and CCE</w:t>
            </w:r>
          </w:p>
        </w:tc>
        <w:tc>
          <w:tcPr>
            <w:tcW w:w="3755" w:type="dxa"/>
          </w:tcPr>
          <w:p w:rsidR="00F42B89" w:rsidRPr="0091483A" w:rsidRDefault="00F42B89" w:rsidP="0091483A">
            <w:pPr>
              <w:tabs>
                <w:tab w:val="left" w:pos="960"/>
              </w:tabs>
              <w:spacing w:before="120" w:after="120" w:line="312" w:lineRule="auto"/>
              <w:jc w:val="both"/>
              <w:rPr>
                <w:color w:val="000000" w:themeColor="text1"/>
                <w:lang w:val="en-US"/>
              </w:rPr>
            </w:pPr>
            <w:r w:rsidRPr="00052ACF">
              <w:rPr>
                <w:color w:val="000000" w:themeColor="text1"/>
              </w:rPr>
              <w:t>WGI has a negative impact on ROE</w:t>
            </w:r>
            <w:r>
              <w:rPr>
                <w:color w:val="000000" w:themeColor="text1"/>
                <w:lang w:val="en-US"/>
              </w:rPr>
              <w:t>.</w:t>
            </w:r>
          </w:p>
        </w:tc>
      </w:tr>
      <w:tr w:rsidR="00F42B89" w:rsidRPr="007F1E13" w:rsidTr="0091483A">
        <w:tc>
          <w:tcPr>
            <w:tcW w:w="1857" w:type="dxa"/>
          </w:tcPr>
          <w:p w:rsidR="00F42B89" w:rsidRPr="00052ACF" w:rsidRDefault="00F42B89" w:rsidP="0091483A">
            <w:pPr>
              <w:tabs>
                <w:tab w:val="left" w:pos="6804"/>
              </w:tabs>
              <w:spacing w:before="120" w:after="120" w:line="312" w:lineRule="auto"/>
              <w:rPr>
                <w:color w:val="000000" w:themeColor="text1"/>
                <w:lang w:val="vi-VN"/>
              </w:rPr>
            </w:pPr>
            <w:r w:rsidRPr="00052ACF">
              <w:rPr>
                <w:color w:val="000000" w:themeColor="text1"/>
              </w:rPr>
              <w:t>Tehulu</w:t>
            </w:r>
            <w:r w:rsidRPr="00052ACF">
              <w:rPr>
                <w:color w:val="000000" w:themeColor="text1"/>
                <w:lang w:val="vi-VN"/>
              </w:rPr>
              <w:t xml:space="preserve"> </w:t>
            </w:r>
            <w:r w:rsidRPr="0091483A">
              <w:rPr>
                <w:i/>
                <w:iCs/>
                <w:color w:val="000000" w:themeColor="text1"/>
              </w:rPr>
              <w:t>et al.</w:t>
            </w:r>
            <w:r w:rsidRPr="00052ACF">
              <w:rPr>
                <w:color w:val="000000" w:themeColor="text1"/>
              </w:rPr>
              <w:t xml:space="preserve"> (2025)</w:t>
            </w:r>
          </w:p>
        </w:tc>
        <w:tc>
          <w:tcPr>
            <w:tcW w:w="2162" w:type="dxa"/>
          </w:tcPr>
          <w:p w:rsidR="00F42B89" w:rsidRPr="0091483A" w:rsidRDefault="00F42B89" w:rsidP="0091483A">
            <w:pPr>
              <w:tabs>
                <w:tab w:val="left" w:pos="6804"/>
              </w:tabs>
              <w:spacing w:before="120" w:after="120" w:line="312" w:lineRule="auto"/>
              <w:jc w:val="both"/>
              <w:rPr>
                <w:color w:val="000000" w:themeColor="text1"/>
                <w:lang w:val="en-US"/>
              </w:rPr>
            </w:pPr>
            <w:r w:rsidRPr="00052ACF">
              <w:rPr>
                <w:color w:val="000000" w:themeColor="text1"/>
              </w:rPr>
              <w:t>136/138 microfinance institutions (MFIs) in Sub-Saharan Africa (SSA)</w:t>
            </w:r>
            <w:r>
              <w:rPr>
                <w:color w:val="000000" w:themeColor="text1"/>
                <w:lang w:val="en-US"/>
              </w:rPr>
              <w:t>;</w:t>
            </w:r>
            <w:r w:rsidRPr="00052ACF">
              <w:rPr>
                <w:color w:val="000000" w:themeColor="text1"/>
              </w:rPr>
              <w:t xml:space="preserve"> from 2004 to 2018</w:t>
            </w:r>
          </w:p>
        </w:tc>
        <w:tc>
          <w:tcPr>
            <w:tcW w:w="2144" w:type="dxa"/>
            <w:gridSpan w:val="3"/>
          </w:tcPr>
          <w:p w:rsidR="00F42B89" w:rsidRPr="0091483A" w:rsidRDefault="00F42B89" w:rsidP="0091483A">
            <w:pPr>
              <w:tabs>
                <w:tab w:val="left" w:pos="6804"/>
              </w:tabs>
              <w:spacing w:before="120" w:after="120" w:line="312" w:lineRule="auto"/>
              <w:jc w:val="both"/>
              <w:rPr>
                <w:color w:val="000000" w:themeColor="text1"/>
                <w:lang w:val="en-US"/>
              </w:rPr>
            </w:pPr>
            <w:r>
              <w:rPr>
                <w:color w:val="000000" w:themeColor="text1"/>
                <w:lang w:val="en-US"/>
              </w:rPr>
              <w:t>T</w:t>
            </w:r>
            <w:r w:rsidRPr="00052ACF">
              <w:rPr>
                <w:color w:val="000000" w:themeColor="text1"/>
              </w:rPr>
              <w:t>wo-step system generalized method of moments (GMM)</w:t>
            </w:r>
          </w:p>
        </w:tc>
        <w:tc>
          <w:tcPr>
            <w:tcW w:w="3755" w:type="dxa"/>
          </w:tcPr>
          <w:p w:rsidR="00F42B89" w:rsidRPr="00052ACF" w:rsidRDefault="00F42B89" w:rsidP="0091483A">
            <w:pPr>
              <w:tabs>
                <w:tab w:val="left" w:pos="960"/>
              </w:tabs>
              <w:spacing w:before="120" w:after="120" w:line="312" w:lineRule="auto"/>
              <w:jc w:val="both"/>
              <w:rPr>
                <w:color w:val="000000" w:themeColor="text1"/>
              </w:rPr>
            </w:pPr>
            <w:r>
              <w:rPr>
                <w:color w:val="000000" w:themeColor="text1"/>
                <w:lang w:val="en-US"/>
              </w:rPr>
              <w:t>I</w:t>
            </w:r>
            <w:r w:rsidRPr="00052ACF">
              <w:rPr>
                <w:color w:val="000000" w:themeColor="text1"/>
              </w:rPr>
              <w:t>nstitutional environment (WGI) matters in the financial sustainability of MFIs.</w:t>
            </w:r>
          </w:p>
          <w:p w:rsidR="00F42B89" w:rsidRPr="007F1E13" w:rsidRDefault="00F42B89" w:rsidP="0091483A">
            <w:pPr>
              <w:tabs>
                <w:tab w:val="left" w:pos="960"/>
              </w:tabs>
              <w:spacing w:before="120" w:after="120" w:line="312" w:lineRule="auto"/>
              <w:jc w:val="both"/>
              <w:rPr>
                <w:color w:val="000000" w:themeColor="text1"/>
              </w:rPr>
            </w:pPr>
            <w:r w:rsidRPr="00052ACF">
              <w:rPr>
                <w:color w:val="000000" w:themeColor="text1"/>
              </w:rPr>
              <w:t>Various institutional factors affect financial sustainability in different ways. Government effectiveness (GEE) and rule of law (RLE) have immediate positive impacts, whereas control of corruption (CCE) influences sustainability with a one-year delay. Unlike GEE  and RLE, CCE’s effect is not immediate but remains beneficial over time. Despite these timing differences, all three factors contribute positively to financial sustainability, aligning with results from the overall institutional quality index.</w:t>
            </w:r>
          </w:p>
        </w:tc>
      </w:tr>
    </w:tbl>
    <w:p w:rsidR="00F42B89" w:rsidRPr="00134542" w:rsidRDefault="00F42B89" w:rsidP="00F42B89">
      <w:pPr>
        <w:tabs>
          <w:tab w:val="left" w:pos="6804"/>
        </w:tabs>
        <w:spacing w:before="120" w:after="120" w:line="312" w:lineRule="auto"/>
        <w:jc w:val="both"/>
        <w:rPr>
          <w:color w:val="000000" w:themeColor="text1"/>
        </w:rPr>
      </w:pPr>
      <w:r>
        <w:rPr>
          <w:color w:val="000000" w:themeColor="text1"/>
        </w:rPr>
        <w:t>TABLE BY AUTHOR</w:t>
      </w:r>
    </w:p>
    <w:p w:rsidR="00D70B3E" w:rsidRPr="00052ACF" w:rsidRDefault="00D70B3E" w:rsidP="00D70B3E">
      <w:pPr>
        <w:pStyle w:val="EndNoteBibliography"/>
        <w:spacing w:before="120" w:after="0"/>
        <w:ind w:left="720" w:hanging="720"/>
        <w:rPr>
          <w:rFonts w:ascii="Times New Roman" w:hAnsi="Times New Roman"/>
          <w:color w:val="000000" w:themeColor="text1"/>
          <w:sz w:val="24"/>
          <w:szCs w:val="24"/>
          <w:lang w:val="vi-VN"/>
        </w:rPr>
      </w:pPr>
      <w:r w:rsidRPr="00052ACF">
        <w:rPr>
          <w:rFonts w:ascii="Times New Roman" w:hAnsi="Times New Roman"/>
          <w:color w:val="000000" w:themeColor="text1"/>
          <w:sz w:val="24"/>
          <w:szCs w:val="24"/>
        </w:rPr>
        <w:t>Alam, A. W., Banna, H. &amp; Hassan, M. K. (2021)</w:t>
      </w:r>
      <w:r>
        <w:rPr>
          <w:rFonts w:ascii="Times New Roman" w:hAnsi="Times New Roman"/>
          <w:color w:val="000000" w:themeColor="text1"/>
          <w:sz w:val="24"/>
          <w:szCs w:val="24"/>
        </w:rPr>
        <w:t>,</w:t>
      </w:r>
      <w:r w:rsidRPr="00052ACF">
        <w:rPr>
          <w:rFonts w:ascii="Times New Roman" w:hAnsi="Times New Roman"/>
          <w:color w:val="000000" w:themeColor="text1"/>
          <w:sz w:val="24"/>
          <w:szCs w:val="24"/>
        </w:rPr>
        <w:t xml:space="preserve"> </w:t>
      </w:r>
      <w:r>
        <w:rPr>
          <w:rFonts w:ascii="Times New Roman" w:hAnsi="Times New Roman"/>
          <w:color w:val="000000" w:themeColor="text1"/>
          <w:sz w:val="24"/>
          <w:szCs w:val="24"/>
        </w:rPr>
        <w:t>“</w:t>
      </w:r>
      <w:r w:rsidRPr="00052ACF">
        <w:rPr>
          <w:rFonts w:ascii="Times New Roman" w:hAnsi="Times New Roman"/>
          <w:color w:val="000000" w:themeColor="text1"/>
          <w:sz w:val="24"/>
          <w:szCs w:val="24"/>
        </w:rPr>
        <w:t>ESG activities and bank efficiency: are Islamic banks better?</w:t>
      </w:r>
      <w:r>
        <w:rPr>
          <w:rFonts w:ascii="Times New Roman" w:hAnsi="Times New Roman"/>
          <w:color w:val="000000" w:themeColor="text1"/>
          <w:sz w:val="24"/>
          <w:szCs w:val="24"/>
        </w:rPr>
        <w:t xml:space="preserve">”, </w:t>
      </w:r>
      <w:r w:rsidRPr="00052ACF">
        <w:rPr>
          <w:rFonts w:ascii="Times New Roman" w:hAnsi="Times New Roman"/>
          <w:color w:val="000000" w:themeColor="text1"/>
          <w:sz w:val="24"/>
          <w:szCs w:val="24"/>
        </w:rPr>
        <w:t>65-88.</w:t>
      </w:r>
    </w:p>
    <w:p w:rsidR="00D70B3E" w:rsidRPr="00052ACF" w:rsidRDefault="00D70B3E" w:rsidP="00D70B3E">
      <w:pPr>
        <w:pStyle w:val="break-words"/>
        <w:spacing w:before="120" w:beforeAutospacing="0" w:after="0" w:afterAutospacing="0"/>
        <w:ind w:left="426" w:hanging="426"/>
        <w:rPr>
          <w:color w:val="000000" w:themeColor="text1"/>
          <w:lang w:val="vi-VN"/>
        </w:rPr>
      </w:pPr>
      <w:r w:rsidRPr="00052ACF">
        <w:rPr>
          <w:color w:val="000000" w:themeColor="text1"/>
          <w:lang w:val="vi-VN"/>
        </w:rPr>
        <w:t>D</w:t>
      </w:r>
      <w:proofErr w:type="spellStart"/>
      <w:r w:rsidRPr="00052ACF">
        <w:rPr>
          <w:color w:val="000000" w:themeColor="text1"/>
        </w:rPr>
        <w:t>os</w:t>
      </w:r>
      <w:proofErr w:type="spellEnd"/>
      <w:r w:rsidRPr="00052ACF">
        <w:rPr>
          <w:color w:val="000000" w:themeColor="text1"/>
        </w:rPr>
        <w:t xml:space="preserve"> Santos, V. </w:t>
      </w:r>
      <w:proofErr w:type="gramStart"/>
      <w:r w:rsidRPr="00052ACF">
        <w:rPr>
          <w:color w:val="000000" w:themeColor="text1"/>
        </w:rPr>
        <w:t xml:space="preserve">P. &amp; </w:t>
      </w:r>
      <w:proofErr w:type="spellStart"/>
      <w:r w:rsidRPr="00052ACF">
        <w:rPr>
          <w:color w:val="000000" w:themeColor="text1"/>
        </w:rPr>
        <w:t>Jucá</w:t>
      </w:r>
      <w:proofErr w:type="spellEnd"/>
      <w:r w:rsidRPr="00052ACF">
        <w:rPr>
          <w:color w:val="000000" w:themeColor="text1"/>
        </w:rPr>
        <w:t>, M. N. (2024)</w:t>
      </w:r>
      <w:r>
        <w:rPr>
          <w:color w:val="000000" w:themeColor="text1"/>
        </w:rPr>
        <w:t>,</w:t>
      </w:r>
      <w:r w:rsidRPr="00052ACF">
        <w:rPr>
          <w:color w:val="000000" w:themeColor="text1"/>
        </w:rPr>
        <w:t xml:space="preserve"> </w:t>
      </w:r>
      <w:r>
        <w:rPr>
          <w:color w:val="000000" w:themeColor="text1"/>
        </w:rPr>
        <w:t>“</w:t>
      </w:r>
      <w:r w:rsidRPr="00052ACF">
        <w:rPr>
          <w:color w:val="000000" w:themeColor="text1"/>
        </w:rPr>
        <w:t>The Impact of Sustainable Practices on Creating Value for Banks in Emerging Countries</w:t>
      </w:r>
      <w:r>
        <w:rPr>
          <w:color w:val="000000" w:themeColor="text1"/>
        </w:rPr>
        <w:t>”,</w:t>
      </w:r>
      <w:r w:rsidRPr="00052ACF">
        <w:rPr>
          <w:color w:val="000000" w:themeColor="text1"/>
        </w:rPr>
        <w:t> </w:t>
      </w:r>
      <w:proofErr w:type="spellStart"/>
      <w:r w:rsidRPr="00052ACF">
        <w:rPr>
          <w:i/>
          <w:iCs/>
          <w:color w:val="000000" w:themeColor="text1"/>
        </w:rPr>
        <w:t>Revista</w:t>
      </w:r>
      <w:proofErr w:type="spellEnd"/>
      <w:r w:rsidRPr="00052ACF">
        <w:rPr>
          <w:i/>
          <w:iCs/>
          <w:color w:val="000000" w:themeColor="text1"/>
        </w:rPr>
        <w:t xml:space="preserve"> de </w:t>
      </w:r>
      <w:proofErr w:type="spellStart"/>
      <w:r w:rsidRPr="00052ACF">
        <w:rPr>
          <w:i/>
          <w:iCs/>
          <w:color w:val="000000" w:themeColor="text1"/>
        </w:rPr>
        <w:t>Gestão</w:t>
      </w:r>
      <w:proofErr w:type="spellEnd"/>
      <w:r w:rsidRPr="00052ACF">
        <w:rPr>
          <w:i/>
          <w:iCs/>
          <w:color w:val="000000" w:themeColor="text1"/>
        </w:rPr>
        <w:t xml:space="preserve"> Social e </w:t>
      </w:r>
      <w:proofErr w:type="spellStart"/>
      <w:r w:rsidRPr="00052ACF">
        <w:rPr>
          <w:i/>
          <w:iCs/>
          <w:color w:val="000000" w:themeColor="text1"/>
        </w:rPr>
        <w:t>Ambiental</w:t>
      </w:r>
      <w:proofErr w:type="spellEnd"/>
      <w:r w:rsidRPr="00052ACF">
        <w:rPr>
          <w:color w:val="000000" w:themeColor="text1"/>
        </w:rPr>
        <w:t>, </w:t>
      </w:r>
      <w:r w:rsidRPr="00052ACF">
        <w:rPr>
          <w:i/>
          <w:iCs/>
          <w:color w:val="000000" w:themeColor="text1"/>
        </w:rPr>
        <w:t>18</w:t>
      </w:r>
      <w:r w:rsidRPr="00052ACF">
        <w:rPr>
          <w:color w:val="000000" w:themeColor="text1"/>
        </w:rPr>
        <w:t>(4), 1-16.</w:t>
      </w:r>
      <w:proofErr w:type="gramEnd"/>
    </w:p>
    <w:p w:rsidR="00D70B3E" w:rsidRPr="00052ACF" w:rsidRDefault="00D70B3E" w:rsidP="00D70B3E">
      <w:pPr>
        <w:pStyle w:val="EndNoteBibliography"/>
        <w:spacing w:before="120" w:after="0"/>
        <w:ind w:left="720" w:hanging="720"/>
        <w:rPr>
          <w:rFonts w:ascii="Times New Roman" w:hAnsi="Times New Roman"/>
          <w:color w:val="000000" w:themeColor="text1"/>
          <w:sz w:val="24"/>
          <w:szCs w:val="24"/>
          <w:lang w:val="vi-VN"/>
        </w:rPr>
      </w:pPr>
      <w:r w:rsidRPr="00052ACF">
        <w:rPr>
          <w:rFonts w:ascii="Times New Roman" w:hAnsi="Times New Roman"/>
          <w:color w:val="000000" w:themeColor="text1"/>
          <w:sz w:val="24"/>
          <w:szCs w:val="24"/>
        </w:rPr>
        <w:t>Ferreira, M. L. &amp; JucÃ, M. N. (2025)</w:t>
      </w:r>
      <w:r>
        <w:rPr>
          <w:rFonts w:ascii="Times New Roman" w:hAnsi="Times New Roman"/>
          <w:color w:val="000000" w:themeColor="text1"/>
          <w:sz w:val="24"/>
          <w:szCs w:val="24"/>
        </w:rPr>
        <w:t>,</w:t>
      </w:r>
      <w:r w:rsidRPr="00052ACF">
        <w:rPr>
          <w:rFonts w:ascii="Times New Roman" w:hAnsi="Times New Roman"/>
          <w:color w:val="000000" w:themeColor="text1"/>
          <w:sz w:val="24"/>
          <w:szCs w:val="24"/>
        </w:rPr>
        <w:t xml:space="preserve"> </w:t>
      </w:r>
      <w:r>
        <w:rPr>
          <w:rFonts w:ascii="Times New Roman" w:hAnsi="Times New Roman"/>
          <w:color w:val="000000" w:themeColor="text1"/>
          <w:sz w:val="24"/>
          <w:szCs w:val="24"/>
        </w:rPr>
        <w:t>“</w:t>
      </w:r>
      <w:r w:rsidRPr="00052ACF">
        <w:rPr>
          <w:rFonts w:ascii="Times New Roman" w:hAnsi="Times New Roman"/>
          <w:color w:val="000000" w:themeColor="text1"/>
          <w:sz w:val="24"/>
          <w:szCs w:val="24"/>
        </w:rPr>
        <w:t>The Impact of Sustainable Practices on Bank Returns</w:t>
      </w:r>
      <w:r>
        <w:rPr>
          <w:rFonts w:ascii="Times New Roman" w:hAnsi="Times New Roman"/>
          <w:color w:val="000000" w:themeColor="text1"/>
          <w:sz w:val="24"/>
          <w:szCs w:val="24"/>
        </w:rPr>
        <w:t>”,</w:t>
      </w:r>
      <w:r w:rsidRPr="00052ACF">
        <w:rPr>
          <w:rFonts w:ascii="Times New Roman" w:hAnsi="Times New Roman"/>
          <w:color w:val="000000" w:themeColor="text1"/>
          <w:sz w:val="24"/>
          <w:szCs w:val="24"/>
        </w:rPr>
        <w:t> </w:t>
      </w:r>
      <w:r w:rsidRPr="00052ACF">
        <w:rPr>
          <w:rFonts w:ascii="Times New Roman" w:hAnsi="Times New Roman"/>
          <w:i/>
          <w:iCs/>
          <w:color w:val="000000" w:themeColor="text1"/>
          <w:sz w:val="24"/>
          <w:szCs w:val="24"/>
        </w:rPr>
        <w:t>Journal of Applied Finance &amp; Banking</w:t>
      </w:r>
      <w:r w:rsidRPr="00052ACF">
        <w:rPr>
          <w:rFonts w:ascii="Times New Roman" w:hAnsi="Times New Roman"/>
          <w:color w:val="000000" w:themeColor="text1"/>
          <w:sz w:val="24"/>
          <w:szCs w:val="24"/>
        </w:rPr>
        <w:t>, </w:t>
      </w:r>
      <w:r w:rsidRPr="00052ACF">
        <w:rPr>
          <w:rFonts w:ascii="Times New Roman" w:hAnsi="Times New Roman"/>
          <w:i/>
          <w:iCs/>
          <w:color w:val="000000" w:themeColor="text1"/>
          <w:sz w:val="24"/>
          <w:szCs w:val="24"/>
        </w:rPr>
        <w:t>15</w:t>
      </w:r>
      <w:r w:rsidRPr="00052ACF">
        <w:rPr>
          <w:rFonts w:ascii="Times New Roman" w:hAnsi="Times New Roman"/>
          <w:color w:val="000000" w:themeColor="text1"/>
          <w:sz w:val="24"/>
          <w:szCs w:val="24"/>
        </w:rPr>
        <w:t>(1), 1-23.</w:t>
      </w:r>
    </w:p>
    <w:p w:rsidR="00D70B3E" w:rsidRPr="00052ACF" w:rsidRDefault="00D70B3E" w:rsidP="00D70B3E">
      <w:pPr>
        <w:pStyle w:val="EndNoteBibliography"/>
        <w:spacing w:before="120" w:after="0"/>
        <w:ind w:left="720" w:hanging="720"/>
        <w:rPr>
          <w:rFonts w:ascii="Times New Roman" w:hAnsi="Times New Roman"/>
          <w:color w:val="000000" w:themeColor="text1"/>
          <w:sz w:val="24"/>
          <w:szCs w:val="24"/>
          <w:lang w:val="vi-VN"/>
        </w:rPr>
      </w:pPr>
      <w:r w:rsidRPr="00052ACF">
        <w:rPr>
          <w:rFonts w:ascii="Times New Roman" w:hAnsi="Times New Roman"/>
          <w:color w:val="000000" w:themeColor="text1"/>
          <w:sz w:val="24"/>
          <w:szCs w:val="24"/>
        </w:rPr>
        <w:t>Ing, L. Y. &amp; Markus, I. (2024)</w:t>
      </w:r>
      <w:r>
        <w:rPr>
          <w:rFonts w:ascii="Times New Roman" w:hAnsi="Times New Roman"/>
          <w:color w:val="000000" w:themeColor="text1"/>
          <w:sz w:val="24"/>
          <w:szCs w:val="24"/>
        </w:rPr>
        <w:t>,</w:t>
      </w:r>
      <w:r w:rsidRPr="00052ACF">
        <w:rPr>
          <w:rFonts w:ascii="Times New Roman" w:hAnsi="Times New Roman"/>
          <w:color w:val="000000" w:themeColor="text1"/>
          <w:sz w:val="24"/>
          <w:szCs w:val="24"/>
        </w:rPr>
        <w:t xml:space="preserve"> </w:t>
      </w:r>
      <w:r>
        <w:rPr>
          <w:rFonts w:ascii="Times New Roman" w:hAnsi="Times New Roman"/>
          <w:color w:val="000000" w:themeColor="text1"/>
          <w:sz w:val="24"/>
          <w:szCs w:val="24"/>
        </w:rPr>
        <w:t>“</w:t>
      </w:r>
      <w:r w:rsidRPr="00052ACF">
        <w:rPr>
          <w:rFonts w:ascii="Times New Roman" w:hAnsi="Times New Roman"/>
          <w:color w:val="000000" w:themeColor="text1"/>
          <w:sz w:val="24"/>
          <w:szCs w:val="24"/>
        </w:rPr>
        <w:t>ASEAN in the Global Economy</w:t>
      </w:r>
      <w:r>
        <w:rPr>
          <w:rFonts w:ascii="Times New Roman" w:hAnsi="Times New Roman"/>
          <w:color w:val="000000" w:themeColor="text1"/>
          <w:sz w:val="24"/>
          <w:szCs w:val="24"/>
        </w:rPr>
        <w:t>”</w:t>
      </w:r>
      <w:r w:rsidRPr="00052ACF">
        <w:rPr>
          <w:rFonts w:ascii="Times New Roman" w:hAnsi="Times New Roman"/>
          <w:color w:val="000000" w:themeColor="text1"/>
          <w:sz w:val="24"/>
          <w:szCs w:val="24"/>
        </w:rPr>
        <w:t> </w:t>
      </w:r>
      <w:r w:rsidRPr="00052ACF">
        <w:rPr>
          <w:rFonts w:ascii="Times New Roman" w:hAnsi="Times New Roman"/>
          <w:i/>
          <w:iCs/>
          <w:color w:val="000000" w:themeColor="text1"/>
          <w:sz w:val="24"/>
          <w:szCs w:val="24"/>
        </w:rPr>
        <w:t>Transforming ASEAN: Strategies for Achieving Inclusive</w:t>
      </w:r>
      <w:r w:rsidRPr="00052ACF">
        <w:rPr>
          <w:rFonts w:ascii="Times New Roman" w:hAnsi="Times New Roman"/>
          <w:color w:val="000000" w:themeColor="text1"/>
          <w:sz w:val="24"/>
          <w:szCs w:val="24"/>
        </w:rPr>
        <w:t>.</w:t>
      </w:r>
    </w:p>
    <w:p w:rsidR="00D70B3E" w:rsidRPr="00052ACF" w:rsidRDefault="00D70B3E" w:rsidP="00D70B3E">
      <w:pPr>
        <w:pStyle w:val="EndNoteBibliography"/>
        <w:spacing w:before="120" w:after="0"/>
        <w:ind w:left="720" w:hanging="720"/>
        <w:rPr>
          <w:rFonts w:ascii="Times New Roman" w:hAnsi="Times New Roman"/>
          <w:color w:val="000000" w:themeColor="text1"/>
          <w:sz w:val="24"/>
          <w:szCs w:val="24"/>
          <w:lang w:val="vi-VN"/>
        </w:rPr>
      </w:pPr>
      <w:r w:rsidRPr="00052ACF">
        <w:rPr>
          <w:rFonts w:ascii="Times New Roman" w:hAnsi="Times New Roman"/>
          <w:color w:val="000000" w:themeColor="text1"/>
          <w:sz w:val="24"/>
          <w:szCs w:val="24"/>
        </w:rPr>
        <w:t>Majeed, M. T. (2018)</w:t>
      </w:r>
      <w:r>
        <w:rPr>
          <w:rFonts w:ascii="Times New Roman" w:hAnsi="Times New Roman"/>
          <w:color w:val="000000" w:themeColor="text1"/>
          <w:sz w:val="24"/>
          <w:szCs w:val="24"/>
        </w:rPr>
        <w:t>,</w:t>
      </w:r>
      <w:r w:rsidRPr="00052ACF">
        <w:rPr>
          <w:rFonts w:ascii="Times New Roman" w:hAnsi="Times New Roman"/>
          <w:color w:val="000000" w:themeColor="text1"/>
          <w:sz w:val="24"/>
          <w:szCs w:val="24"/>
        </w:rPr>
        <w:t xml:space="preserve"> </w:t>
      </w:r>
      <w:r>
        <w:rPr>
          <w:rFonts w:ascii="Times New Roman" w:hAnsi="Times New Roman"/>
          <w:color w:val="000000" w:themeColor="text1"/>
          <w:sz w:val="24"/>
          <w:szCs w:val="24"/>
        </w:rPr>
        <w:t>“</w:t>
      </w:r>
      <w:r w:rsidRPr="00052ACF">
        <w:rPr>
          <w:rFonts w:ascii="Times New Roman" w:hAnsi="Times New Roman"/>
          <w:color w:val="000000" w:themeColor="text1"/>
          <w:sz w:val="24"/>
          <w:szCs w:val="24"/>
        </w:rPr>
        <w:t>Information and communication technology (ICT) and environmental sustainability in developed and developing countries</w:t>
      </w:r>
      <w:r>
        <w:rPr>
          <w:rFonts w:ascii="Times New Roman" w:hAnsi="Times New Roman"/>
          <w:color w:val="000000" w:themeColor="text1"/>
          <w:sz w:val="24"/>
          <w:szCs w:val="24"/>
        </w:rPr>
        <w:t>”,</w:t>
      </w:r>
      <w:r w:rsidRPr="00052ACF">
        <w:rPr>
          <w:rFonts w:ascii="Times New Roman" w:hAnsi="Times New Roman"/>
          <w:color w:val="000000" w:themeColor="text1"/>
          <w:sz w:val="24"/>
          <w:szCs w:val="24"/>
        </w:rPr>
        <w:t> </w:t>
      </w:r>
      <w:r w:rsidRPr="00052ACF">
        <w:rPr>
          <w:rFonts w:ascii="Times New Roman" w:hAnsi="Times New Roman"/>
          <w:i/>
          <w:iCs/>
          <w:color w:val="000000" w:themeColor="text1"/>
          <w:sz w:val="24"/>
          <w:szCs w:val="24"/>
        </w:rPr>
        <w:t>Pakistan Journal of Commerce and Social Sciences</w:t>
      </w:r>
      <w:r w:rsidRPr="00052ACF">
        <w:rPr>
          <w:rFonts w:ascii="Times New Roman" w:hAnsi="Times New Roman"/>
          <w:color w:val="000000" w:themeColor="text1"/>
          <w:sz w:val="24"/>
          <w:szCs w:val="24"/>
        </w:rPr>
        <w:t>, </w:t>
      </w:r>
      <w:r w:rsidRPr="00052ACF">
        <w:rPr>
          <w:rFonts w:ascii="Times New Roman" w:hAnsi="Times New Roman"/>
          <w:i/>
          <w:iCs/>
          <w:color w:val="000000" w:themeColor="text1"/>
          <w:sz w:val="24"/>
          <w:szCs w:val="24"/>
        </w:rPr>
        <w:t>12</w:t>
      </w:r>
      <w:r w:rsidRPr="00052ACF">
        <w:rPr>
          <w:rFonts w:ascii="Times New Roman" w:hAnsi="Times New Roman"/>
          <w:color w:val="000000" w:themeColor="text1"/>
          <w:sz w:val="24"/>
          <w:szCs w:val="24"/>
        </w:rPr>
        <w:t>(3), 758-783.</w:t>
      </w:r>
    </w:p>
    <w:p w:rsidR="00D70B3E" w:rsidRPr="00052ACF" w:rsidRDefault="00D70B3E" w:rsidP="00D70B3E">
      <w:pPr>
        <w:pStyle w:val="EndNoteBibliography"/>
        <w:spacing w:before="120" w:after="0"/>
        <w:ind w:left="720" w:hanging="720"/>
        <w:rPr>
          <w:rFonts w:ascii="Times New Roman" w:hAnsi="Times New Roman"/>
          <w:color w:val="000000" w:themeColor="text1"/>
          <w:sz w:val="24"/>
          <w:szCs w:val="24"/>
          <w:lang w:val="vi-VN"/>
        </w:rPr>
      </w:pPr>
      <w:r w:rsidRPr="00052ACF">
        <w:rPr>
          <w:rFonts w:ascii="Times New Roman" w:hAnsi="Times New Roman"/>
          <w:color w:val="000000" w:themeColor="text1"/>
          <w:sz w:val="24"/>
          <w:szCs w:val="24"/>
        </w:rPr>
        <w:t>Majeed, M. T. &amp; Malik, A. (2016)</w:t>
      </w:r>
      <w:r>
        <w:rPr>
          <w:rFonts w:ascii="Times New Roman" w:hAnsi="Times New Roman"/>
          <w:color w:val="000000" w:themeColor="text1"/>
          <w:sz w:val="24"/>
          <w:szCs w:val="24"/>
        </w:rPr>
        <w:t>,</w:t>
      </w:r>
      <w:r w:rsidRPr="00052ACF">
        <w:rPr>
          <w:rFonts w:ascii="Times New Roman" w:hAnsi="Times New Roman"/>
          <w:color w:val="000000" w:themeColor="text1"/>
          <w:sz w:val="24"/>
          <w:szCs w:val="24"/>
        </w:rPr>
        <w:t xml:space="preserve"> </w:t>
      </w:r>
      <w:r>
        <w:rPr>
          <w:rFonts w:ascii="Times New Roman" w:hAnsi="Times New Roman"/>
          <w:color w:val="000000" w:themeColor="text1"/>
          <w:sz w:val="24"/>
          <w:szCs w:val="24"/>
        </w:rPr>
        <w:t>“</w:t>
      </w:r>
      <w:r w:rsidRPr="00052ACF">
        <w:rPr>
          <w:rFonts w:ascii="Times New Roman" w:hAnsi="Times New Roman"/>
          <w:color w:val="000000" w:themeColor="text1"/>
          <w:sz w:val="24"/>
          <w:szCs w:val="24"/>
        </w:rPr>
        <w:t>E-government, financial development and economic growth</w:t>
      </w:r>
      <w:r>
        <w:rPr>
          <w:rFonts w:ascii="Times New Roman" w:hAnsi="Times New Roman"/>
          <w:color w:val="000000" w:themeColor="text1"/>
          <w:sz w:val="24"/>
          <w:szCs w:val="24"/>
        </w:rPr>
        <w:t>”,</w:t>
      </w:r>
      <w:r w:rsidRPr="00052ACF">
        <w:rPr>
          <w:rFonts w:ascii="Times New Roman" w:hAnsi="Times New Roman"/>
          <w:color w:val="000000" w:themeColor="text1"/>
          <w:sz w:val="24"/>
          <w:szCs w:val="24"/>
        </w:rPr>
        <w:t> </w:t>
      </w:r>
      <w:r w:rsidRPr="00052ACF">
        <w:rPr>
          <w:rFonts w:ascii="Times New Roman" w:hAnsi="Times New Roman"/>
          <w:i/>
          <w:iCs/>
          <w:color w:val="000000" w:themeColor="text1"/>
          <w:sz w:val="24"/>
          <w:szCs w:val="24"/>
        </w:rPr>
        <w:t>Pakistan Journal of Applied Economics</w:t>
      </w:r>
      <w:r w:rsidRPr="00052ACF">
        <w:rPr>
          <w:rFonts w:ascii="Times New Roman" w:hAnsi="Times New Roman"/>
          <w:color w:val="000000" w:themeColor="text1"/>
          <w:sz w:val="24"/>
          <w:szCs w:val="24"/>
        </w:rPr>
        <w:t>, </w:t>
      </w:r>
      <w:r w:rsidRPr="00052ACF">
        <w:rPr>
          <w:rFonts w:ascii="Times New Roman" w:hAnsi="Times New Roman"/>
          <w:i/>
          <w:iCs/>
          <w:color w:val="000000" w:themeColor="text1"/>
          <w:sz w:val="24"/>
          <w:szCs w:val="24"/>
        </w:rPr>
        <w:t>26</w:t>
      </w:r>
      <w:r w:rsidRPr="00052ACF">
        <w:rPr>
          <w:rFonts w:ascii="Times New Roman" w:hAnsi="Times New Roman"/>
          <w:color w:val="000000" w:themeColor="text1"/>
          <w:sz w:val="24"/>
          <w:szCs w:val="24"/>
        </w:rPr>
        <w:t>(2), 107-128.</w:t>
      </w:r>
    </w:p>
    <w:p w:rsidR="00EE6217" w:rsidRPr="00AF06EE" w:rsidRDefault="00D70B3E" w:rsidP="00AF06EE">
      <w:pPr>
        <w:pStyle w:val="EndNoteBibliography"/>
        <w:spacing w:before="120" w:after="0"/>
        <w:ind w:left="720" w:hanging="720"/>
        <w:rPr>
          <w:rFonts w:ascii="Times New Roman" w:hAnsi="Times New Roman"/>
          <w:color w:val="000000" w:themeColor="text1"/>
          <w:sz w:val="24"/>
          <w:szCs w:val="24"/>
          <w:lang w:val="vi-VN"/>
        </w:rPr>
      </w:pPr>
      <w:r w:rsidRPr="00052ACF">
        <w:rPr>
          <w:rFonts w:ascii="Times New Roman" w:hAnsi="Times New Roman"/>
          <w:color w:val="000000" w:themeColor="text1"/>
          <w:sz w:val="24"/>
          <w:szCs w:val="24"/>
        </w:rPr>
        <w:t>Tran, H. S., Nguyen, T. D. &amp; Nguyen, T. L. (2023)</w:t>
      </w:r>
      <w:r>
        <w:rPr>
          <w:rFonts w:ascii="Times New Roman" w:hAnsi="Times New Roman"/>
          <w:color w:val="000000" w:themeColor="text1"/>
          <w:sz w:val="24"/>
          <w:szCs w:val="24"/>
        </w:rPr>
        <w:t>,</w:t>
      </w:r>
      <w:r w:rsidRPr="00052ACF">
        <w:rPr>
          <w:rFonts w:ascii="Times New Roman" w:hAnsi="Times New Roman"/>
          <w:color w:val="000000" w:themeColor="text1"/>
          <w:sz w:val="24"/>
          <w:szCs w:val="24"/>
        </w:rPr>
        <w:t xml:space="preserve"> </w:t>
      </w:r>
      <w:r>
        <w:rPr>
          <w:rFonts w:ascii="Times New Roman" w:hAnsi="Times New Roman"/>
          <w:color w:val="000000" w:themeColor="text1"/>
          <w:sz w:val="24"/>
          <w:szCs w:val="24"/>
        </w:rPr>
        <w:t>“</w:t>
      </w:r>
      <w:r w:rsidRPr="00052ACF">
        <w:rPr>
          <w:rFonts w:ascii="Times New Roman" w:hAnsi="Times New Roman"/>
          <w:color w:val="000000" w:themeColor="text1"/>
          <w:sz w:val="24"/>
          <w:szCs w:val="24"/>
        </w:rPr>
        <w:t>Market structure, institutional quality and bank stability: evidence from emerging and developing countries</w:t>
      </w:r>
      <w:r>
        <w:rPr>
          <w:rFonts w:ascii="Times New Roman" w:hAnsi="Times New Roman"/>
          <w:color w:val="000000" w:themeColor="text1"/>
          <w:sz w:val="24"/>
          <w:szCs w:val="24"/>
        </w:rPr>
        <w:t>”,</w:t>
      </w:r>
      <w:r w:rsidRPr="00052ACF">
        <w:rPr>
          <w:rFonts w:ascii="Times New Roman" w:hAnsi="Times New Roman"/>
          <w:color w:val="000000" w:themeColor="text1"/>
          <w:sz w:val="24"/>
          <w:szCs w:val="24"/>
        </w:rPr>
        <w:t> </w:t>
      </w:r>
      <w:r w:rsidRPr="00052ACF">
        <w:rPr>
          <w:rFonts w:ascii="Times New Roman" w:hAnsi="Times New Roman"/>
          <w:i/>
          <w:iCs/>
          <w:color w:val="000000" w:themeColor="text1"/>
          <w:sz w:val="24"/>
          <w:szCs w:val="24"/>
        </w:rPr>
        <w:t>Competitiveness Review: An International Business Journal</w:t>
      </w:r>
      <w:r w:rsidRPr="00052ACF">
        <w:rPr>
          <w:rFonts w:ascii="Times New Roman" w:hAnsi="Times New Roman"/>
          <w:color w:val="000000" w:themeColor="text1"/>
          <w:sz w:val="24"/>
          <w:szCs w:val="24"/>
        </w:rPr>
        <w:t>, </w:t>
      </w:r>
      <w:r w:rsidRPr="00052ACF">
        <w:rPr>
          <w:rFonts w:ascii="Times New Roman" w:hAnsi="Times New Roman"/>
          <w:i/>
          <w:iCs/>
          <w:color w:val="000000" w:themeColor="text1"/>
          <w:sz w:val="24"/>
          <w:szCs w:val="24"/>
        </w:rPr>
        <w:t>33</w:t>
      </w:r>
      <w:r w:rsidRPr="00052ACF">
        <w:rPr>
          <w:rFonts w:ascii="Times New Roman" w:hAnsi="Times New Roman"/>
          <w:color w:val="000000" w:themeColor="text1"/>
          <w:sz w:val="24"/>
          <w:szCs w:val="24"/>
        </w:rPr>
        <w:t xml:space="preserve">(6), 1046-1068. </w:t>
      </w:r>
      <w:bookmarkStart w:id="0" w:name="_GoBack"/>
      <w:bookmarkEnd w:id="0"/>
    </w:p>
    <w:sectPr w:rsidR="00EE6217" w:rsidRPr="00AF06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B3E"/>
    <w:rsid w:val="002C5443"/>
    <w:rsid w:val="00AF06EE"/>
    <w:rsid w:val="00C40B50"/>
    <w:rsid w:val="00D70B3E"/>
    <w:rsid w:val="00EE6217"/>
    <w:rsid w:val="00F42B8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
    <w:name w:val="EndNote Bibliography"/>
    <w:basedOn w:val="Normal"/>
    <w:link w:val="EndNoteBibliographyChar"/>
    <w:rsid w:val="00D70B3E"/>
    <w:pPr>
      <w:spacing w:after="160" w:line="240" w:lineRule="auto"/>
      <w:jc w:val="both"/>
    </w:pPr>
    <w:rPr>
      <w:rFonts w:ascii="Calibri" w:eastAsia="Times New Roman" w:hAnsi="Calibri" w:cs="Times New Roman"/>
      <w:noProof/>
      <w:lang w:val="en-US"/>
    </w:rPr>
  </w:style>
  <w:style w:type="character" w:customStyle="1" w:styleId="EndNoteBibliographyChar">
    <w:name w:val="EndNote Bibliography Char"/>
    <w:basedOn w:val="DefaultParagraphFont"/>
    <w:link w:val="EndNoteBibliography"/>
    <w:rsid w:val="00D70B3E"/>
    <w:rPr>
      <w:rFonts w:ascii="Calibri" w:eastAsia="Times New Roman" w:hAnsi="Calibri" w:cs="Times New Roman"/>
      <w:noProof/>
      <w:lang w:val="en-US"/>
    </w:rPr>
  </w:style>
  <w:style w:type="paragraph" w:customStyle="1" w:styleId="break-words">
    <w:name w:val="break-words"/>
    <w:basedOn w:val="Normal"/>
    <w:rsid w:val="00D70B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D70B3E"/>
    <w:rPr>
      <w:sz w:val="16"/>
      <w:szCs w:val="16"/>
    </w:rPr>
  </w:style>
  <w:style w:type="paragraph" w:styleId="CommentText">
    <w:name w:val="annotation text"/>
    <w:basedOn w:val="Normal"/>
    <w:link w:val="CommentTextChar"/>
    <w:uiPriority w:val="99"/>
    <w:unhideWhenUsed/>
    <w:rsid w:val="00D70B3E"/>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D70B3E"/>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2C54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5443"/>
    <w:rPr>
      <w:rFonts w:ascii="Tahoma" w:hAnsi="Tahoma" w:cs="Tahoma"/>
      <w:sz w:val="16"/>
      <w:szCs w:val="16"/>
    </w:rPr>
  </w:style>
  <w:style w:type="table" w:styleId="TableGrid">
    <w:name w:val="Table Grid"/>
    <w:basedOn w:val="TableNormal"/>
    <w:uiPriority w:val="39"/>
    <w:rsid w:val="00F42B89"/>
    <w:pPr>
      <w:spacing w:after="0" w:line="240" w:lineRule="auto"/>
    </w:pPr>
    <w:rPr>
      <w:rFonts w:ascii="Arial" w:eastAsia="Arial" w:hAnsi="Arial" w:cs="Arial"/>
      <w:lang w:val="vi"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
    <w:name w:val="EndNote Bibliography"/>
    <w:basedOn w:val="Normal"/>
    <w:link w:val="EndNoteBibliographyChar"/>
    <w:rsid w:val="00D70B3E"/>
    <w:pPr>
      <w:spacing w:after="160" w:line="240" w:lineRule="auto"/>
      <w:jc w:val="both"/>
    </w:pPr>
    <w:rPr>
      <w:rFonts w:ascii="Calibri" w:eastAsia="Times New Roman" w:hAnsi="Calibri" w:cs="Times New Roman"/>
      <w:noProof/>
      <w:lang w:val="en-US"/>
    </w:rPr>
  </w:style>
  <w:style w:type="character" w:customStyle="1" w:styleId="EndNoteBibliographyChar">
    <w:name w:val="EndNote Bibliography Char"/>
    <w:basedOn w:val="DefaultParagraphFont"/>
    <w:link w:val="EndNoteBibliography"/>
    <w:rsid w:val="00D70B3E"/>
    <w:rPr>
      <w:rFonts w:ascii="Calibri" w:eastAsia="Times New Roman" w:hAnsi="Calibri" w:cs="Times New Roman"/>
      <w:noProof/>
      <w:lang w:val="en-US"/>
    </w:rPr>
  </w:style>
  <w:style w:type="paragraph" w:customStyle="1" w:styleId="break-words">
    <w:name w:val="break-words"/>
    <w:basedOn w:val="Normal"/>
    <w:rsid w:val="00D70B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D70B3E"/>
    <w:rPr>
      <w:sz w:val="16"/>
      <w:szCs w:val="16"/>
    </w:rPr>
  </w:style>
  <w:style w:type="paragraph" w:styleId="CommentText">
    <w:name w:val="annotation text"/>
    <w:basedOn w:val="Normal"/>
    <w:link w:val="CommentTextChar"/>
    <w:uiPriority w:val="99"/>
    <w:unhideWhenUsed/>
    <w:rsid w:val="00D70B3E"/>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D70B3E"/>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2C54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5443"/>
    <w:rPr>
      <w:rFonts w:ascii="Tahoma" w:hAnsi="Tahoma" w:cs="Tahoma"/>
      <w:sz w:val="16"/>
      <w:szCs w:val="16"/>
    </w:rPr>
  </w:style>
  <w:style w:type="table" w:styleId="TableGrid">
    <w:name w:val="Table Grid"/>
    <w:basedOn w:val="TableNormal"/>
    <w:uiPriority w:val="39"/>
    <w:rsid w:val="00F42B89"/>
    <w:pPr>
      <w:spacing w:after="0" w:line="240" w:lineRule="auto"/>
    </w:pPr>
    <w:rPr>
      <w:rFonts w:ascii="Arial" w:eastAsia="Arial" w:hAnsi="Arial" w:cs="Arial"/>
      <w:lang w:val="vi"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1605</Words>
  <Characters>9151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FR537_ME</dc:creator>
  <cp:lastModifiedBy>16470</cp:lastModifiedBy>
  <cp:revision>2</cp:revision>
  <dcterms:created xsi:type="dcterms:W3CDTF">2025-08-20T06:55:00Z</dcterms:created>
  <dcterms:modified xsi:type="dcterms:W3CDTF">2025-08-20T06:55:00Z</dcterms:modified>
</cp:coreProperties>
</file>