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F44" w:rsidRDefault="00544F44" w:rsidP="00544F44">
      <w:pPr>
        <w:spacing w:line="240" w:lineRule="auto"/>
        <w:rPr>
          <w:b/>
          <w:bCs/>
        </w:rPr>
      </w:pPr>
      <w:r w:rsidRPr="00AF3035">
        <w:rPr>
          <w:b/>
          <w:bCs/>
        </w:rPr>
        <w:t>Annexure A. Variable definitions and data sources</w:t>
      </w: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1425"/>
        <w:gridCol w:w="3199"/>
        <w:gridCol w:w="950"/>
        <w:gridCol w:w="2831"/>
        <w:gridCol w:w="1310"/>
      </w:tblGrid>
      <w:tr w:rsidR="00544F44" w:rsidTr="00206908">
        <w:tc>
          <w:tcPr>
            <w:tcW w:w="1432" w:type="dxa"/>
          </w:tcPr>
          <w:p w:rsidR="00544F44" w:rsidRDefault="00544F44" w:rsidP="00206908">
            <w:pPr>
              <w:spacing w:line="240" w:lineRule="auto"/>
              <w:jc w:val="center"/>
              <w:rPr>
                <w:b/>
                <w:bCs/>
              </w:rPr>
            </w:pPr>
            <w:r w:rsidRPr="008710F5">
              <w:rPr>
                <w:b/>
                <w:bCs/>
              </w:rPr>
              <w:t>Variable</w:t>
            </w:r>
          </w:p>
          <w:p w:rsidR="00544F44" w:rsidRDefault="00544F44" w:rsidP="00206908">
            <w:pPr>
              <w:spacing w:line="240" w:lineRule="auto"/>
              <w:jc w:val="center"/>
              <w:rPr>
                <w:b/>
                <w:bCs/>
              </w:rPr>
            </w:pPr>
            <w:r w:rsidRPr="008710F5">
              <w:rPr>
                <w:b/>
                <w:bCs/>
              </w:rPr>
              <w:t>name</w:t>
            </w:r>
          </w:p>
        </w:tc>
        <w:tc>
          <w:tcPr>
            <w:tcW w:w="3272" w:type="dxa"/>
          </w:tcPr>
          <w:p w:rsidR="00544F44" w:rsidRDefault="00544F44" w:rsidP="00206908">
            <w:pPr>
              <w:spacing w:line="240" w:lineRule="auto"/>
              <w:jc w:val="center"/>
              <w:rPr>
                <w:b/>
                <w:bCs/>
              </w:rPr>
            </w:pPr>
            <w:r w:rsidRPr="008710F5">
              <w:rPr>
                <w:b/>
                <w:bCs/>
              </w:rPr>
              <w:t>Definition (as used in this study)</w:t>
            </w:r>
          </w:p>
        </w:tc>
        <w:tc>
          <w:tcPr>
            <w:tcW w:w="950" w:type="dxa"/>
          </w:tcPr>
          <w:p w:rsidR="00544F44" w:rsidRDefault="00544F44" w:rsidP="00206908">
            <w:pPr>
              <w:spacing w:line="480" w:lineRule="auto"/>
              <w:jc w:val="center"/>
              <w:rPr>
                <w:b/>
                <w:bCs/>
              </w:rPr>
            </w:pPr>
            <w:r w:rsidRPr="00D25ACF">
              <w:rPr>
                <w:b/>
                <w:bCs/>
              </w:rPr>
              <w:t>Unit</w:t>
            </w:r>
          </w:p>
        </w:tc>
        <w:tc>
          <w:tcPr>
            <w:tcW w:w="2891" w:type="dxa"/>
          </w:tcPr>
          <w:p w:rsidR="00544F44" w:rsidRDefault="00544F44" w:rsidP="00206908">
            <w:pPr>
              <w:spacing w:line="480" w:lineRule="auto"/>
              <w:jc w:val="center"/>
              <w:rPr>
                <w:b/>
                <w:bCs/>
              </w:rPr>
            </w:pPr>
            <w:r w:rsidRPr="00D25ACF">
              <w:rPr>
                <w:b/>
                <w:bCs/>
              </w:rPr>
              <w:t>Source</w:t>
            </w:r>
          </w:p>
        </w:tc>
        <w:tc>
          <w:tcPr>
            <w:tcW w:w="1170" w:type="dxa"/>
          </w:tcPr>
          <w:p w:rsidR="00544F44" w:rsidRDefault="00544F44" w:rsidP="00206908">
            <w:pPr>
              <w:spacing w:line="240" w:lineRule="auto"/>
              <w:jc w:val="center"/>
              <w:rPr>
                <w:b/>
                <w:bCs/>
              </w:rPr>
            </w:pPr>
            <w:r w:rsidRPr="00D25ACF">
              <w:rPr>
                <w:b/>
                <w:bCs/>
              </w:rPr>
              <w:t xml:space="preserve">Expected sign </w:t>
            </w:r>
            <w:r w:rsidRPr="00D25ACF">
              <w:t>(</w:t>
            </w:r>
            <w:r w:rsidRPr="00AF3035">
              <w:rPr>
                <w:i/>
                <w:iCs/>
              </w:rPr>
              <w:t>if applicable)</w:t>
            </w:r>
          </w:p>
        </w:tc>
      </w:tr>
      <w:tr w:rsidR="00544F44" w:rsidTr="00206908">
        <w:tc>
          <w:tcPr>
            <w:tcW w:w="1432" w:type="dxa"/>
            <w:vAlign w:val="center"/>
          </w:tcPr>
          <w:p w:rsidR="00544F44" w:rsidRPr="00AF3035" w:rsidRDefault="00544F44" w:rsidP="0020690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710F5">
              <w:rPr>
                <w:b/>
                <w:bCs/>
                <w:sz w:val="20"/>
                <w:szCs w:val="20"/>
              </w:rPr>
              <w:t>Gross NPAs</w:t>
            </w:r>
          </w:p>
        </w:tc>
        <w:tc>
          <w:tcPr>
            <w:tcW w:w="3272" w:type="dxa"/>
            <w:vAlign w:val="center"/>
          </w:tcPr>
          <w:p w:rsidR="00544F44" w:rsidRPr="00D25ACF" w:rsidRDefault="00544F44" w:rsidP="0020690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710F5">
              <w:rPr>
                <w:sz w:val="20"/>
                <w:szCs w:val="20"/>
              </w:rPr>
              <w:t xml:space="preserve">Gross non-performing assets for bank group </w:t>
            </w:r>
            <w:proofErr w:type="spellStart"/>
            <w:r w:rsidRPr="008710F5">
              <w:rPr>
                <w:i/>
                <w:iCs/>
                <w:sz w:val="20"/>
                <w:szCs w:val="20"/>
              </w:rPr>
              <w:t>i</w:t>
            </w:r>
            <w:proofErr w:type="spellEnd"/>
            <w:r w:rsidRPr="008710F5">
              <w:rPr>
                <w:sz w:val="20"/>
                <w:szCs w:val="20"/>
              </w:rPr>
              <w:t xml:space="preserve"> in year </w:t>
            </w:r>
            <w:r w:rsidRPr="008710F5">
              <w:rPr>
                <w:i/>
                <w:iCs/>
                <w:sz w:val="20"/>
                <w:szCs w:val="20"/>
              </w:rPr>
              <w:t>t</w:t>
            </w:r>
            <w:r w:rsidRPr="008710F5">
              <w:rPr>
                <w:sz w:val="20"/>
                <w:szCs w:val="20"/>
              </w:rPr>
              <w:t xml:space="preserve"> (level)</w:t>
            </w:r>
          </w:p>
        </w:tc>
        <w:tc>
          <w:tcPr>
            <w:tcW w:w="950" w:type="dxa"/>
            <w:vAlign w:val="center"/>
          </w:tcPr>
          <w:p w:rsidR="00544F44" w:rsidRPr="00D25ACF" w:rsidRDefault="00544F44" w:rsidP="0020690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710F5">
              <w:rPr>
                <w:sz w:val="20"/>
                <w:szCs w:val="20"/>
              </w:rPr>
              <w:t>MINR</w:t>
            </w:r>
          </w:p>
        </w:tc>
        <w:tc>
          <w:tcPr>
            <w:tcW w:w="2891" w:type="dxa"/>
            <w:vAlign w:val="center"/>
          </w:tcPr>
          <w:p w:rsidR="00544F44" w:rsidRPr="00D25ACF" w:rsidRDefault="00544F44" w:rsidP="0020690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710F5">
              <w:rPr>
                <w:sz w:val="20"/>
                <w:szCs w:val="20"/>
              </w:rPr>
              <w:t>RBI Statistical Tables Relating to Banks in India; RBI publications (via author dataset)</w:t>
            </w:r>
          </w:p>
        </w:tc>
        <w:tc>
          <w:tcPr>
            <w:tcW w:w="1170" w:type="dxa"/>
            <w:vAlign w:val="center"/>
          </w:tcPr>
          <w:p w:rsidR="00544F44" w:rsidRPr="00D25ACF" w:rsidRDefault="00544F44" w:rsidP="0020690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710F5">
              <w:rPr>
                <w:sz w:val="20"/>
                <w:szCs w:val="20"/>
              </w:rPr>
              <w:t>—</w:t>
            </w:r>
          </w:p>
        </w:tc>
      </w:tr>
      <w:tr w:rsidR="00544F44" w:rsidTr="00206908">
        <w:tc>
          <w:tcPr>
            <w:tcW w:w="1432" w:type="dxa"/>
            <w:vAlign w:val="center"/>
          </w:tcPr>
          <w:p w:rsidR="00544F44" w:rsidRPr="00AF3035" w:rsidRDefault="00544F44" w:rsidP="0020690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710F5">
              <w:rPr>
                <w:b/>
                <w:bCs/>
                <w:sz w:val="20"/>
                <w:szCs w:val="20"/>
              </w:rPr>
              <w:t>Net NPAs</w:t>
            </w:r>
          </w:p>
        </w:tc>
        <w:tc>
          <w:tcPr>
            <w:tcW w:w="3272" w:type="dxa"/>
            <w:vAlign w:val="center"/>
          </w:tcPr>
          <w:p w:rsidR="00544F44" w:rsidRPr="00D25ACF" w:rsidRDefault="00544F44" w:rsidP="0020690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710F5">
              <w:rPr>
                <w:sz w:val="20"/>
                <w:szCs w:val="20"/>
              </w:rPr>
              <w:t xml:space="preserve">Net non-performing assets for bank group </w:t>
            </w:r>
            <w:proofErr w:type="spellStart"/>
            <w:r w:rsidRPr="008710F5">
              <w:rPr>
                <w:i/>
                <w:iCs/>
                <w:sz w:val="20"/>
                <w:szCs w:val="20"/>
              </w:rPr>
              <w:t>i</w:t>
            </w:r>
            <w:proofErr w:type="spellEnd"/>
            <w:r w:rsidRPr="008710F5">
              <w:rPr>
                <w:sz w:val="20"/>
                <w:szCs w:val="20"/>
              </w:rPr>
              <w:t xml:space="preserve"> in year </w:t>
            </w:r>
            <w:r w:rsidRPr="008710F5">
              <w:rPr>
                <w:i/>
                <w:iCs/>
                <w:sz w:val="20"/>
                <w:szCs w:val="20"/>
              </w:rPr>
              <w:t>t</w:t>
            </w:r>
            <w:r w:rsidRPr="008710F5">
              <w:rPr>
                <w:sz w:val="20"/>
                <w:szCs w:val="20"/>
              </w:rPr>
              <w:t xml:space="preserve"> (level)</w:t>
            </w:r>
          </w:p>
        </w:tc>
        <w:tc>
          <w:tcPr>
            <w:tcW w:w="950" w:type="dxa"/>
            <w:vAlign w:val="center"/>
          </w:tcPr>
          <w:p w:rsidR="00544F44" w:rsidRPr="00D25ACF" w:rsidRDefault="00544F44" w:rsidP="0020690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710F5">
              <w:rPr>
                <w:sz w:val="20"/>
                <w:szCs w:val="20"/>
              </w:rPr>
              <w:t>MINR</w:t>
            </w:r>
          </w:p>
        </w:tc>
        <w:tc>
          <w:tcPr>
            <w:tcW w:w="2891" w:type="dxa"/>
            <w:vAlign w:val="center"/>
          </w:tcPr>
          <w:p w:rsidR="00544F44" w:rsidRPr="00D25ACF" w:rsidRDefault="00544F44" w:rsidP="0020690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710F5">
              <w:rPr>
                <w:sz w:val="20"/>
                <w:szCs w:val="20"/>
              </w:rPr>
              <w:t>RBI Statistical Tables Relating to Banks in India; RBI publications (via author dataset)</w:t>
            </w:r>
          </w:p>
        </w:tc>
        <w:tc>
          <w:tcPr>
            <w:tcW w:w="1170" w:type="dxa"/>
            <w:vAlign w:val="center"/>
          </w:tcPr>
          <w:p w:rsidR="00544F44" w:rsidRPr="00D25ACF" w:rsidRDefault="00544F44" w:rsidP="0020690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710F5">
              <w:rPr>
                <w:sz w:val="20"/>
                <w:szCs w:val="20"/>
              </w:rPr>
              <w:t>—</w:t>
            </w:r>
          </w:p>
        </w:tc>
      </w:tr>
      <w:tr w:rsidR="00544F44" w:rsidTr="00206908">
        <w:tc>
          <w:tcPr>
            <w:tcW w:w="1432" w:type="dxa"/>
            <w:vAlign w:val="center"/>
          </w:tcPr>
          <w:p w:rsidR="00544F44" w:rsidRPr="00AF3035" w:rsidRDefault="00544F44" w:rsidP="00206908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710F5">
              <w:rPr>
                <w:b/>
                <w:bCs/>
                <w:sz w:val="20"/>
                <w:szCs w:val="20"/>
              </w:rPr>
              <w:t>RGNTA</w:t>
            </w:r>
          </w:p>
        </w:tc>
        <w:tc>
          <w:tcPr>
            <w:tcW w:w="3272" w:type="dxa"/>
            <w:vAlign w:val="center"/>
          </w:tcPr>
          <w:p w:rsidR="00544F44" w:rsidRPr="001036A6" w:rsidRDefault="00544F44" w:rsidP="00206908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710F5">
              <w:rPr>
                <w:sz w:val="20"/>
                <w:szCs w:val="20"/>
              </w:rPr>
              <w:t>Ratio of NPAs to total assets (as reported or constructed in the dataset)</w:t>
            </w:r>
          </w:p>
        </w:tc>
        <w:tc>
          <w:tcPr>
            <w:tcW w:w="950" w:type="dxa"/>
            <w:vAlign w:val="center"/>
          </w:tcPr>
          <w:p w:rsidR="00544F44" w:rsidRPr="001036A6" w:rsidRDefault="00544F44" w:rsidP="00206908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710F5">
              <w:rPr>
                <w:sz w:val="20"/>
                <w:szCs w:val="20"/>
              </w:rPr>
              <w:t>Ratio</w:t>
            </w:r>
          </w:p>
        </w:tc>
        <w:tc>
          <w:tcPr>
            <w:tcW w:w="2891" w:type="dxa"/>
            <w:vAlign w:val="center"/>
          </w:tcPr>
          <w:p w:rsidR="00544F44" w:rsidRPr="001036A6" w:rsidRDefault="00544F44" w:rsidP="00206908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710F5">
              <w:rPr>
                <w:sz w:val="20"/>
                <w:szCs w:val="20"/>
              </w:rPr>
              <w:t>RBI; author calculations</w:t>
            </w:r>
          </w:p>
        </w:tc>
        <w:tc>
          <w:tcPr>
            <w:tcW w:w="1170" w:type="dxa"/>
            <w:vAlign w:val="center"/>
          </w:tcPr>
          <w:p w:rsidR="00544F44" w:rsidRPr="001036A6" w:rsidRDefault="00544F44" w:rsidP="00206908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710F5">
              <w:rPr>
                <w:sz w:val="20"/>
                <w:szCs w:val="20"/>
              </w:rPr>
              <w:t>—</w:t>
            </w:r>
          </w:p>
        </w:tc>
      </w:tr>
      <w:tr w:rsidR="00544F44" w:rsidTr="00206908">
        <w:tc>
          <w:tcPr>
            <w:tcW w:w="1432" w:type="dxa"/>
            <w:vAlign w:val="center"/>
          </w:tcPr>
          <w:p w:rsidR="00544F44" w:rsidRPr="00AF3035" w:rsidRDefault="00544F44" w:rsidP="0020690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710F5">
              <w:rPr>
                <w:b/>
                <w:bCs/>
                <w:sz w:val="20"/>
                <w:szCs w:val="20"/>
              </w:rPr>
              <w:t>RGNPA</w:t>
            </w:r>
          </w:p>
        </w:tc>
        <w:tc>
          <w:tcPr>
            <w:tcW w:w="3272" w:type="dxa"/>
            <w:vAlign w:val="center"/>
          </w:tcPr>
          <w:p w:rsidR="00544F44" w:rsidRPr="001036A6" w:rsidRDefault="00544F44" w:rsidP="0020690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710F5">
              <w:rPr>
                <w:sz w:val="20"/>
                <w:szCs w:val="20"/>
              </w:rPr>
              <w:t>Ratio of NPAs to total advances (as reported or constructed in the dataset)</w:t>
            </w:r>
          </w:p>
        </w:tc>
        <w:tc>
          <w:tcPr>
            <w:tcW w:w="950" w:type="dxa"/>
            <w:vAlign w:val="center"/>
          </w:tcPr>
          <w:p w:rsidR="00544F44" w:rsidRPr="001036A6" w:rsidRDefault="00544F44" w:rsidP="0020690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710F5">
              <w:rPr>
                <w:sz w:val="20"/>
                <w:szCs w:val="20"/>
              </w:rPr>
              <w:t>Ratio</w:t>
            </w:r>
          </w:p>
        </w:tc>
        <w:tc>
          <w:tcPr>
            <w:tcW w:w="2891" w:type="dxa"/>
            <w:vAlign w:val="center"/>
          </w:tcPr>
          <w:p w:rsidR="00544F44" w:rsidRPr="001036A6" w:rsidRDefault="00544F44" w:rsidP="0020690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710F5">
              <w:rPr>
                <w:sz w:val="20"/>
                <w:szCs w:val="20"/>
              </w:rPr>
              <w:t>RBI; author calculations</w:t>
            </w:r>
          </w:p>
        </w:tc>
        <w:tc>
          <w:tcPr>
            <w:tcW w:w="1170" w:type="dxa"/>
            <w:vAlign w:val="center"/>
          </w:tcPr>
          <w:p w:rsidR="00544F44" w:rsidRPr="001036A6" w:rsidRDefault="00544F44" w:rsidP="0020690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710F5">
              <w:rPr>
                <w:sz w:val="20"/>
                <w:szCs w:val="20"/>
              </w:rPr>
              <w:t>—</w:t>
            </w:r>
          </w:p>
        </w:tc>
      </w:tr>
      <w:tr w:rsidR="00544F44" w:rsidTr="00206908">
        <w:tc>
          <w:tcPr>
            <w:tcW w:w="1432" w:type="dxa"/>
            <w:vAlign w:val="center"/>
          </w:tcPr>
          <w:p w:rsidR="00544F44" w:rsidRPr="00AF3035" w:rsidRDefault="00544F44" w:rsidP="0020690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710F5">
              <w:rPr>
                <w:b/>
                <w:bCs/>
                <w:sz w:val="20"/>
                <w:szCs w:val="20"/>
              </w:rPr>
              <w:t>AGR</w:t>
            </w:r>
          </w:p>
        </w:tc>
        <w:tc>
          <w:tcPr>
            <w:tcW w:w="3272" w:type="dxa"/>
            <w:vAlign w:val="center"/>
          </w:tcPr>
          <w:p w:rsidR="00544F44" w:rsidRPr="001036A6" w:rsidRDefault="00544F44" w:rsidP="0020690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710F5">
              <w:rPr>
                <w:sz w:val="20"/>
                <w:szCs w:val="20"/>
              </w:rPr>
              <w:t>Average annual growth rate of NPAs over the stated period (group summary statistic)</w:t>
            </w:r>
          </w:p>
        </w:tc>
        <w:tc>
          <w:tcPr>
            <w:tcW w:w="950" w:type="dxa"/>
            <w:vAlign w:val="center"/>
          </w:tcPr>
          <w:p w:rsidR="00544F44" w:rsidRPr="001036A6" w:rsidRDefault="00544F44" w:rsidP="0020690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710F5">
              <w:rPr>
                <w:sz w:val="20"/>
                <w:szCs w:val="20"/>
              </w:rPr>
              <w:t>%</w:t>
            </w:r>
          </w:p>
        </w:tc>
        <w:tc>
          <w:tcPr>
            <w:tcW w:w="2891" w:type="dxa"/>
            <w:vAlign w:val="center"/>
          </w:tcPr>
          <w:p w:rsidR="00544F44" w:rsidRPr="001036A6" w:rsidRDefault="00544F44" w:rsidP="0020690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710F5">
              <w:rPr>
                <w:sz w:val="20"/>
                <w:szCs w:val="20"/>
              </w:rPr>
              <w:t>Author calculations based on RBI series</w:t>
            </w:r>
          </w:p>
        </w:tc>
        <w:tc>
          <w:tcPr>
            <w:tcW w:w="1170" w:type="dxa"/>
            <w:vAlign w:val="center"/>
          </w:tcPr>
          <w:p w:rsidR="00544F44" w:rsidRPr="001036A6" w:rsidRDefault="00544F44" w:rsidP="0020690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710F5">
              <w:rPr>
                <w:sz w:val="20"/>
                <w:szCs w:val="20"/>
              </w:rPr>
              <w:t>—</w:t>
            </w:r>
          </w:p>
        </w:tc>
      </w:tr>
      <w:tr w:rsidR="00544F44" w:rsidTr="00206908">
        <w:tc>
          <w:tcPr>
            <w:tcW w:w="1432" w:type="dxa"/>
            <w:vAlign w:val="center"/>
          </w:tcPr>
          <w:p w:rsidR="00544F44" w:rsidRPr="00AF3035" w:rsidRDefault="00544F44" w:rsidP="0020690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710F5">
              <w:rPr>
                <w:b/>
                <w:bCs/>
                <w:sz w:val="20"/>
                <w:szCs w:val="20"/>
              </w:rPr>
              <w:t>GDP growth</w:t>
            </w:r>
          </w:p>
        </w:tc>
        <w:tc>
          <w:tcPr>
            <w:tcW w:w="3272" w:type="dxa"/>
            <w:vAlign w:val="center"/>
          </w:tcPr>
          <w:p w:rsidR="00544F44" w:rsidRPr="001036A6" w:rsidRDefault="00544F44" w:rsidP="0020690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710F5">
              <w:rPr>
                <w:sz w:val="20"/>
                <w:szCs w:val="20"/>
              </w:rPr>
              <w:t>Annual real GDP growth rate (macroeconomic control variable)</w:t>
            </w:r>
          </w:p>
        </w:tc>
        <w:tc>
          <w:tcPr>
            <w:tcW w:w="950" w:type="dxa"/>
            <w:vAlign w:val="center"/>
          </w:tcPr>
          <w:p w:rsidR="00544F44" w:rsidRPr="001036A6" w:rsidRDefault="00544F44" w:rsidP="0020690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710F5">
              <w:rPr>
                <w:sz w:val="20"/>
                <w:szCs w:val="20"/>
              </w:rPr>
              <w:t>%</w:t>
            </w:r>
          </w:p>
        </w:tc>
        <w:tc>
          <w:tcPr>
            <w:tcW w:w="2891" w:type="dxa"/>
            <w:vAlign w:val="center"/>
          </w:tcPr>
          <w:p w:rsidR="00544F44" w:rsidRPr="001036A6" w:rsidRDefault="00544F44" w:rsidP="0020690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710F5">
              <w:rPr>
                <w:sz w:val="20"/>
                <w:szCs w:val="20"/>
              </w:rPr>
              <w:t>World Bank; RBI macroeconomic series</w:t>
            </w:r>
          </w:p>
        </w:tc>
        <w:tc>
          <w:tcPr>
            <w:tcW w:w="1170" w:type="dxa"/>
            <w:vAlign w:val="center"/>
          </w:tcPr>
          <w:p w:rsidR="00544F44" w:rsidRPr="001036A6" w:rsidRDefault="00544F44" w:rsidP="0020690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710F5">
              <w:rPr>
                <w:sz w:val="20"/>
                <w:szCs w:val="20"/>
              </w:rPr>
              <w:t>Negative</w:t>
            </w:r>
          </w:p>
        </w:tc>
      </w:tr>
      <w:tr w:rsidR="00544F44" w:rsidTr="00206908">
        <w:tc>
          <w:tcPr>
            <w:tcW w:w="1432" w:type="dxa"/>
            <w:vAlign w:val="center"/>
          </w:tcPr>
          <w:p w:rsidR="00544F44" w:rsidRPr="00AF3035" w:rsidRDefault="00544F44" w:rsidP="0020690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710F5">
              <w:rPr>
                <w:b/>
                <w:bCs/>
                <w:sz w:val="20"/>
                <w:szCs w:val="20"/>
              </w:rPr>
              <w:t>Inflation (CPI)</w:t>
            </w:r>
          </w:p>
        </w:tc>
        <w:tc>
          <w:tcPr>
            <w:tcW w:w="3272" w:type="dxa"/>
            <w:vAlign w:val="center"/>
          </w:tcPr>
          <w:p w:rsidR="00544F44" w:rsidRPr="001036A6" w:rsidRDefault="00544F44" w:rsidP="0020690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710F5">
              <w:rPr>
                <w:sz w:val="20"/>
                <w:szCs w:val="20"/>
              </w:rPr>
              <w:t>Annual consumer price inflation rate (macroeconomic control variable)</w:t>
            </w:r>
          </w:p>
        </w:tc>
        <w:tc>
          <w:tcPr>
            <w:tcW w:w="950" w:type="dxa"/>
            <w:vAlign w:val="center"/>
          </w:tcPr>
          <w:p w:rsidR="00544F44" w:rsidRPr="001036A6" w:rsidRDefault="00544F44" w:rsidP="0020690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710F5">
              <w:rPr>
                <w:sz w:val="20"/>
                <w:szCs w:val="20"/>
              </w:rPr>
              <w:t>%</w:t>
            </w:r>
          </w:p>
        </w:tc>
        <w:tc>
          <w:tcPr>
            <w:tcW w:w="2891" w:type="dxa"/>
            <w:vAlign w:val="center"/>
          </w:tcPr>
          <w:p w:rsidR="00544F44" w:rsidRPr="001036A6" w:rsidRDefault="00544F44" w:rsidP="0020690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710F5">
              <w:rPr>
                <w:sz w:val="20"/>
                <w:szCs w:val="20"/>
              </w:rPr>
              <w:t>World Bank; RBI macroeconomic series</w:t>
            </w:r>
          </w:p>
        </w:tc>
        <w:tc>
          <w:tcPr>
            <w:tcW w:w="1170" w:type="dxa"/>
            <w:vAlign w:val="center"/>
          </w:tcPr>
          <w:p w:rsidR="00544F44" w:rsidRPr="001036A6" w:rsidRDefault="00544F44" w:rsidP="0020690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710F5">
              <w:rPr>
                <w:sz w:val="20"/>
                <w:szCs w:val="20"/>
              </w:rPr>
              <w:t>Ambiguous</w:t>
            </w:r>
          </w:p>
        </w:tc>
      </w:tr>
      <w:tr w:rsidR="00544F44" w:rsidTr="00206908">
        <w:tc>
          <w:tcPr>
            <w:tcW w:w="1432" w:type="dxa"/>
            <w:vAlign w:val="center"/>
          </w:tcPr>
          <w:p w:rsidR="00544F44" w:rsidRPr="00AF3035" w:rsidRDefault="00544F44" w:rsidP="0020690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710F5">
              <w:rPr>
                <w:b/>
                <w:bCs/>
                <w:sz w:val="20"/>
                <w:szCs w:val="20"/>
              </w:rPr>
              <w:t>Repo rate</w:t>
            </w:r>
          </w:p>
        </w:tc>
        <w:tc>
          <w:tcPr>
            <w:tcW w:w="3272" w:type="dxa"/>
            <w:vAlign w:val="center"/>
          </w:tcPr>
          <w:p w:rsidR="00544F44" w:rsidRPr="001036A6" w:rsidRDefault="00544F44" w:rsidP="0020690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710F5">
              <w:rPr>
                <w:sz w:val="20"/>
                <w:szCs w:val="20"/>
              </w:rPr>
              <w:t>Reserve Bank of India policy repo rate (financial conditions control)</w:t>
            </w:r>
          </w:p>
        </w:tc>
        <w:tc>
          <w:tcPr>
            <w:tcW w:w="950" w:type="dxa"/>
            <w:vAlign w:val="center"/>
          </w:tcPr>
          <w:p w:rsidR="00544F44" w:rsidRPr="001036A6" w:rsidRDefault="00544F44" w:rsidP="0020690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710F5">
              <w:rPr>
                <w:sz w:val="20"/>
                <w:szCs w:val="20"/>
              </w:rPr>
              <w:t>%</w:t>
            </w:r>
          </w:p>
        </w:tc>
        <w:tc>
          <w:tcPr>
            <w:tcW w:w="2891" w:type="dxa"/>
            <w:vAlign w:val="center"/>
          </w:tcPr>
          <w:p w:rsidR="00544F44" w:rsidRPr="001036A6" w:rsidRDefault="00544F44" w:rsidP="0020690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710F5">
              <w:rPr>
                <w:sz w:val="20"/>
                <w:szCs w:val="20"/>
              </w:rPr>
              <w:t>Reserve Bank of India</w:t>
            </w:r>
          </w:p>
        </w:tc>
        <w:tc>
          <w:tcPr>
            <w:tcW w:w="1170" w:type="dxa"/>
            <w:vAlign w:val="center"/>
          </w:tcPr>
          <w:p w:rsidR="00544F44" w:rsidRPr="001036A6" w:rsidRDefault="00544F44" w:rsidP="0020690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710F5">
              <w:rPr>
                <w:sz w:val="20"/>
                <w:szCs w:val="20"/>
              </w:rPr>
              <w:t>Positive</w:t>
            </w:r>
          </w:p>
        </w:tc>
      </w:tr>
      <w:tr w:rsidR="00544F44" w:rsidTr="00206908">
        <w:tc>
          <w:tcPr>
            <w:tcW w:w="1432" w:type="dxa"/>
            <w:vAlign w:val="center"/>
          </w:tcPr>
          <w:p w:rsidR="00544F44" w:rsidRPr="00AF3035" w:rsidRDefault="00544F44" w:rsidP="0020690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710F5">
              <w:rPr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3272" w:type="dxa"/>
            <w:vAlign w:val="center"/>
          </w:tcPr>
          <w:p w:rsidR="00544F44" w:rsidRPr="001036A6" w:rsidRDefault="00544F44" w:rsidP="0020690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710F5">
              <w:rPr>
                <w:sz w:val="20"/>
                <w:szCs w:val="20"/>
              </w:rPr>
              <w:t>Calendar year used as a linear time trend in OLS and GMM estimations</w:t>
            </w:r>
          </w:p>
        </w:tc>
        <w:tc>
          <w:tcPr>
            <w:tcW w:w="950" w:type="dxa"/>
            <w:vAlign w:val="center"/>
          </w:tcPr>
          <w:p w:rsidR="00544F44" w:rsidRPr="001036A6" w:rsidRDefault="00544F44" w:rsidP="0020690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710F5">
              <w:rPr>
                <w:sz w:val="20"/>
                <w:szCs w:val="20"/>
              </w:rPr>
              <w:t>Year</w:t>
            </w:r>
          </w:p>
        </w:tc>
        <w:tc>
          <w:tcPr>
            <w:tcW w:w="2891" w:type="dxa"/>
            <w:vAlign w:val="center"/>
          </w:tcPr>
          <w:p w:rsidR="00544F44" w:rsidRPr="001036A6" w:rsidRDefault="00544F44" w:rsidP="0020690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710F5">
              <w:rPr>
                <w:sz w:val="20"/>
                <w:szCs w:val="20"/>
              </w:rPr>
              <w:t>Constructed</w:t>
            </w:r>
          </w:p>
        </w:tc>
        <w:tc>
          <w:tcPr>
            <w:tcW w:w="1170" w:type="dxa"/>
            <w:vAlign w:val="center"/>
          </w:tcPr>
          <w:p w:rsidR="00544F44" w:rsidRPr="001036A6" w:rsidRDefault="00544F44" w:rsidP="0020690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710F5">
              <w:rPr>
                <w:sz w:val="20"/>
                <w:szCs w:val="20"/>
              </w:rPr>
              <w:t>—</w:t>
            </w:r>
          </w:p>
        </w:tc>
      </w:tr>
      <w:tr w:rsidR="00544F44" w:rsidTr="00206908">
        <w:tc>
          <w:tcPr>
            <w:tcW w:w="1432" w:type="dxa"/>
            <w:vAlign w:val="center"/>
          </w:tcPr>
          <w:p w:rsidR="00544F44" w:rsidRPr="00AF3035" w:rsidRDefault="00544F44" w:rsidP="0020690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710F5">
              <w:rPr>
                <w:b/>
                <w:bCs/>
                <w:sz w:val="20"/>
                <w:szCs w:val="20"/>
              </w:rPr>
              <w:t>Lagged NPAs</w:t>
            </w:r>
          </w:p>
        </w:tc>
        <w:tc>
          <w:tcPr>
            <w:tcW w:w="3272" w:type="dxa"/>
            <w:vAlign w:val="center"/>
          </w:tcPr>
          <w:p w:rsidR="00544F44" w:rsidRPr="001036A6" w:rsidRDefault="00544F44" w:rsidP="0020690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710F5">
              <w:rPr>
                <w:sz w:val="20"/>
                <w:szCs w:val="20"/>
              </w:rPr>
              <w:t>One-period lag of the dependent variable (Gross or Net NPAs) in System GMM models</w:t>
            </w:r>
          </w:p>
        </w:tc>
        <w:tc>
          <w:tcPr>
            <w:tcW w:w="950" w:type="dxa"/>
            <w:vAlign w:val="center"/>
          </w:tcPr>
          <w:p w:rsidR="00544F44" w:rsidRPr="001036A6" w:rsidRDefault="00544F44" w:rsidP="0020690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710F5">
              <w:rPr>
                <w:sz w:val="20"/>
                <w:szCs w:val="20"/>
              </w:rPr>
              <w:t>MINR</w:t>
            </w:r>
          </w:p>
        </w:tc>
        <w:tc>
          <w:tcPr>
            <w:tcW w:w="2891" w:type="dxa"/>
            <w:vAlign w:val="center"/>
          </w:tcPr>
          <w:p w:rsidR="00544F44" w:rsidRPr="001036A6" w:rsidRDefault="00544F44" w:rsidP="0020690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710F5">
              <w:rPr>
                <w:sz w:val="20"/>
                <w:szCs w:val="20"/>
              </w:rPr>
              <w:t>Constructed from NPA series</w:t>
            </w:r>
          </w:p>
        </w:tc>
        <w:tc>
          <w:tcPr>
            <w:tcW w:w="1170" w:type="dxa"/>
            <w:vAlign w:val="center"/>
          </w:tcPr>
          <w:p w:rsidR="00544F44" w:rsidRPr="001036A6" w:rsidRDefault="00544F44" w:rsidP="0020690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710F5">
              <w:rPr>
                <w:sz w:val="20"/>
                <w:szCs w:val="20"/>
              </w:rPr>
              <w:t>Positive</w:t>
            </w:r>
          </w:p>
        </w:tc>
      </w:tr>
      <w:tr w:rsidR="00544F44" w:rsidTr="00206908">
        <w:tc>
          <w:tcPr>
            <w:tcW w:w="1432" w:type="dxa"/>
            <w:vAlign w:val="center"/>
          </w:tcPr>
          <w:p w:rsidR="00544F44" w:rsidRPr="00AF3035" w:rsidRDefault="00544F44" w:rsidP="00206908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710F5">
              <w:rPr>
                <w:b/>
                <w:bCs/>
                <w:sz w:val="20"/>
                <w:szCs w:val="20"/>
              </w:rPr>
              <w:t>Public Sector Banks</w:t>
            </w:r>
          </w:p>
        </w:tc>
        <w:tc>
          <w:tcPr>
            <w:tcW w:w="3272" w:type="dxa"/>
            <w:vAlign w:val="center"/>
          </w:tcPr>
          <w:p w:rsidR="00544F44" w:rsidRPr="001036A6" w:rsidRDefault="00544F44" w:rsidP="00206908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710F5">
              <w:rPr>
                <w:sz w:val="20"/>
                <w:szCs w:val="20"/>
              </w:rPr>
              <w:t>RBI-defined public sector bank group (aggregate series); representative institutions listed in Section 3.2</w:t>
            </w:r>
          </w:p>
        </w:tc>
        <w:tc>
          <w:tcPr>
            <w:tcW w:w="950" w:type="dxa"/>
            <w:vAlign w:val="center"/>
          </w:tcPr>
          <w:p w:rsidR="00544F44" w:rsidRPr="001036A6" w:rsidRDefault="00544F44" w:rsidP="00206908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710F5">
              <w:rPr>
                <w:sz w:val="20"/>
                <w:szCs w:val="20"/>
              </w:rPr>
              <w:t>Category (group)</w:t>
            </w:r>
          </w:p>
        </w:tc>
        <w:tc>
          <w:tcPr>
            <w:tcW w:w="2891" w:type="dxa"/>
            <w:vAlign w:val="center"/>
          </w:tcPr>
          <w:p w:rsidR="00544F44" w:rsidRPr="001036A6" w:rsidRDefault="00544F44" w:rsidP="00206908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710F5">
              <w:rPr>
                <w:sz w:val="20"/>
                <w:szCs w:val="20"/>
              </w:rPr>
              <w:t>RBI classification</w:t>
            </w:r>
          </w:p>
        </w:tc>
        <w:tc>
          <w:tcPr>
            <w:tcW w:w="1170" w:type="dxa"/>
            <w:vAlign w:val="center"/>
          </w:tcPr>
          <w:p w:rsidR="00544F44" w:rsidRPr="001036A6" w:rsidRDefault="00544F44" w:rsidP="00206908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710F5">
              <w:rPr>
                <w:sz w:val="20"/>
                <w:szCs w:val="20"/>
              </w:rPr>
              <w:t>—</w:t>
            </w:r>
          </w:p>
        </w:tc>
      </w:tr>
      <w:tr w:rsidR="00544F44" w:rsidTr="00206908">
        <w:tc>
          <w:tcPr>
            <w:tcW w:w="1432" w:type="dxa"/>
            <w:vAlign w:val="center"/>
          </w:tcPr>
          <w:p w:rsidR="00544F44" w:rsidRPr="00AF3035" w:rsidRDefault="00544F44" w:rsidP="0020690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710F5">
              <w:rPr>
                <w:b/>
                <w:bCs/>
                <w:sz w:val="20"/>
                <w:szCs w:val="20"/>
              </w:rPr>
              <w:t>Private Sector Banks</w:t>
            </w:r>
          </w:p>
        </w:tc>
        <w:tc>
          <w:tcPr>
            <w:tcW w:w="3272" w:type="dxa"/>
            <w:vAlign w:val="center"/>
          </w:tcPr>
          <w:p w:rsidR="00544F44" w:rsidRPr="001036A6" w:rsidRDefault="00544F44" w:rsidP="0020690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710F5">
              <w:rPr>
                <w:sz w:val="20"/>
                <w:szCs w:val="20"/>
              </w:rPr>
              <w:t>RBI-defined private sector bank group (aggregate series)</w:t>
            </w:r>
          </w:p>
        </w:tc>
        <w:tc>
          <w:tcPr>
            <w:tcW w:w="950" w:type="dxa"/>
            <w:vAlign w:val="center"/>
          </w:tcPr>
          <w:p w:rsidR="00544F44" w:rsidRPr="001036A6" w:rsidRDefault="00544F44" w:rsidP="0020690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710F5">
              <w:rPr>
                <w:sz w:val="20"/>
                <w:szCs w:val="20"/>
              </w:rPr>
              <w:t>Category (group)</w:t>
            </w:r>
          </w:p>
        </w:tc>
        <w:tc>
          <w:tcPr>
            <w:tcW w:w="2891" w:type="dxa"/>
            <w:vAlign w:val="center"/>
          </w:tcPr>
          <w:p w:rsidR="00544F44" w:rsidRPr="001036A6" w:rsidRDefault="00544F44" w:rsidP="0020690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710F5">
              <w:rPr>
                <w:sz w:val="20"/>
                <w:szCs w:val="20"/>
              </w:rPr>
              <w:t>RBI classification</w:t>
            </w:r>
          </w:p>
        </w:tc>
        <w:tc>
          <w:tcPr>
            <w:tcW w:w="1170" w:type="dxa"/>
            <w:vAlign w:val="center"/>
          </w:tcPr>
          <w:p w:rsidR="00544F44" w:rsidRPr="001036A6" w:rsidRDefault="00544F44" w:rsidP="0020690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710F5">
              <w:rPr>
                <w:sz w:val="20"/>
                <w:szCs w:val="20"/>
              </w:rPr>
              <w:t>—</w:t>
            </w:r>
          </w:p>
        </w:tc>
      </w:tr>
      <w:tr w:rsidR="00544F44" w:rsidTr="00206908">
        <w:tc>
          <w:tcPr>
            <w:tcW w:w="1432" w:type="dxa"/>
            <w:vAlign w:val="center"/>
          </w:tcPr>
          <w:p w:rsidR="00544F44" w:rsidRPr="00AF3035" w:rsidRDefault="00544F44" w:rsidP="0020690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710F5">
              <w:rPr>
                <w:b/>
                <w:bCs/>
                <w:sz w:val="20"/>
                <w:szCs w:val="20"/>
              </w:rPr>
              <w:t>Foreign Banks</w:t>
            </w:r>
          </w:p>
        </w:tc>
        <w:tc>
          <w:tcPr>
            <w:tcW w:w="3272" w:type="dxa"/>
            <w:vAlign w:val="center"/>
          </w:tcPr>
          <w:p w:rsidR="00544F44" w:rsidRPr="001036A6" w:rsidRDefault="00544F44" w:rsidP="0020690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710F5">
              <w:rPr>
                <w:sz w:val="20"/>
                <w:szCs w:val="20"/>
              </w:rPr>
              <w:t>RBI-defined foreign bank group (aggregate series)</w:t>
            </w:r>
          </w:p>
        </w:tc>
        <w:tc>
          <w:tcPr>
            <w:tcW w:w="950" w:type="dxa"/>
            <w:vAlign w:val="center"/>
          </w:tcPr>
          <w:p w:rsidR="00544F44" w:rsidRPr="001036A6" w:rsidRDefault="00544F44" w:rsidP="0020690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710F5">
              <w:rPr>
                <w:sz w:val="20"/>
                <w:szCs w:val="20"/>
              </w:rPr>
              <w:t>Category (group)</w:t>
            </w:r>
          </w:p>
        </w:tc>
        <w:tc>
          <w:tcPr>
            <w:tcW w:w="2891" w:type="dxa"/>
            <w:vAlign w:val="center"/>
          </w:tcPr>
          <w:p w:rsidR="00544F44" w:rsidRPr="001036A6" w:rsidRDefault="00544F44" w:rsidP="0020690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710F5">
              <w:rPr>
                <w:sz w:val="20"/>
                <w:szCs w:val="20"/>
              </w:rPr>
              <w:t>RBI classification</w:t>
            </w:r>
          </w:p>
        </w:tc>
        <w:tc>
          <w:tcPr>
            <w:tcW w:w="1170" w:type="dxa"/>
            <w:vAlign w:val="center"/>
          </w:tcPr>
          <w:p w:rsidR="00544F44" w:rsidRPr="001036A6" w:rsidRDefault="00544F44" w:rsidP="0020690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710F5">
              <w:rPr>
                <w:sz w:val="20"/>
                <w:szCs w:val="20"/>
              </w:rPr>
              <w:t>—</w:t>
            </w:r>
          </w:p>
        </w:tc>
      </w:tr>
      <w:tr w:rsidR="00544F44" w:rsidTr="00206908">
        <w:tc>
          <w:tcPr>
            <w:tcW w:w="1432" w:type="dxa"/>
            <w:vAlign w:val="center"/>
          </w:tcPr>
          <w:p w:rsidR="00544F44" w:rsidRPr="00AF3035" w:rsidRDefault="00544F44" w:rsidP="00206908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8710F5">
              <w:rPr>
                <w:b/>
                <w:bCs/>
                <w:sz w:val="20"/>
                <w:szCs w:val="20"/>
              </w:rPr>
              <w:t>Sched</w:t>
            </w:r>
            <w:r>
              <w:rPr>
                <w:b/>
                <w:bCs/>
                <w:sz w:val="20"/>
                <w:szCs w:val="20"/>
              </w:rPr>
              <w:t xml:space="preserve">uled </w:t>
            </w:r>
            <w:r w:rsidRPr="008710F5">
              <w:rPr>
                <w:b/>
                <w:bCs/>
                <w:sz w:val="20"/>
                <w:szCs w:val="20"/>
              </w:rPr>
              <w:t>Commercial Banks (SCBs)</w:t>
            </w:r>
          </w:p>
        </w:tc>
        <w:tc>
          <w:tcPr>
            <w:tcW w:w="3272" w:type="dxa"/>
            <w:vAlign w:val="center"/>
          </w:tcPr>
          <w:p w:rsidR="00544F44" w:rsidRPr="001036A6" w:rsidRDefault="00544F44" w:rsidP="0020690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710F5">
              <w:rPr>
                <w:sz w:val="20"/>
                <w:szCs w:val="20"/>
              </w:rPr>
              <w:t>Aggregate series for RBI-recognized scheduled commercial banks used in the dataset</w:t>
            </w:r>
          </w:p>
        </w:tc>
        <w:tc>
          <w:tcPr>
            <w:tcW w:w="950" w:type="dxa"/>
            <w:vAlign w:val="center"/>
          </w:tcPr>
          <w:p w:rsidR="00544F44" w:rsidRPr="001036A6" w:rsidRDefault="00544F44" w:rsidP="0020690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710F5">
              <w:rPr>
                <w:sz w:val="20"/>
                <w:szCs w:val="20"/>
              </w:rPr>
              <w:t>Category (group)</w:t>
            </w:r>
          </w:p>
        </w:tc>
        <w:tc>
          <w:tcPr>
            <w:tcW w:w="2891" w:type="dxa"/>
            <w:vAlign w:val="center"/>
          </w:tcPr>
          <w:p w:rsidR="00544F44" w:rsidRPr="001036A6" w:rsidRDefault="00544F44" w:rsidP="00206908">
            <w:pPr>
              <w:spacing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710F5">
              <w:rPr>
                <w:sz w:val="20"/>
                <w:szCs w:val="20"/>
              </w:rPr>
              <w:t>RBI classification</w:t>
            </w:r>
          </w:p>
        </w:tc>
        <w:tc>
          <w:tcPr>
            <w:tcW w:w="1170" w:type="dxa"/>
          </w:tcPr>
          <w:p w:rsidR="00544F44" w:rsidRDefault="00544F44" w:rsidP="00206908">
            <w:pPr>
              <w:spacing w:line="240" w:lineRule="auto"/>
              <w:jc w:val="left"/>
              <w:rPr>
                <w:sz w:val="20"/>
                <w:szCs w:val="20"/>
              </w:rPr>
            </w:pPr>
          </w:p>
          <w:p w:rsidR="00544F44" w:rsidRDefault="00544F44" w:rsidP="00206908">
            <w:pPr>
              <w:spacing w:line="240" w:lineRule="auto"/>
              <w:jc w:val="left"/>
              <w:rPr>
                <w:b/>
                <w:bCs/>
              </w:rPr>
            </w:pPr>
            <w:r w:rsidRPr="008710F5">
              <w:rPr>
                <w:sz w:val="20"/>
                <w:szCs w:val="20"/>
              </w:rPr>
              <w:t>—</w:t>
            </w:r>
          </w:p>
        </w:tc>
      </w:tr>
    </w:tbl>
    <w:p w:rsidR="00281830" w:rsidRDefault="00281830"/>
    <w:p w:rsidR="006D3DD2" w:rsidRDefault="00AC4CD7" w:rsidP="00281830">
      <w:pPr>
        <w:spacing w:after="200" w:line="276" w:lineRule="auto"/>
        <w:jc w:val="left"/>
      </w:pPr>
      <w:bookmarkStart w:id="0" w:name="_GoBack"/>
      <w:bookmarkEnd w:id="0"/>
    </w:p>
    <w:sectPr w:rsidR="006D3D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F44"/>
    <w:rsid w:val="00281830"/>
    <w:rsid w:val="00303918"/>
    <w:rsid w:val="004E3709"/>
    <w:rsid w:val="00544F44"/>
    <w:rsid w:val="00AC4CD7"/>
    <w:rsid w:val="00F01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983A8"/>
  <w15:chartTrackingRefBased/>
  <w15:docId w15:val="{A5C5C9F1-9C8D-4AA7-B5FC-4B5FD2BC2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F44"/>
    <w:pPr>
      <w:spacing w:after="160" w:line="360" w:lineRule="auto"/>
      <w:jc w:val="both"/>
    </w:pPr>
    <w:rPr>
      <w:rFonts w:ascii="Times New Roman" w:hAnsi="Times New Roman"/>
      <w:kern w:val="2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4F4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Dhanesh  M</dc:creator>
  <cp:keywords/>
  <dc:description/>
  <cp:lastModifiedBy>Eswari S.</cp:lastModifiedBy>
  <cp:revision>4</cp:revision>
  <dcterms:created xsi:type="dcterms:W3CDTF">2026-03-20T11:18:00Z</dcterms:created>
  <dcterms:modified xsi:type="dcterms:W3CDTF">2026-03-24T23:53:00Z</dcterms:modified>
</cp:coreProperties>
</file>