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B45099" w14:textId="005AEBDF" w:rsidR="0094090D" w:rsidRPr="005F2510" w:rsidRDefault="0094090D" w:rsidP="0094090D">
      <w:pPr>
        <w:jc w:val="both"/>
        <w:rPr>
          <w:rFonts w:ascii="Arial" w:hAnsi="Arial" w:cs="Arial"/>
          <w:sz w:val="20"/>
          <w:szCs w:val="20"/>
        </w:rPr>
      </w:pPr>
      <w:r>
        <w:rPr>
          <w:rFonts w:ascii="Arial" w:hAnsi="Arial" w:cs="Arial"/>
          <w:b/>
          <w:bCs/>
          <w:sz w:val="20"/>
          <w:szCs w:val="20"/>
        </w:rPr>
        <w:t>A</w:t>
      </w:r>
      <w:r w:rsidR="009D79CB">
        <w:rPr>
          <w:rFonts w:ascii="Arial" w:hAnsi="Arial" w:cs="Arial"/>
          <w:b/>
          <w:bCs/>
          <w:sz w:val="20"/>
          <w:szCs w:val="20"/>
        </w:rPr>
        <w:t>nne</w:t>
      </w:r>
      <w:r>
        <w:rPr>
          <w:rFonts w:ascii="Arial" w:hAnsi="Arial" w:cs="Arial"/>
          <w:b/>
          <w:bCs/>
          <w:sz w:val="20"/>
          <w:szCs w:val="20"/>
        </w:rPr>
        <w:t>x C</w:t>
      </w:r>
      <w:r w:rsidRPr="005F2510">
        <w:rPr>
          <w:rFonts w:ascii="Arial" w:hAnsi="Arial" w:cs="Arial"/>
          <w:b/>
          <w:bCs/>
          <w:sz w:val="20"/>
          <w:szCs w:val="20"/>
        </w:rPr>
        <w:t>.</w:t>
      </w:r>
      <w:r w:rsidRPr="005F2510">
        <w:rPr>
          <w:rFonts w:ascii="Arial" w:hAnsi="Arial" w:cs="Arial"/>
          <w:sz w:val="20"/>
          <w:szCs w:val="20"/>
        </w:rPr>
        <w:t xml:space="preserve"> Categorization of works by TRC Rating, Methodology, Limitations, and Keywords.</w:t>
      </w:r>
    </w:p>
    <w:tbl>
      <w:tblPr>
        <w:tblStyle w:val="TableGrid"/>
        <w:tblW w:w="15304" w:type="dxa"/>
        <w:tblLayout w:type="fixed"/>
        <w:tblLook w:val="04A0" w:firstRow="1" w:lastRow="0" w:firstColumn="1" w:lastColumn="0" w:noHBand="0" w:noVBand="1"/>
      </w:tblPr>
      <w:tblGrid>
        <w:gridCol w:w="1004"/>
        <w:gridCol w:w="1275"/>
        <w:gridCol w:w="5513"/>
        <w:gridCol w:w="4394"/>
        <w:gridCol w:w="3118"/>
      </w:tblGrid>
      <w:tr w:rsidR="009D79CB" w:rsidRPr="004C57CA" w14:paraId="0C35BF43" w14:textId="77777777" w:rsidTr="004C57CA">
        <w:tc>
          <w:tcPr>
            <w:tcW w:w="1004" w:type="dxa"/>
          </w:tcPr>
          <w:p w14:paraId="28F02B6D" w14:textId="77777777" w:rsidR="009D79CB" w:rsidRPr="004C57CA" w:rsidRDefault="009D79CB" w:rsidP="00DE7C5D">
            <w:pPr>
              <w:jc w:val="center"/>
              <w:rPr>
                <w:rFonts w:ascii="Times New Roman" w:hAnsi="Times New Roman" w:cs="Times New Roman"/>
                <w:b/>
                <w:bCs/>
                <w:sz w:val="20"/>
                <w:szCs w:val="20"/>
              </w:rPr>
            </w:pPr>
            <w:r w:rsidRPr="004C57CA">
              <w:rPr>
                <w:rFonts w:ascii="Times New Roman" w:hAnsi="Times New Roman" w:cs="Times New Roman"/>
                <w:b/>
                <w:bCs/>
                <w:sz w:val="20"/>
                <w:szCs w:val="20"/>
              </w:rPr>
              <w:t>Authors Year</w:t>
            </w:r>
          </w:p>
        </w:tc>
        <w:tc>
          <w:tcPr>
            <w:tcW w:w="1275" w:type="dxa"/>
          </w:tcPr>
          <w:p w14:paraId="20BEC9CB" w14:textId="77777777" w:rsidR="009D79CB" w:rsidRPr="004C57CA" w:rsidRDefault="009D79CB" w:rsidP="00DE7C5D">
            <w:pPr>
              <w:jc w:val="center"/>
              <w:rPr>
                <w:rFonts w:ascii="Times New Roman" w:hAnsi="Times New Roman" w:cs="Times New Roman"/>
                <w:b/>
                <w:bCs/>
                <w:sz w:val="20"/>
                <w:szCs w:val="20"/>
              </w:rPr>
            </w:pPr>
            <w:r w:rsidRPr="004C57CA">
              <w:rPr>
                <w:rFonts w:ascii="Times New Roman" w:hAnsi="Times New Roman" w:cs="Times New Roman"/>
                <w:b/>
                <w:bCs/>
                <w:sz w:val="20"/>
                <w:szCs w:val="20"/>
              </w:rPr>
              <w:t>TRC rating</w:t>
            </w:r>
          </w:p>
        </w:tc>
        <w:tc>
          <w:tcPr>
            <w:tcW w:w="5513" w:type="dxa"/>
          </w:tcPr>
          <w:p w14:paraId="52503860" w14:textId="77777777" w:rsidR="009D79CB" w:rsidRPr="004C57CA" w:rsidRDefault="009D79CB" w:rsidP="00DE7C5D">
            <w:pPr>
              <w:jc w:val="center"/>
              <w:rPr>
                <w:rFonts w:ascii="Times New Roman" w:hAnsi="Times New Roman" w:cs="Times New Roman"/>
                <w:b/>
                <w:bCs/>
                <w:sz w:val="20"/>
                <w:szCs w:val="20"/>
              </w:rPr>
            </w:pPr>
            <w:r w:rsidRPr="004C57CA">
              <w:rPr>
                <w:rFonts w:ascii="Times New Roman" w:hAnsi="Times New Roman" w:cs="Times New Roman"/>
                <w:b/>
                <w:bCs/>
                <w:sz w:val="20"/>
                <w:szCs w:val="20"/>
              </w:rPr>
              <w:t>Methodology</w:t>
            </w:r>
          </w:p>
        </w:tc>
        <w:tc>
          <w:tcPr>
            <w:tcW w:w="4394" w:type="dxa"/>
          </w:tcPr>
          <w:p w14:paraId="6A8FAD97" w14:textId="77777777" w:rsidR="009D79CB" w:rsidRPr="004C57CA" w:rsidRDefault="009D79CB" w:rsidP="00DE7C5D">
            <w:pPr>
              <w:jc w:val="center"/>
              <w:rPr>
                <w:rFonts w:ascii="Times New Roman" w:hAnsi="Times New Roman" w:cs="Times New Roman"/>
                <w:b/>
                <w:bCs/>
                <w:sz w:val="20"/>
                <w:szCs w:val="20"/>
              </w:rPr>
            </w:pPr>
            <w:r w:rsidRPr="004C57CA">
              <w:rPr>
                <w:rFonts w:ascii="Times New Roman" w:hAnsi="Times New Roman" w:cs="Times New Roman"/>
                <w:b/>
                <w:bCs/>
                <w:sz w:val="20"/>
                <w:szCs w:val="20"/>
              </w:rPr>
              <w:t>Limitations</w:t>
            </w:r>
          </w:p>
        </w:tc>
        <w:tc>
          <w:tcPr>
            <w:tcW w:w="3118" w:type="dxa"/>
          </w:tcPr>
          <w:p w14:paraId="25035738" w14:textId="77777777" w:rsidR="009D79CB" w:rsidRPr="004C57CA" w:rsidRDefault="009D79CB" w:rsidP="00DE7C5D">
            <w:pPr>
              <w:jc w:val="center"/>
              <w:rPr>
                <w:rFonts w:ascii="Times New Roman" w:hAnsi="Times New Roman" w:cs="Times New Roman"/>
                <w:b/>
                <w:bCs/>
                <w:sz w:val="20"/>
                <w:szCs w:val="20"/>
              </w:rPr>
            </w:pPr>
            <w:r w:rsidRPr="004C57CA">
              <w:rPr>
                <w:rFonts w:ascii="Times New Roman" w:hAnsi="Times New Roman" w:cs="Times New Roman"/>
                <w:b/>
                <w:bCs/>
                <w:sz w:val="20"/>
                <w:szCs w:val="20"/>
              </w:rPr>
              <w:t>Keywords</w:t>
            </w:r>
          </w:p>
        </w:tc>
      </w:tr>
      <w:tr w:rsidR="009D79CB" w:rsidRPr="004C57CA" w14:paraId="1E065C5F" w14:textId="77777777" w:rsidTr="004C57CA">
        <w:tc>
          <w:tcPr>
            <w:tcW w:w="1004" w:type="dxa"/>
          </w:tcPr>
          <w:p w14:paraId="1759A79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Luque Carrillo, 2024</w:t>
            </w:r>
          </w:p>
        </w:tc>
        <w:tc>
          <w:tcPr>
            <w:tcW w:w="1275" w:type="dxa"/>
          </w:tcPr>
          <w:p w14:paraId="657FCB5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72A9716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69701BE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0CEAB86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Literature review of the construction process of the Cathedral at the end of the 16</w:t>
            </w:r>
            <w:r w:rsidRPr="004C57CA">
              <w:rPr>
                <w:rFonts w:ascii="Times New Roman" w:hAnsi="Times New Roman" w:cs="Times New Roman"/>
                <w:sz w:val="20"/>
                <w:szCs w:val="20"/>
                <w:vertAlign w:val="superscript"/>
              </w:rPr>
              <w:t>th</w:t>
            </w:r>
            <w:r w:rsidRPr="004C57CA">
              <w:rPr>
                <w:rFonts w:ascii="Times New Roman" w:hAnsi="Times New Roman" w:cs="Times New Roman"/>
                <w:sz w:val="20"/>
                <w:szCs w:val="20"/>
              </w:rPr>
              <w:t xml:space="preserve"> century.</w:t>
            </w:r>
          </w:p>
        </w:tc>
        <w:tc>
          <w:tcPr>
            <w:tcW w:w="4394" w:type="dxa"/>
          </w:tcPr>
          <w:p w14:paraId="23B0C7DF"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4FF06CEF"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558FEC2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16</w:t>
            </w:r>
            <w:r w:rsidRPr="004C57CA">
              <w:rPr>
                <w:rFonts w:ascii="Times New Roman" w:hAnsi="Times New Roman" w:cs="Times New Roman"/>
                <w:sz w:val="20"/>
                <w:szCs w:val="20"/>
                <w:vertAlign w:val="superscript"/>
              </w:rPr>
              <w:t>th</w:t>
            </w:r>
            <w:r w:rsidRPr="004C57CA">
              <w:rPr>
                <w:rFonts w:ascii="Times New Roman" w:hAnsi="Times New Roman" w:cs="Times New Roman"/>
                <w:sz w:val="20"/>
                <w:szCs w:val="20"/>
              </w:rPr>
              <w:t xml:space="preserve"> century; Córdoba; cathedral; </w:t>
            </w:r>
          </w:p>
          <w:p w14:paraId="0D62AFF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Juan de Ochoa; Renaissance architecture.</w:t>
            </w:r>
          </w:p>
        </w:tc>
      </w:tr>
      <w:tr w:rsidR="009D79CB" w:rsidRPr="004C57CA" w14:paraId="6FA0330B" w14:textId="77777777" w:rsidTr="004C57CA">
        <w:tc>
          <w:tcPr>
            <w:tcW w:w="1004" w:type="dxa"/>
          </w:tcPr>
          <w:p w14:paraId="5EBB6F6C"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Utrero</w:t>
            </w:r>
            <w:proofErr w:type="spellEnd"/>
            <w:r w:rsidRPr="004C57CA">
              <w:rPr>
                <w:rFonts w:ascii="Times New Roman" w:hAnsi="Times New Roman" w:cs="Times New Roman"/>
                <w:sz w:val="20"/>
                <w:szCs w:val="20"/>
              </w:rPr>
              <w:t xml:space="preserve"> </w:t>
            </w:r>
            <w:proofErr w:type="spellStart"/>
            <w:r w:rsidRPr="004C57CA">
              <w:rPr>
                <w:rFonts w:ascii="Times New Roman" w:hAnsi="Times New Roman" w:cs="Times New Roman"/>
                <w:sz w:val="20"/>
                <w:szCs w:val="20"/>
              </w:rPr>
              <w:t>Agudo</w:t>
            </w:r>
            <w:proofErr w:type="spellEnd"/>
            <w:r w:rsidRPr="004C57CA">
              <w:rPr>
                <w:rFonts w:ascii="Times New Roman" w:hAnsi="Times New Roman" w:cs="Times New Roman"/>
                <w:sz w:val="20"/>
                <w:szCs w:val="20"/>
              </w:rPr>
              <w:t xml:space="preserve"> et al., 2023</w:t>
            </w:r>
          </w:p>
        </w:tc>
        <w:tc>
          <w:tcPr>
            <w:tcW w:w="1275" w:type="dxa"/>
          </w:tcPr>
          <w:p w14:paraId="57AE6C8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59877A1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3D64DEB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61C1CC9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Review of old evidence and discovery of new Christian urban topography in Cordoba.</w:t>
            </w:r>
          </w:p>
        </w:tc>
        <w:tc>
          <w:tcPr>
            <w:tcW w:w="4394" w:type="dxa"/>
          </w:tcPr>
          <w:p w14:paraId="62D2346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3530A60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265D981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r w:rsidR="009D79CB" w:rsidRPr="004C57CA" w14:paraId="06ECF74D" w14:textId="77777777" w:rsidTr="004C57CA">
        <w:tc>
          <w:tcPr>
            <w:tcW w:w="1004" w:type="dxa"/>
          </w:tcPr>
          <w:p w14:paraId="13E14A9F" w14:textId="77777777" w:rsidR="009D79CB" w:rsidRPr="004C57CA" w:rsidRDefault="009D79CB" w:rsidP="00DE7C5D">
            <w:pPr>
              <w:rPr>
                <w:rFonts w:ascii="Times New Roman" w:hAnsi="Times New Roman" w:cs="Times New Roman"/>
                <w:sz w:val="20"/>
                <w:szCs w:val="20"/>
                <w:lang w:val="es-ES"/>
              </w:rPr>
            </w:pPr>
            <w:r w:rsidRPr="004C57CA">
              <w:rPr>
                <w:rFonts w:ascii="Times New Roman" w:hAnsi="Times New Roman" w:cs="Times New Roman"/>
                <w:sz w:val="20"/>
                <w:szCs w:val="20"/>
                <w:lang w:val="es-ES"/>
              </w:rPr>
              <w:t>Requena-</w:t>
            </w:r>
            <w:proofErr w:type="spellStart"/>
            <w:r w:rsidRPr="004C57CA">
              <w:rPr>
                <w:rFonts w:ascii="Times New Roman" w:hAnsi="Times New Roman" w:cs="Times New Roman"/>
                <w:sz w:val="20"/>
                <w:szCs w:val="20"/>
                <w:lang w:val="es-ES"/>
              </w:rPr>
              <w:t>Garcia</w:t>
            </w:r>
            <w:proofErr w:type="spellEnd"/>
            <w:r w:rsidRPr="004C57CA">
              <w:rPr>
                <w:rFonts w:ascii="Times New Roman" w:hAnsi="Times New Roman" w:cs="Times New Roman"/>
                <w:sz w:val="20"/>
                <w:szCs w:val="20"/>
                <w:lang w:val="es-ES"/>
              </w:rPr>
              <w:t>-Cruz et al., 2023</w:t>
            </w:r>
          </w:p>
        </w:tc>
        <w:tc>
          <w:tcPr>
            <w:tcW w:w="1275" w:type="dxa"/>
          </w:tcPr>
          <w:p w14:paraId="44F874E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0AAA86A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4AFCBDB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5D06D16C"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Refined 3D numerical model to analyse the Mosque-Cathedral's dynamic behaviour and seismic performance under various earthquake scenarios.</w:t>
            </w:r>
          </w:p>
        </w:tc>
        <w:tc>
          <w:tcPr>
            <w:tcW w:w="4394" w:type="dxa"/>
          </w:tcPr>
          <w:p w14:paraId="699D020F"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 of registered faults surrounding the building; Limited identification of worst-case scenarios for maximum expected magnitudes.</w:t>
            </w:r>
          </w:p>
        </w:tc>
        <w:tc>
          <w:tcPr>
            <w:tcW w:w="3118" w:type="dxa"/>
          </w:tcPr>
          <w:p w14:paraId="4764F3E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Earthquake scenarios; Dynamic analysis; Cultural heritage; UNESCO site; Seismic performance; 3D finite elements.</w:t>
            </w:r>
          </w:p>
        </w:tc>
      </w:tr>
      <w:tr w:rsidR="009D79CB" w:rsidRPr="004C57CA" w14:paraId="34C57843" w14:textId="77777777" w:rsidTr="004C57CA">
        <w:tc>
          <w:tcPr>
            <w:tcW w:w="1004" w:type="dxa"/>
          </w:tcPr>
          <w:p w14:paraId="38E1744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Padilla González, 2023</w:t>
            </w:r>
          </w:p>
        </w:tc>
        <w:tc>
          <w:tcPr>
            <w:tcW w:w="1275" w:type="dxa"/>
          </w:tcPr>
          <w:p w14:paraId="3C3589A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6CED98D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720C4DA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5D0C2E0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archaeological records of the city walls in Campo de la Merced, Córdoba, in the 18</w:t>
            </w:r>
            <w:r w:rsidRPr="004C57CA">
              <w:rPr>
                <w:rFonts w:ascii="Times New Roman" w:hAnsi="Times New Roman" w:cs="Times New Roman"/>
                <w:sz w:val="20"/>
                <w:szCs w:val="20"/>
                <w:vertAlign w:val="superscript"/>
              </w:rPr>
              <w:t>th</w:t>
            </w:r>
            <w:r w:rsidRPr="004C57CA">
              <w:rPr>
                <w:rFonts w:ascii="Times New Roman" w:hAnsi="Times New Roman" w:cs="Times New Roman"/>
                <w:sz w:val="20"/>
                <w:szCs w:val="20"/>
              </w:rPr>
              <w:t xml:space="preserve"> century.</w:t>
            </w:r>
          </w:p>
        </w:tc>
        <w:tc>
          <w:tcPr>
            <w:tcW w:w="4394" w:type="dxa"/>
          </w:tcPr>
          <w:p w14:paraId="374E901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5BFAC27B"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3E03D9C0" w14:textId="77777777" w:rsidR="009D79CB" w:rsidRPr="004C57CA" w:rsidRDefault="009D79CB" w:rsidP="00DE7C5D">
            <w:pPr>
              <w:rPr>
                <w:rFonts w:ascii="Times New Roman" w:hAnsi="Times New Roman" w:cs="Times New Roman"/>
                <w:sz w:val="20"/>
                <w:szCs w:val="20"/>
                <w:lang w:val="es-ES"/>
              </w:rPr>
            </w:pPr>
            <w:proofErr w:type="spellStart"/>
            <w:r w:rsidRPr="004C57CA">
              <w:rPr>
                <w:rFonts w:ascii="Times New Roman" w:hAnsi="Times New Roman" w:cs="Times New Roman"/>
                <w:sz w:val="20"/>
                <w:szCs w:val="20"/>
                <w:lang w:val="es-ES"/>
              </w:rPr>
              <w:t>Axerquía</w:t>
            </w:r>
            <w:proofErr w:type="spellEnd"/>
            <w:r w:rsidRPr="004C57CA">
              <w:rPr>
                <w:rFonts w:ascii="Times New Roman" w:hAnsi="Times New Roman" w:cs="Times New Roman"/>
                <w:sz w:val="20"/>
                <w:szCs w:val="20"/>
                <w:lang w:val="es-ES"/>
              </w:rPr>
              <w:t xml:space="preserve">; </w:t>
            </w:r>
            <w:proofErr w:type="spellStart"/>
            <w:r w:rsidRPr="004C57CA">
              <w:rPr>
                <w:rFonts w:ascii="Times New Roman" w:hAnsi="Times New Roman" w:cs="Times New Roman"/>
                <w:sz w:val="20"/>
                <w:szCs w:val="20"/>
                <w:lang w:val="es-ES"/>
              </w:rPr>
              <w:t>Madina</w:t>
            </w:r>
            <w:proofErr w:type="spellEnd"/>
            <w:r w:rsidRPr="004C57CA">
              <w:rPr>
                <w:rFonts w:ascii="Times New Roman" w:hAnsi="Times New Roman" w:cs="Times New Roman"/>
                <w:sz w:val="20"/>
                <w:szCs w:val="20"/>
                <w:lang w:val="es-ES"/>
              </w:rPr>
              <w:t xml:space="preserve">; Puerta de Osario; Puerta del Rincón; </w:t>
            </w:r>
            <w:proofErr w:type="spellStart"/>
            <w:r w:rsidRPr="004C57CA">
              <w:rPr>
                <w:rFonts w:ascii="Times New Roman" w:hAnsi="Times New Roman" w:cs="Times New Roman"/>
                <w:sz w:val="20"/>
                <w:szCs w:val="20"/>
                <w:lang w:val="es-ES"/>
              </w:rPr>
              <w:t>Malmuerta</w:t>
            </w:r>
            <w:proofErr w:type="spellEnd"/>
            <w:r w:rsidRPr="004C57CA">
              <w:rPr>
                <w:rFonts w:ascii="Times New Roman" w:hAnsi="Times New Roman" w:cs="Times New Roman"/>
                <w:sz w:val="20"/>
                <w:szCs w:val="20"/>
                <w:lang w:val="es-ES"/>
              </w:rPr>
              <w:t xml:space="preserve"> </w:t>
            </w:r>
            <w:proofErr w:type="spellStart"/>
            <w:r w:rsidRPr="004C57CA">
              <w:rPr>
                <w:rFonts w:ascii="Times New Roman" w:hAnsi="Times New Roman" w:cs="Times New Roman"/>
                <w:sz w:val="20"/>
                <w:szCs w:val="20"/>
                <w:lang w:val="es-ES"/>
              </w:rPr>
              <w:t>tower</w:t>
            </w:r>
            <w:proofErr w:type="spellEnd"/>
            <w:r w:rsidRPr="004C57CA">
              <w:rPr>
                <w:rFonts w:ascii="Times New Roman" w:hAnsi="Times New Roman" w:cs="Times New Roman"/>
                <w:sz w:val="20"/>
                <w:szCs w:val="20"/>
                <w:lang w:val="es-ES"/>
              </w:rPr>
              <w:t xml:space="preserve">; Albarrana </w:t>
            </w:r>
            <w:proofErr w:type="spellStart"/>
            <w:r w:rsidRPr="004C57CA">
              <w:rPr>
                <w:rFonts w:ascii="Times New Roman" w:hAnsi="Times New Roman" w:cs="Times New Roman"/>
                <w:sz w:val="20"/>
                <w:szCs w:val="20"/>
                <w:lang w:val="es-ES"/>
              </w:rPr>
              <w:t>tower</w:t>
            </w:r>
            <w:proofErr w:type="spellEnd"/>
            <w:r w:rsidRPr="004C57CA">
              <w:rPr>
                <w:rFonts w:ascii="Times New Roman" w:hAnsi="Times New Roman" w:cs="Times New Roman"/>
                <w:sz w:val="20"/>
                <w:szCs w:val="20"/>
                <w:lang w:val="es-ES"/>
              </w:rPr>
              <w:t xml:space="preserve">; </w:t>
            </w:r>
            <w:proofErr w:type="spellStart"/>
            <w:r w:rsidRPr="004C57CA">
              <w:rPr>
                <w:rFonts w:ascii="Times New Roman" w:hAnsi="Times New Roman" w:cs="Times New Roman"/>
                <w:sz w:val="20"/>
                <w:szCs w:val="20"/>
                <w:lang w:val="es-ES"/>
              </w:rPr>
              <w:t>barbican</w:t>
            </w:r>
            <w:proofErr w:type="spellEnd"/>
            <w:r w:rsidRPr="004C57CA">
              <w:rPr>
                <w:rFonts w:ascii="Times New Roman" w:hAnsi="Times New Roman" w:cs="Times New Roman"/>
                <w:sz w:val="20"/>
                <w:szCs w:val="20"/>
                <w:lang w:val="es-ES"/>
              </w:rPr>
              <w:t xml:space="preserve">; </w:t>
            </w:r>
            <w:proofErr w:type="spellStart"/>
            <w:r w:rsidRPr="004C57CA">
              <w:rPr>
                <w:rFonts w:ascii="Times New Roman" w:hAnsi="Times New Roman" w:cs="Times New Roman"/>
                <w:sz w:val="20"/>
                <w:szCs w:val="20"/>
                <w:lang w:val="es-ES"/>
              </w:rPr>
              <w:t>oppidum</w:t>
            </w:r>
            <w:proofErr w:type="spellEnd"/>
            <w:r w:rsidRPr="004C57CA">
              <w:rPr>
                <w:rFonts w:ascii="Times New Roman" w:hAnsi="Times New Roman" w:cs="Times New Roman"/>
                <w:sz w:val="20"/>
                <w:szCs w:val="20"/>
                <w:lang w:val="es-ES"/>
              </w:rPr>
              <w:t xml:space="preserve">; </w:t>
            </w:r>
            <w:proofErr w:type="spellStart"/>
            <w:r w:rsidRPr="004C57CA">
              <w:rPr>
                <w:rFonts w:ascii="Times New Roman" w:hAnsi="Times New Roman" w:cs="Times New Roman"/>
                <w:sz w:val="20"/>
                <w:szCs w:val="20"/>
                <w:lang w:val="es-ES"/>
              </w:rPr>
              <w:t>fitna</w:t>
            </w:r>
            <w:proofErr w:type="spellEnd"/>
            <w:r w:rsidRPr="004C57CA">
              <w:rPr>
                <w:rFonts w:ascii="Times New Roman" w:hAnsi="Times New Roman" w:cs="Times New Roman"/>
                <w:sz w:val="20"/>
                <w:szCs w:val="20"/>
                <w:lang w:val="es-ES"/>
              </w:rPr>
              <w:t>.</w:t>
            </w:r>
          </w:p>
        </w:tc>
      </w:tr>
      <w:tr w:rsidR="009D79CB" w:rsidRPr="004C57CA" w14:paraId="22DD5DFB" w14:textId="77777777" w:rsidTr="004C57CA">
        <w:tc>
          <w:tcPr>
            <w:tcW w:w="1004" w:type="dxa"/>
          </w:tcPr>
          <w:p w14:paraId="1713D71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Moya &amp; Menéndez, 2023</w:t>
            </w:r>
          </w:p>
        </w:tc>
        <w:tc>
          <w:tcPr>
            <w:tcW w:w="1275" w:type="dxa"/>
          </w:tcPr>
          <w:p w14:paraId="6F2ED47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729A780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2AFC9737"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3741E2A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communication management of heritage by examining online media strategies and dissemination practices of institutions in Cienfuegos and Córdoba.</w:t>
            </w:r>
          </w:p>
        </w:tc>
        <w:tc>
          <w:tcPr>
            <w:tcW w:w="4394" w:type="dxa"/>
          </w:tcPr>
          <w:p w14:paraId="75A04FE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 study focusses on online media and may not fully address heritage communication practices in other formats.</w:t>
            </w:r>
          </w:p>
        </w:tc>
        <w:tc>
          <w:tcPr>
            <w:tcW w:w="3118" w:type="dxa"/>
          </w:tcPr>
          <w:p w14:paraId="2225E56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Heritage; historic </w:t>
            </w:r>
            <w:proofErr w:type="spellStart"/>
            <w:r w:rsidRPr="004C57CA">
              <w:rPr>
                <w:rFonts w:ascii="Times New Roman" w:hAnsi="Times New Roman" w:cs="Times New Roman"/>
                <w:sz w:val="20"/>
                <w:szCs w:val="20"/>
              </w:rPr>
              <w:t>center</w:t>
            </w:r>
            <w:proofErr w:type="spellEnd"/>
            <w:r w:rsidRPr="004C57CA">
              <w:rPr>
                <w:rFonts w:ascii="Times New Roman" w:hAnsi="Times New Roman" w:cs="Times New Roman"/>
                <w:sz w:val="20"/>
                <w:szCs w:val="20"/>
              </w:rPr>
              <w:t xml:space="preserve">; </w:t>
            </w:r>
            <w:proofErr w:type="spellStart"/>
            <w:r w:rsidRPr="004C57CA">
              <w:rPr>
                <w:rFonts w:ascii="Times New Roman" w:hAnsi="Times New Roman" w:cs="Times New Roman"/>
                <w:sz w:val="20"/>
                <w:szCs w:val="20"/>
              </w:rPr>
              <w:t>jheritage</w:t>
            </w:r>
            <w:proofErr w:type="spellEnd"/>
            <w:r w:rsidRPr="004C57CA">
              <w:rPr>
                <w:rFonts w:ascii="Times New Roman" w:hAnsi="Times New Roman" w:cs="Times New Roman"/>
                <w:sz w:val="20"/>
                <w:szCs w:val="20"/>
              </w:rPr>
              <w:t xml:space="preserve"> communication management; online media; social network.</w:t>
            </w:r>
          </w:p>
        </w:tc>
      </w:tr>
      <w:tr w:rsidR="009D79CB" w:rsidRPr="004C57CA" w14:paraId="0230D333" w14:textId="77777777" w:rsidTr="004C57CA">
        <w:tc>
          <w:tcPr>
            <w:tcW w:w="1004" w:type="dxa"/>
          </w:tcPr>
          <w:p w14:paraId="2875EF8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Cuenca </w:t>
            </w:r>
            <w:proofErr w:type="spellStart"/>
            <w:r w:rsidRPr="004C57CA">
              <w:rPr>
                <w:rFonts w:ascii="Times New Roman" w:hAnsi="Times New Roman" w:cs="Times New Roman"/>
                <w:sz w:val="20"/>
                <w:szCs w:val="20"/>
              </w:rPr>
              <w:t>Abellán</w:t>
            </w:r>
            <w:proofErr w:type="spellEnd"/>
            <w:r w:rsidRPr="004C57CA">
              <w:rPr>
                <w:rFonts w:ascii="Times New Roman" w:hAnsi="Times New Roman" w:cs="Times New Roman"/>
                <w:sz w:val="20"/>
                <w:szCs w:val="20"/>
              </w:rPr>
              <w:t>, 2023</w:t>
            </w:r>
          </w:p>
        </w:tc>
        <w:tc>
          <w:tcPr>
            <w:tcW w:w="1275" w:type="dxa"/>
          </w:tcPr>
          <w:p w14:paraId="4F728D9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78AED69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666C091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59A4CEA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In-depth comparative analysis of the aesthetic and symbolic connections between al-</w:t>
            </w:r>
            <w:proofErr w:type="spellStart"/>
            <w:r w:rsidRPr="004C57CA">
              <w:rPr>
                <w:rFonts w:ascii="Times New Roman" w:hAnsi="Times New Roman" w:cs="Times New Roman"/>
                <w:sz w:val="20"/>
                <w:szCs w:val="20"/>
              </w:rPr>
              <w:t>Hakam</w:t>
            </w:r>
            <w:proofErr w:type="spellEnd"/>
            <w:r w:rsidRPr="004C57CA">
              <w:rPr>
                <w:rFonts w:ascii="Times New Roman" w:hAnsi="Times New Roman" w:cs="Times New Roman"/>
                <w:sz w:val="20"/>
                <w:szCs w:val="20"/>
              </w:rPr>
              <w:t xml:space="preserve"> II's </w:t>
            </w:r>
            <w:proofErr w:type="spellStart"/>
            <w:r w:rsidRPr="004C57CA">
              <w:rPr>
                <w:rFonts w:ascii="Times New Roman" w:hAnsi="Times New Roman" w:cs="Times New Roman"/>
                <w:sz w:val="20"/>
                <w:szCs w:val="20"/>
              </w:rPr>
              <w:t>maqsura</w:t>
            </w:r>
            <w:proofErr w:type="spellEnd"/>
            <w:r w:rsidRPr="004C57CA">
              <w:rPr>
                <w:rFonts w:ascii="Times New Roman" w:hAnsi="Times New Roman" w:cs="Times New Roman"/>
                <w:sz w:val="20"/>
                <w:szCs w:val="20"/>
              </w:rPr>
              <w:t xml:space="preserve"> and the microcosmic temple model from Late Antiquity.</w:t>
            </w:r>
          </w:p>
        </w:tc>
        <w:tc>
          <w:tcPr>
            <w:tcW w:w="4394" w:type="dxa"/>
          </w:tcPr>
          <w:p w14:paraId="2299CC91"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Limited by its reliance on existing research.</w:t>
            </w:r>
          </w:p>
        </w:tc>
        <w:tc>
          <w:tcPr>
            <w:tcW w:w="3118" w:type="dxa"/>
          </w:tcPr>
          <w:p w14:paraId="0149AAF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Microcosmic temple; </w:t>
            </w:r>
            <w:proofErr w:type="spellStart"/>
            <w:r w:rsidRPr="004C57CA">
              <w:rPr>
                <w:rFonts w:ascii="Times New Roman" w:hAnsi="Times New Roman" w:cs="Times New Roman"/>
                <w:sz w:val="20"/>
                <w:szCs w:val="20"/>
              </w:rPr>
              <w:t>islam</w:t>
            </w:r>
            <w:proofErr w:type="spellEnd"/>
            <w:r w:rsidRPr="004C57CA">
              <w:rPr>
                <w:rFonts w:ascii="Times New Roman" w:hAnsi="Times New Roman" w:cs="Times New Roman"/>
                <w:sz w:val="20"/>
                <w:szCs w:val="20"/>
              </w:rPr>
              <w:t xml:space="preserve">; architecture; mosque; iconology; light; </w:t>
            </w:r>
            <w:proofErr w:type="spellStart"/>
            <w:r w:rsidRPr="004C57CA">
              <w:rPr>
                <w:rFonts w:ascii="Times New Roman" w:hAnsi="Times New Roman" w:cs="Times New Roman"/>
                <w:sz w:val="20"/>
                <w:szCs w:val="20"/>
              </w:rPr>
              <w:t>neoplatonism</w:t>
            </w:r>
            <w:proofErr w:type="spellEnd"/>
            <w:r w:rsidRPr="004C57CA">
              <w:rPr>
                <w:rFonts w:ascii="Times New Roman" w:hAnsi="Times New Roman" w:cs="Times New Roman"/>
                <w:sz w:val="20"/>
                <w:szCs w:val="20"/>
              </w:rPr>
              <w:t>.</w:t>
            </w:r>
          </w:p>
        </w:tc>
      </w:tr>
      <w:tr w:rsidR="009D79CB" w:rsidRPr="004C57CA" w14:paraId="0ACC49BC" w14:textId="77777777" w:rsidTr="004C57CA">
        <w:tc>
          <w:tcPr>
            <w:tcW w:w="1004" w:type="dxa"/>
          </w:tcPr>
          <w:p w14:paraId="2741AAA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Capdevila, 2023</w:t>
            </w:r>
          </w:p>
        </w:tc>
        <w:tc>
          <w:tcPr>
            <w:tcW w:w="1275" w:type="dxa"/>
          </w:tcPr>
          <w:p w14:paraId="1D3D6A4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5823FE0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77D6146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6AD95CC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Interdisciplinary analysis to compare the architectural principles of the ‘ideal Islamic temple’ with Alberti’s ‘ideal temple,’ evaluating how hypostyle mosques reflect these principles.</w:t>
            </w:r>
          </w:p>
        </w:tc>
        <w:tc>
          <w:tcPr>
            <w:tcW w:w="4394" w:type="dxa"/>
          </w:tcPr>
          <w:p w14:paraId="2FC9225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 of attention to the practical variations and diverse interpretations of Islamic architectural practices which results in an incomplete representation.</w:t>
            </w:r>
          </w:p>
          <w:p w14:paraId="52369082"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tc>
        <w:tc>
          <w:tcPr>
            <w:tcW w:w="3118" w:type="dxa"/>
          </w:tcPr>
          <w:p w14:paraId="1252BA9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r w:rsidR="009D79CB" w:rsidRPr="004C57CA" w14:paraId="4596ABBC" w14:textId="77777777" w:rsidTr="004C57CA">
        <w:tc>
          <w:tcPr>
            <w:tcW w:w="1004" w:type="dxa"/>
          </w:tcPr>
          <w:p w14:paraId="4E50A72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Sim, 2022</w:t>
            </w:r>
          </w:p>
        </w:tc>
        <w:tc>
          <w:tcPr>
            <w:tcW w:w="1275" w:type="dxa"/>
          </w:tcPr>
          <w:p w14:paraId="07285B7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324A43E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661B633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43BAD3BB"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Comparative analysis of the architectural styles of the mosques and cathedrals in Córdoba and Sevilla to explore the evolution of Andalusian style and the integration of Moorish and Christian art in the 15th and 16th centuries.</w:t>
            </w:r>
          </w:p>
        </w:tc>
        <w:tc>
          <w:tcPr>
            <w:tcW w:w="4394" w:type="dxa"/>
          </w:tcPr>
          <w:p w14:paraId="71598C1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1360426C"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6EE0EAA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Mosque-cathedral in Córdoba; Spanish-Muslim and Spanish-Christian art; mudejar; Sevilla; Giralda; Hernán Ruiz.</w:t>
            </w:r>
          </w:p>
        </w:tc>
      </w:tr>
      <w:tr w:rsidR="009D79CB" w:rsidRPr="004C57CA" w14:paraId="6D098ED4" w14:textId="77777777" w:rsidTr="004C57CA">
        <w:tc>
          <w:tcPr>
            <w:tcW w:w="1004" w:type="dxa"/>
          </w:tcPr>
          <w:p w14:paraId="047400E0"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Gámiz</w:t>
            </w:r>
            <w:proofErr w:type="spellEnd"/>
            <w:r w:rsidRPr="004C57CA">
              <w:rPr>
                <w:rFonts w:ascii="Times New Roman" w:hAnsi="Times New Roman" w:cs="Times New Roman"/>
                <w:sz w:val="20"/>
                <w:szCs w:val="20"/>
              </w:rPr>
              <w:t xml:space="preserve"> </w:t>
            </w:r>
            <w:proofErr w:type="spellStart"/>
            <w:r w:rsidRPr="004C57CA">
              <w:rPr>
                <w:rFonts w:ascii="Times New Roman" w:hAnsi="Times New Roman" w:cs="Times New Roman"/>
                <w:sz w:val="20"/>
                <w:szCs w:val="20"/>
              </w:rPr>
              <w:t>Gordo</w:t>
            </w:r>
            <w:proofErr w:type="spellEnd"/>
            <w:r w:rsidRPr="004C57CA">
              <w:rPr>
                <w:rFonts w:ascii="Times New Roman" w:hAnsi="Times New Roman" w:cs="Times New Roman"/>
                <w:sz w:val="20"/>
                <w:szCs w:val="20"/>
              </w:rPr>
              <w:t xml:space="preserve"> et al., 2022</w:t>
            </w:r>
          </w:p>
        </w:tc>
        <w:tc>
          <w:tcPr>
            <w:tcW w:w="1275" w:type="dxa"/>
          </w:tcPr>
          <w:p w14:paraId="715233E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799E8E17"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52BE12B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60E2161B"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Creation of a digital geometric model of the area expanded by Al-Hakem II using 3D laser scanning, followed by a comparison of this model with three interior views published by Alexandre Laborde to evaluate their documentary accuracy.</w:t>
            </w:r>
          </w:p>
        </w:tc>
        <w:tc>
          <w:tcPr>
            <w:tcW w:w="4394" w:type="dxa"/>
          </w:tcPr>
          <w:p w14:paraId="5C76F92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 comparison relies on the precision of historical images and the digital model, which may not fully account for all complex and subtle architectural changes over time.</w:t>
            </w:r>
          </w:p>
        </w:tc>
        <w:tc>
          <w:tcPr>
            <w:tcW w:w="3118" w:type="dxa"/>
          </w:tcPr>
          <w:p w14:paraId="5B4123DC" w14:textId="77777777" w:rsidR="009D79CB" w:rsidRPr="004C57CA" w:rsidRDefault="009D79CB" w:rsidP="00DE7C5D">
            <w:pPr>
              <w:rPr>
                <w:rFonts w:ascii="Times New Roman" w:hAnsi="Times New Roman" w:cs="Times New Roman"/>
                <w:sz w:val="20"/>
                <w:szCs w:val="20"/>
                <w:lang w:val="es-ES"/>
              </w:rPr>
            </w:pPr>
            <w:proofErr w:type="spellStart"/>
            <w:r w:rsidRPr="004C57CA">
              <w:rPr>
                <w:rFonts w:ascii="Times New Roman" w:hAnsi="Times New Roman" w:cs="Times New Roman"/>
                <w:sz w:val="20"/>
                <w:szCs w:val="20"/>
                <w:lang w:val="es-ES"/>
              </w:rPr>
              <w:t>Perspective</w:t>
            </w:r>
            <w:proofErr w:type="spellEnd"/>
            <w:r w:rsidRPr="004C57CA">
              <w:rPr>
                <w:rFonts w:ascii="Times New Roman" w:hAnsi="Times New Roman" w:cs="Times New Roman"/>
                <w:sz w:val="20"/>
                <w:szCs w:val="20"/>
                <w:lang w:val="es-ES"/>
              </w:rPr>
              <w:t>; Laborde; Córdoba; mosque; catedral.</w:t>
            </w:r>
          </w:p>
        </w:tc>
      </w:tr>
      <w:tr w:rsidR="009D79CB" w:rsidRPr="004C57CA" w14:paraId="163C0311" w14:textId="77777777" w:rsidTr="004C57CA">
        <w:tc>
          <w:tcPr>
            <w:tcW w:w="1004" w:type="dxa"/>
          </w:tcPr>
          <w:p w14:paraId="390D663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Galán-Marín et al., 2022</w:t>
            </w:r>
          </w:p>
        </w:tc>
        <w:tc>
          <w:tcPr>
            <w:tcW w:w="1275" w:type="dxa"/>
          </w:tcPr>
          <w:p w14:paraId="52167FB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442DF9A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32D0412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7A60772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Evaluation of the potential of courtyards as a thermal tempering solution by assessing their relevance in Seville and Córdoba, characterizing and monitoring six representative courtyards, testing performance improvements, and evaluating urban CFD software in case studies.</w:t>
            </w:r>
          </w:p>
        </w:tc>
        <w:tc>
          <w:tcPr>
            <w:tcW w:w="4394" w:type="dxa"/>
          </w:tcPr>
          <w:p w14:paraId="61C88C1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 focus on historic cities and specific courtyard configurations may limit the applicability of the findings to other urban settings or modern design contexts.</w:t>
            </w:r>
          </w:p>
        </w:tc>
        <w:tc>
          <w:tcPr>
            <w:tcW w:w="3118" w:type="dxa"/>
          </w:tcPr>
          <w:p w14:paraId="65B2C4F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r w:rsidR="009D79CB" w:rsidRPr="004C57CA" w14:paraId="60B0A883" w14:textId="77777777" w:rsidTr="004C57CA">
        <w:tc>
          <w:tcPr>
            <w:tcW w:w="1004" w:type="dxa"/>
          </w:tcPr>
          <w:p w14:paraId="349B481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Sánchez Álvarez </w:t>
            </w:r>
            <w:r w:rsidRPr="004C57CA">
              <w:rPr>
                <w:rFonts w:ascii="Times New Roman" w:hAnsi="Times New Roman" w:cs="Times New Roman"/>
                <w:sz w:val="20"/>
                <w:szCs w:val="20"/>
              </w:rPr>
              <w:lastRenderedPageBreak/>
              <w:t>et al., 2021</w:t>
            </w:r>
          </w:p>
        </w:tc>
        <w:tc>
          <w:tcPr>
            <w:tcW w:w="1275" w:type="dxa"/>
          </w:tcPr>
          <w:p w14:paraId="442A60F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lastRenderedPageBreak/>
              <w:t>T: Medium</w:t>
            </w:r>
          </w:p>
          <w:p w14:paraId="28D6DB2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55A2C8A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60F79151"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visual pollution in Córdoba's historic </w:t>
            </w:r>
            <w:proofErr w:type="spellStart"/>
            <w:r w:rsidRPr="004C57CA">
              <w:rPr>
                <w:rFonts w:ascii="Times New Roman" w:hAnsi="Times New Roman" w:cs="Times New Roman"/>
                <w:sz w:val="20"/>
                <w:szCs w:val="20"/>
              </w:rPr>
              <w:t>center</w:t>
            </w:r>
            <w:proofErr w:type="spellEnd"/>
            <w:r w:rsidRPr="004C57CA">
              <w:rPr>
                <w:rFonts w:ascii="Times New Roman" w:hAnsi="Times New Roman" w:cs="Times New Roman"/>
                <w:sz w:val="20"/>
                <w:szCs w:val="20"/>
              </w:rPr>
              <w:t xml:space="preserve"> through the examination of urban and socioeconomic changes, evaluation </w:t>
            </w:r>
            <w:r w:rsidRPr="004C57CA">
              <w:rPr>
                <w:rFonts w:ascii="Times New Roman" w:hAnsi="Times New Roman" w:cs="Times New Roman"/>
                <w:sz w:val="20"/>
                <w:szCs w:val="20"/>
              </w:rPr>
              <w:lastRenderedPageBreak/>
              <w:t>of cultural heritage impacts, and the need for improved regulatory compliance to enhance visual perception.</w:t>
            </w:r>
          </w:p>
        </w:tc>
        <w:tc>
          <w:tcPr>
            <w:tcW w:w="4394" w:type="dxa"/>
          </w:tcPr>
          <w:p w14:paraId="148EBF8C"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lastRenderedPageBreak/>
              <w:t>Lacks a systematic methodology.</w:t>
            </w:r>
          </w:p>
          <w:p w14:paraId="43571FA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lastRenderedPageBreak/>
              <w:t>Applicability of findings to other urban areas with different visual pollution challenges and regulatory frameworks</w:t>
            </w:r>
          </w:p>
        </w:tc>
        <w:tc>
          <w:tcPr>
            <w:tcW w:w="3118" w:type="dxa"/>
          </w:tcPr>
          <w:p w14:paraId="0065E93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lastRenderedPageBreak/>
              <w:t xml:space="preserve">Visual pollution; quality of urban life; urban and cultural tourism; </w:t>
            </w:r>
            <w:r w:rsidRPr="004C57CA">
              <w:rPr>
                <w:rFonts w:ascii="Times New Roman" w:hAnsi="Times New Roman" w:cs="Times New Roman"/>
                <w:sz w:val="20"/>
                <w:szCs w:val="20"/>
              </w:rPr>
              <w:lastRenderedPageBreak/>
              <w:t>cultural heritage; urban landscape; visual perception; Córdoba (Spain).</w:t>
            </w:r>
          </w:p>
        </w:tc>
      </w:tr>
      <w:tr w:rsidR="009D79CB" w:rsidRPr="004C57CA" w14:paraId="65B136D4" w14:textId="77777777" w:rsidTr="004C57CA">
        <w:tc>
          <w:tcPr>
            <w:tcW w:w="1004" w:type="dxa"/>
          </w:tcPr>
          <w:p w14:paraId="7A23CDC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lastRenderedPageBreak/>
              <w:t>Rubio Valverde, 2021</w:t>
            </w:r>
          </w:p>
        </w:tc>
        <w:tc>
          <w:tcPr>
            <w:tcW w:w="1275" w:type="dxa"/>
          </w:tcPr>
          <w:p w14:paraId="4A99FC1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106821F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05EC025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4A23400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archaeological interventions in Córdoba to identify and categorize rammed earth wall types across the Islamic, late medieval Christian, and modern periods.</w:t>
            </w:r>
          </w:p>
        </w:tc>
        <w:tc>
          <w:tcPr>
            <w:tcW w:w="4394" w:type="dxa"/>
          </w:tcPr>
          <w:p w14:paraId="455C977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Reliance on archaeological data alone, which might not capture all variations or contexts of rammed earth construction throughout the different historical periods</w:t>
            </w:r>
          </w:p>
        </w:tc>
        <w:tc>
          <w:tcPr>
            <w:tcW w:w="3118" w:type="dxa"/>
          </w:tcPr>
          <w:p w14:paraId="0C2AEC2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Rammed earth; types; archaeology of architecture; wall study.</w:t>
            </w:r>
          </w:p>
        </w:tc>
      </w:tr>
      <w:tr w:rsidR="009D79CB" w:rsidRPr="004C57CA" w14:paraId="02B1D156" w14:textId="77777777" w:rsidTr="004C57CA">
        <w:tc>
          <w:tcPr>
            <w:tcW w:w="1004" w:type="dxa"/>
          </w:tcPr>
          <w:p w14:paraId="1356928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Nickson, 2021</w:t>
            </w:r>
          </w:p>
        </w:tc>
        <w:tc>
          <w:tcPr>
            <w:tcW w:w="1275" w:type="dxa"/>
          </w:tcPr>
          <w:p w14:paraId="7B3FD78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5B3D10E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50BDDE8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1F0FE4B9"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King Alfonso X's architectural patronage through his financial contributions to cathedrals and key projects, including the converted mosque-cathedrals of Seville and Córdoba, and comparison with his royal peers.</w:t>
            </w:r>
          </w:p>
        </w:tc>
        <w:tc>
          <w:tcPr>
            <w:tcW w:w="4394" w:type="dxa"/>
          </w:tcPr>
          <w:p w14:paraId="3FC65FB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Findings are constrained by the availability and reliability of historical evidence.</w:t>
            </w:r>
          </w:p>
          <w:p w14:paraId="385255B5"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49AEC80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513BEAF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r w:rsidR="009D79CB" w:rsidRPr="004C57CA" w14:paraId="633DDC0E" w14:textId="77777777" w:rsidTr="004C57CA">
        <w:tc>
          <w:tcPr>
            <w:tcW w:w="1004" w:type="dxa"/>
          </w:tcPr>
          <w:p w14:paraId="1537494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Gómez-Morón et al., 2021</w:t>
            </w:r>
          </w:p>
        </w:tc>
        <w:tc>
          <w:tcPr>
            <w:tcW w:w="1275" w:type="dxa"/>
          </w:tcPr>
          <w:p w14:paraId="050339E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67D2331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05FE7B6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0ED00E69"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Analytical examination of the glass tesserae from the tenth-century mosaics of the Great Umayyad Mosque of Córdoba to trace their origins and identify Byzantine compositional matches, revealing evidence of cultural and economic exchange.</w:t>
            </w:r>
          </w:p>
        </w:tc>
        <w:tc>
          <w:tcPr>
            <w:tcW w:w="4394" w:type="dxa"/>
          </w:tcPr>
          <w:p w14:paraId="5EC5814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Analysed samples do not fully represent the diversity of mosaic materials or the entire extent of Byzantine influence on mosaic production.</w:t>
            </w:r>
          </w:p>
        </w:tc>
        <w:tc>
          <w:tcPr>
            <w:tcW w:w="3118" w:type="dxa"/>
          </w:tcPr>
          <w:p w14:paraId="59FD3DE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Great Mosque of Córdoba; mosaic tesserae; byzantine glass; Islamic glass; high boron glass: lead glass.</w:t>
            </w:r>
          </w:p>
        </w:tc>
      </w:tr>
      <w:tr w:rsidR="009D79CB" w:rsidRPr="004C57CA" w14:paraId="4193EB4C" w14:textId="77777777" w:rsidTr="004C57CA">
        <w:tc>
          <w:tcPr>
            <w:tcW w:w="1004" w:type="dxa"/>
          </w:tcPr>
          <w:p w14:paraId="6348931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Garrido Anguita et al., 2021</w:t>
            </w:r>
          </w:p>
        </w:tc>
        <w:tc>
          <w:tcPr>
            <w:tcW w:w="1275" w:type="dxa"/>
          </w:tcPr>
          <w:p w14:paraId="724044A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2695BBD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595306F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613FC50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the promotion and integration of five prehistoric sites in Córdoba into the tourism sector by collaborating with local institutions to gather visitor statistics and evaluate the effectiveness of their management and economic impact.</w:t>
            </w:r>
          </w:p>
        </w:tc>
        <w:tc>
          <w:tcPr>
            <w:tcW w:w="4394" w:type="dxa"/>
          </w:tcPr>
          <w:p w14:paraId="667611A1"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Availability and reliability of visitor data from local institutions</w:t>
            </w:r>
          </w:p>
        </w:tc>
        <w:tc>
          <w:tcPr>
            <w:tcW w:w="3118" w:type="dxa"/>
          </w:tcPr>
          <w:p w14:paraId="5A8F2BE6"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Paleolithic</w:t>
            </w:r>
            <w:proofErr w:type="spellEnd"/>
            <w:r w:rsidRPr="004C57CA">
              <w:rPr>
                <w:rFonts w:ascii="Times New Roman" w:hAnsi="Times New Roman" w:cs="Times New Roman"/>
                <w:sz w:val="20"/>
                <w:szCs w:val="20"/>
              </w:rPr>
              <w:t>; Neolithic; rock art; tourism; prehistory; Córdoba; heritage.</w:t>
            </w:r>
          </w:p>
        </w:tc>
      </w:tr>
      <w:tr w:rsidR="009D79CB" w:rsidRPr="004C57CA" w14:paraId="20CB5DAB" w14:textId="77777777" w:rsidTr="004C57CA">
        <w:tc>
          <w:tcPr>
            <w:tcW w:w="1004" w:type="dxa"/>
          </w:tcPr>
          <w:p w14:paraId="151DBC9D"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Gámiz-Gordo</w:t>
            </w:r>
            <w:proofErr w:type="spellEnd"/>
            <w:r w:rsidRPr="004C57CA">
              <w:rPr>
                <w:rFonts w:ascii="Times New Roman" w:hAnsi="Times New Roman" w:cs="Times New Roman"/>
                <w:sz w:val="20"/>
                <w:szCs w:val="20"/>
              </w:rPr>
              <w:t xml:space="preserve"> et al., 2021</w:t>
            </w:r>
          </w:p>
        </w:tc>
        <w:tc>
          <w:tcPr>
            <w:tcW w:w="1275" w:type="dxa"/>
          </w:tcPr>
          <w:p w14:paraId="30D987C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243AFF1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0657E8E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758D879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Comparison of </w:t>
            </w:r>
            <w:proofErr w:type="spellStart"/>
            <w:r w:rsidRPr="004C57CA">
              <w:rPr>
                <w:rFonts w:ascii="Times New Roman" w:hAnsi="Times New Roman" w:cs="Times New Roman"/>
                <w:sz w:val="20"/>
                <w:szCs w:val="20"/>
              </w:rPr>
              <w:t>Philibert</w:t>
            </w:r>
            <w:proofErr w:type="spellEnd"/>
            <w:r w:rsidRPr="004C57CA">
              <w:rPr>
                <w:rFonts w:ascii="Times New Roman" w:hAnsi="Times New Roman" w:cs="Times New Roman"/>
                <w:sz w:val="20"/>
                <w:szCs w:val="20"/>
              </w:rPr>
              <w:t xml:space="preserve"> </w:t>
            </w:r>
            <w:proofErr w:type="spellStart"/>
            <w:r w:rsidRPr="004C57CA">
              <w:rPr>
                <w:rFonts w:ascii="Times New Roman" w:hAnsi="Times New Roman" w:cs="Times New Roman"/>
                <w:sz w:val="20"/>
                <w:szCs w:val="20"/>
              </w:rPr>
              <w:t>Girault</w:t>
            </w:r>
            <w:proofErr w:type="spellEnd"/>
            <w:r w:rsidRPr="004C57CA">
              <w:rPr>
                <w:rFonts w:ascii="Times New Roman" w:hAnsi="Times New Roman" w:cs="Times New Roman"/>
                <w:sz w:val="20"/>
                <w:szCs w:val="20"/>
              </w:rPr>
              <w:t xml:space="preserve"> de </w:t>
            </w:r>
            <w:proofErr w:type="spellStart"/>
            <w:r w:rsidRPr="004C57CA">
              <w:rPr>
                <w:rFonts w:ascii="Times New Roman" w:hAnsi="Times New Roman" w:cs="Times New Roman"/>
                <w:sz w:val="20"/>
                <w:szCs w:val="20"/>
              </w:rPr>
              <w:t>Prangey's</w:t>
            </w:r>
            <w:proofErr w:type="spellEnd"/>
            <w:r w:rsidRPr="004C57CA">
              <w:rPr>
                <w:rFonts w:ascii="Times New Roman" w:hAnsi="Times New Roman" w:cs="Times New Roman"/>
                <w:sz w:val="20"/>
                <w:szCs w:val="20"/>
              </w:rPr>
              <w:t xml:space="preserve"> 19th-century interior perspectives of the Mosque-Cathedral of Cordoba with a digital model derived from 3D laser scanning, analysing geometric precision and historical context.</w:t>
            </w:r>
          </w:p>
        </w:tc>
        <w:tc>
          <w:tcPr>
            <w:tcW w:w="4394" w:type="dxa"/>
          </w:tcPr>
          <w:p w14:paraId="519821EB"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Discrepancies between historical drawings and modern 3D measurements, along with constraints from historical images and architectural changes, may affect the study's findings.</w:t>
            </w:r>
          </w:p>
        </w:tc>
        <w:tc>
          <w:tcPr>
            <w:tcW w:w="3118" w:type="dxa"/>
          </w:tcPr>
          <w:p w14:paraId="545A21B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Mosque-Cathedral; Cordoba; </w:t>
            </w:r>
            <w:proofErr w:type="spellStart"/>
            <w:r w:rsidRPr="004C57CA">
              <w:rPr>
                <w:rFonts w:ascii="Times New Roman" w:hAnsi="Times New Roman" w:cs="Times New Roman"/>
                <w:sz w:val="20"/>
                <w:szCs w:val="20"/>
              </w:rPr>
              <w:t>Girault</w:t>
            </w:r>
            <w:proofErr w:type="spellEnd"/>
            <w:r w:rsidRPr="004C57CA">
              <w:rPr>
                <w:rFonts w:ascii="Times New Roman" w:hAnsi="Times New Roman" w:cs="Times New Roman"/>
                <w:sz w:val="20"/>
                <w:szCs w:val="20"/>
              </w:rPr>
              <w:t xml:space="preserve"> de </w:t>
            </w:r>
            <w:proofErr w:type="spellStart"/>
            <w:r w:rsidRPr="004C57CA">
              <w:rPr>
                <w:rFonts w:ascii="Times New Roman" w:hAnsi="Times New Roman" w:cs="Times New Roman"/>
                <w:sz w:val="20"/>
                <w:szCs w:val="20"/>
              </w:rPr>
              <w:t>Prangey</w:t>
            </w:r>
            <w:proofErr w:type="spellEnd"/>
            <w:r w:rsidRPr="004C57CA">
              <w:rPr>
                <w:rFonts w:ascii="Times New Roman" w:hAnsi="Times New Roman" w:cs="Times New Roman"/>
                <w:sz w:val="20"/>
                <w:szCs w:val="20"/>
              </w:rPr>
              <w:t>; view; perspective; 3D laser scanner.</w:t>
            </w:r>
          </w:p>
        </w:tc>
      </w:tr>
      <w:tr w:rsidR="009D79CB" w:rsidRPr="004C57CA" w14:paraId="6F2642C7" w14:textId="77777777" w:rsidTr="004C57CA">
        <w:tc>
          <w:tcPr>
            <w:tcW w:w="1004" w:type="dxa"/>
          </w:tcPr>
          <w:p w14:paraId="6F0D275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Casal García, 2021</w:t>
            </w:r>
          </w:p>
        </w:tc>
        <w:tc>
          <w:tcPr>
            <w:tcW w:w="1275" w:type="dxa"/>
          </w:tcPr>
          <w:p w14:paraId="66AC5EB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7DBAB8B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7F4E538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7AE80BE1"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urbanism and materials from the </w:t>
            </w:r>
            <w:proofErr w:type="spellStart"/>
            <w:r w:rsidRPr="004C57CA">
              <w:rPr>
                <w:rFonts w:ascii="Times New Roman" w:hAnsi="Times New Roman" w:cs="Times New Roman"/>
                <w:sz w:val="20"/>
                <w:szCs w:val="20"/>
              </w:rPr>
              <w:t>arrabal</w:t>
            </w:r>
            <w:proofErr w:type="spellEnd"/>
            <w:r w:rsidRPr="004C57CA">
              <w:rPr>
                <w:rFonts w:ascii="Times New Roman" w:hAnsi="Times New Roman" w:cs="Times New Roman"/>
                <w:sz w:val="20"/>
                <w:szCs w:val="20"/>
              </w:rPr>
              <w:t xml:space="preserve"> of </w:t>
            </w:r>
            <w:proofErr w:type="spellStart"/>
            <w:r w:rsidRPr="004C57CA">
              <w:rPr>
                <w:rFonts w:ascii="Times New Roman" w:hAnsi="Times New Roman" w:cs="Times New Roman"/>
                <w:sz w:val="20"/>
                <w:szCs w:val="20"/>
              </w:rPr>
              <w:t>Šaqunda</w:t>
            </w:r>
            <w:proofErr w:type="spellEnd"/>
            <w:r w:rsidRPr="004C57CA">
              <w:rPr>
                <w:rFonts w:ascii="Times New Roman" w:hAnsi="Times New Roman" w:cs="Times New Roman"/>
                <w:sz w:val="20"/>
                <w:szCs w:val="20"/>
              </w:rPr>
              <w:t xml:space="preserve">, combined with archaeological and historical research, to study the social, cultural, and economic transformations during the early period of </w:t>
            </w:r>
            <w:proofErr w:type="spellStart"/>
            <w:r w:rsidRPr="004C57CA">
              <w:rPr>
                <w:rFonts w:ascii="Times New Roman" w:hAnsi="Times New Roman" w:cs="Times New Roman"/>
                <w:sz w:val="20"/>
                <w:szCs w:val="20"/>
              </w:rPr>
              <w:t>al-Andalus</w:t>
            </w:r>
            <w:proofErr w:type="spellEnd"/>
            <w:r w:rsidRPr="004C57CA">
              <w:rPr>
                <w:rFonts w:ascii="Times New Roman" w:hAnsi="Times New Roman" w:cs="Times New Roman"/>
                <w:sz w:val="20"/>
                <w:szCs w:val="20"/>
              </w:rPr>
              <w:t>.</w:t>
            </w:r>
          </w:p>
        </w:tc>
        <w:tc>
          <w:tcPr>
            <w:tcW w:w="4394" w:type="dxa"/>
          </w:tcPr>
          <w:p w14:paraId="331CB7D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 study may be limited by incomplete archaeological records, potential biases in historical sources, and the challenges of interpreting early urbanization processes and cultural integration.</w:t>
            </w:r>
          </w:p>
          <w:p w14:paraId="6FC58BB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tc>
        <w:tc>
          <w:tcPr>
            <w:tcW w:w="3118" w:type="dxa"/>
          </w:tcPr>
          <w:p w14:paraId="088EF3A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Islamic architecture; </w:t>
            </w:r>
            <w:proofErr w:type="spellStart"/>
            <w:r w:rsidRPr="004C57CA">
              <w:rPr>
                <w:rFonts w:ascii="Times New Roman" w:hAnsi="Times New Roman" w:cs="Times New Roman"/>
                <w:sz w:val="20"/>
                <w:szCs w:val="20"/>
              </w:rPr>
              <w:t>al-Andalus</w:t>
            </w:r>
            <w:proofErr w:type="spellEnd"/>
            <w:r w:rsidRPr="004C57CA">
              <w:rPr>
                <w:rFonts w:ascii="Times New Roman" w:hAnsi="Times New Roman" w:cs="Times New Roman"/>
                <w:sz w:val="20"/>
                <w:szCs w:val="20"/>
              </w:rPr>
              <w:t xml:space="preserve">; </w:t>
            </w:r>
            <w:proofErr w:type="spellStart"/>
            <w:r w:rsidRPr="004C57CA">
              <w:rPr>
                <w:rFonts w:ascii="Times New Roman" w:hAnsi="Times New Roman" w:cs="Times New Roman"/>
                <w:sz w:val="20"/>
                <w:szCs w:val="20"/>
              </w:rPr>
              <w:t>islamicate</w:t>
            </w:r>
            <w:proofErr w:type="spellEnd"/>
            <w:r w:rsidRPr="004C57CA">
              <w:rPr>
                <w:rFonts w:ascii="Times New Roman" w:hAnsi="Times New Roman" w:cs="Times New Roman"/>
                <w:sz w:val="20"/>
                <w:szCs w:val="20"/>
              </w:rPr>
              <w:t xml:space="preserve">; Umayyad; </w:t>
            </w:r>
            <w:proofErr w:type="spellStart"/>
            <w:r w:rsidRPr="004C57CA">
              <w:rPr>
                <w:rFonts w:ascii="Times New Roman" w:hAnsi="Times New Roman" w:cs="Times New Roman"/>
                <w:sz w:val="20"/>
                <w:szCs w:val="20"/>
              </w:rPr>
              <w:t>islamic</w:t>
            </w:r>
            <w:proofErr w:type="spellEnd"/>
            <w:r w:rsidRPr="004C57CA">
              <w:rPr>
                <w:rFonts w:ascii="Times New Roman" w:hAnsi="Times New Roman" w:cs="Times New Roman"/>
                <w:sz w:val="20"/>
                <w:szCs w:val="20"/>
              </w:rPr>
              <w:t xml:space="preserve"> material culture.</w:t>
            </w:r>
          </w:p>
        </w:tc>
      </w:tr>
      <w:tr w:rsidR="009D79CB" w:rsidRPr="004C57CA" w14:paraId="7518A01D" w14:textId="77777777" w:rsidTr="004C57CA">
        <w:tc>
          <w:tcPr>
            <w:tcW w:w="1004" w:type="dxa"/>
          </w:tcPr>
          <w:p w14:paraId="16111C4C"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Villafaina</w:t>
            </w:r>
            <w:proofErr w:type="spellEnd"/>
            <w:r w:rsidRPr="004C57CA">
              <w:rPr>
                <w:rFonts w:ascii="Times New Roman" w:hAnsi="Times New Roman" w:cs="Times New Roman"/>
                <w:sz w:val="20"/>
                <w:szCs w:val="20"/>
              </w:rPr>
              <w:t xml:space="preserve"> et al., 2020</w:t>
            </w:r>
          </w:p>
        </w:tc>
        <w:tc>
          <w:tcPr>
            <w:tcW w:w="1275" w:type="dxa"/>
          </w:tcPr>
          <w:p w14:paraId="29775AB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62DEEBE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1D0DC2B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33F36AE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Examination of the Mosque of Córdoba's management model and recent alterations to assess their impact on the UNESCO Outstanding Universal Value and authenticity, drawing an analogy with the conversion of the Hagia Sophia in Istanbul.</w:t>
            </w:r>
          </w:p>
        </w:tc>
        <w:tc>
          <w:tcPr>
            <w:tcW w:w="4394" w:type="dxa"/>
          </w:tcPr>
          <w:p w14:paraId="1C58EEE5"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 study may be limited by subjective interpretations of what constitutes "symbolic mutilation" and potential biases in comparing the Mosque of Córdoba with the Hagia Sophia.</w:t>
            </w:r>
          </w:p>
          <w:p w14:paraId="1AD18BE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73F0E60C"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p w14:paraId="7BB63EFC" w14:textId="77777777" w:rsidR="009D79CB" w:rsidRPr="004C57CA" w:rsidRDefault="009D79CB" w:rsidP="00DE7C5D">
            <w:pPr>
              <w:jc w:val="both"/>
              <w:rPr>
                <w:rFonts w:ascii="Times New Roman" w:hAnsi="Times New Roman" w:cs="Times New Roman"/>
                <w:sz w:val="20"/>
                <w:szCs w:val="20"/>
              </w:rPr>
            </w:pPr>
          </w:p>
        </w:tc>
        <w:tc>
          <w:tcPr>
            <w:tcW w:w="3118" w:type="dxa"/>
          </w:tcPr>
          <w:p w14:paraId="199B47A7"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Andalusian art; world heritage; authenticity; cultural coexistence; historical heritage; intangible heritage; interpretation of heritage; Mosque of Córdoba; Saint Sophia cathedral; symbolic mutilation of heritage; Umayyad art; UNESCO.</w:t>
            </w:r>
          </w:p>
        </w:tc>
      </w:tr>
      <w:tr w:rsidR="009D79CB" w:rsidRPr="004C57CA" w14:paraId="3699976F" w14:textId="77777777" w:rsidTr="004C57CA">
        <w:tc>
          <w:tcPr>
            <w:tcW w:w="1004" w:type="dxa"/>
          </w:tcPr>
          <w:p w14:paraId="030150B8"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Vaquerizo</w:t>
            </w:r>
            <w:proofErr w:type="spellEnd"/>
            <w:r w:rsidRPr="004C57CA">
              <w:rPr>
                <w:rFonts w:ascii="Times New Roman" w:hAnsi="Times New Roman" w:cs="Times New Roman"/>
                <w:sz w:val="20"/>
                <w:szCs w:val="20"/>
              </w:rPr>
              <w:t xml:space="preserve"> Gil, 2020</w:t>
            </w:r>
          </w:p>
        </w:tc>
        <w:tc>
          <w:tcPr>
            <w:tcW w:w="1275" w:type="dxa"/>
          </w:tcPr>
          <w:p w14:paraId="6482460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74C6958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016331F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5581779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Review of the evolution of Córdoba’s inner patios and their role in the city’s identity, while analysing the impacts of mass tourism and gentrification on its historical and cultural integrity.</w:t>
            </w:r>
          </w:p>
        </w:tc>
        <w:tc>
          <w:tcPr>
            <w:tcW w:w="4394" w:type="dxa"/>
          </w:tcPr>
          <w:p w14:paraId="62D512E0"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Constrained by subjective assessments of gentrification and tourism impacts, and the challenge of balancing historical authenticity with contemporary urban dynamics.</w:t>
            </w:r>
          </w:p>
        </w:tc>
        <w:tc>
          <w:tcPr>
            <w:tcW w:w="3118" w:type="dxa"/>
          </w:tcPr>
          <w:p w14:paraId="234203D4"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Archeology</w:t>
            </w:r>
            <w:proofErr w:type="spellEnd"/>
            <w:r w:rsidRPr="004C57CA">
              <w:rPr>
                <w:rFonts w:ascii="Times New Roman" w:hAnsi="Times New Roman" w:cs="Times New Roman"/>
                <w:sz w:val="20"/>
                <w:szCs w:val="20"/>
              </w:rPr>
              <w:t xml:space="preserve">; anthropology; heritage; tourism; </w:t>
            </w:r>
            <w:proofErr w:type="spellStart"/>
            <w:r w:rsidRPr="004C57CA">
              <w:rPr>
                <w:rFonts w:ascii="Times New Roman" w:hAnsi="Times New Roman" w:cs="Times New Roman"/>
                <w:sz w:val="20"/>
                <w:szCs w:val="20"/>
              </w:rPr>
              <w:t>etnography</w:t>
            </w:r>
            <w:proofErr w:type="spellEnd"/>
            <w:r w:rsidRPr="004C57CA">
              <w:rPr>
                <w:rFonts w:ascii="Times New Roman" w:hAnsi="Times New Roman" w:cs="Times New Roman"/>
                <w:sz w:val="20"/>
                <w:szCs w:val="20"/>
              </w:rPr>
              <w:t>.</w:t>
            </w:r>
          </w:p>
        </w:tc>
      </w:tr>
      <w:tr w:rsidR="009D79CB" w:rsidRPr="004C57CA" w14:paraId="3438DF98" w14:textId="77777777" w:rsidTr="004C57CA">
        <w:tc>
          <w:tcPr>
            <w:tcW w:w="1004" w:type="dxa"/>
          </w:tcPr>
          <w:p w14:paraId="41801537"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Redaelli, 2020</w:t>
            </w:r>
          </w:p>
        </w:tc>
        <w:tc>
          <w:tcPr>
            <w:tcW w:w="1275" w:type="dxa"/>
          </w:tcPr>
          <w:p w14:paraId="69BAAE8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39C753A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2EE208B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3075FBED"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the relationship between gentrification and the Right to the City through urban rehabilitation and social innovation projects, with a focus on cooperative processes in the PAX-Patios de la </w:t>
            </w:r>
            <w:proofErr w:type="spellStart"/>
            <w:r w:rsidRPr="004C57CA">
              <w:rPr>
                <w:rFonts w:ascii="Times New Roman" w:hAnsi="Times New Roman" w:cs="Times New Roman"/>
                <w:sz w:val="20"/>
                <w:szCs w:val="20"/>
              </w:rPr>
              <w:t>Axerquía</w:t>
            </w:r>
            <w:proofErr w:type="spellEnd"/>
            <w:r w:rsidRPr="004C57CA">
              <w:rPr>
                <w:rFonts w:ascii="Times New Roman" w:hAnsi="Times New Roman" w:cs="Times New Roman"/>
                <w:sz w:val="20"/>
                <w:szCs w:val="20"/>
              </w:rPr>
              <w:t xml:space="preserve"> initiative in Córdoba.</w:t>
            </w:r>
          </w:p>
        </w:tc>
        <w:tc>
          <w:tcPr>
            <w:tcW w:w="4394" w:type="dxa"/>
          </w:tcPr>
          <w:p w14:paraId="394E6E9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Complexity of measuring the impact of gentrification and social cohesion, and potential biases in evaluating the success of specific rehabilitation projects.</w:t>
            </w:r>
          </w:p>
        </w:tc>
        <w:tc>
          <w:tcPr>
            <w:tcW w:w="3118" w:type="dxa"/>
          </w:tcPr>
          <w:p w14:paraId="10F5793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Urban rehabilitation; social innovation; cooperativism; gentrification; right to the city.</w:t>
            </w:r>
          </w:p>
        </w:tc>
      </w:tr>
      <w:tr w:rsidR="009D79CB" w:rsidRPr="004C57CA" w14:paraId="45A69BEB" w14:textId="77777777" w:rsidTr="004C57CA">
        <w:tc>
          <w:tcPr>
            <w:tcW w:w="1004" w:type="dxa"/>
          </w:tcPr>
          <w:p w14:paraId="1DB5363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lastRenderedPageBreak/>
              <w:t>López Merino, 2020</w:t>
            </w:r>
          </w:p>
        </w:tc>
        <w:tc>
          <w:tcPr>
            <w:tcW w:w="1275" w:type="dxa"/>
          </w:tcPr>
          <w:p w14:paraId="4BECD61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57DDCD2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73133B3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43D45B3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Examination of the history of Córdoba's architectural restoration through the lens of "false history" and "Unity of style," an Examination of the history of Córdoba's architectural restoration through the lens of "false history" and "Unity of style," analysing shifts in heritage trends from the 19th century through the Franco dictatorship to the democratic era analysing shifts in heritage trends from the 19th century through the Franco dictatorship to the democratic era.</w:t>
            </w:r>
          </w:p>
        </w:tc>
        <w:tc>
          <w:tcPr>
            <w:tcW w:w="4394" w:type="dxa"/>
          </w:tcPr>
          <w:p w14:paraId="44BD2979"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27ECD98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p w14:paraId="4461F05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Subjective interpretations of architectural styles and historical values, as well as challenges in assessing the impact of evolving heritage trends on restoration practices.</w:t>
            </w:r>
          </w:p>
        </w:tc>
        <w:tc>
          <w:tcPr>
            <w:tcW w:w="3118" w:type="dxa"/>
          </w:tcPr>
          <w:p w14:paraId="7C4D89A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Historicist; restoration; “historical fake”; Cordova; heritage.</w:t>
            </w:r>
          </w:p>
        </w:tc>
      </w:tr>
      <w:tr w:rsidR="009D79CB" w:rsidRPr="004C57CA" w14:paraId="45B54101" w14:textId="77777777" w:rsidTr="004C57CA">
        <w:tc>
          <w:tcPr>
            <w:tcW w:w="1004" w:type="dxa"/>
          </w:tcPr>
          <w:p w14:paraId="70A967C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Karimi et al., 2020</w:t>
            </w:r>
          </w:p>
        </w:tc>
        <w:tc>
          <w:tcPr>
            <w:tcW w:w="1275" w:type="dxa"/>
          </w:tcPr>
          <w:p w14:paraId="2E00571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5E195CE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0E0CE99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20696AF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Descriptive-analytical analysis of geometric patterns in the Ateeq Mosque (Shiraz) and the Cordoba Mosque (Cordoba) to identify similarities in motifs and their symbolic meanings.</w:t>
            </w:r>
          </w:p>
        </w:tc>
        <w:tc>
          <w:tcPr>
            <w:tcW w:w="4394" w:type="dxa"/>
          </w:tcPr>
          <w:p w14:paraId="0739794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Subjective interpretations of symbolic meanings and the challenge of comparing architectural motifs across different cultural and historical contexts.</w:t>
            </w:r>
          </w:p>
        </w:tc>
        <w:tc>
          <w:tcPr>
            <w:tcW w:w="3118" w:type="dxa"/>
          </w:tcPr>
          <w:p w14:paraId="42EE295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Geometric motifs; Islamic architecture; geometry; Ateeq Mosque (Shiraz); Cordoba Mosque.</w:t>
            </w:r>
          </w:p>
        </w:tc>
      </w:tr>
      <w:tr w:rsidR="009D79CB" w:rsidRPr="004C57CA" w14:paraId="4348ED25" w14:textId="77777777" w:rsidTr="004C57CA">
        <w:tc>
          <w:tcPr>
            <w:tcW w:w="1004" w:type="dxa"/>
          </w:tcPr>
          <w:p w14:paraId="685FA275"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Clapés</w:t>
            </w:r>
            <w:proofErr w:type="spellEnd"/>
            <w:r w:rsidRPr="004C57CA">
              <w:rPr>
                <w:rFonts w:ascii="Times New Roman" w:hAnsi="Times New Roman" w:cs="Times New Roman"/>
                <w:sz w:val="20"/>
                <w:szCs w:val="20"/>
              </w:rPr>
              <w:t xml:space="preserve"> </w:t>
            </w:r>
            <w:proofErr w:type="spellStart"/>
            <w:r w:rsidRPr="004C57CA">
              <w:rPr>
                <w:rFonts w:ascii="Times New Roman" w:hAnsi="Times New Roman" w:cs="Times New Roman"/>
                <w:sz w:val="20"/>
                <w:szCs w:val="20"/>
              </w:rPr>
              <w:t>Salmoral</w:t>
            </w:r>
            <w:proofErr w:type="spellEnd"/>
            <w:r w:rsidRPr="004C57CA">
              <w:rPr>
                <w:rFonts w:ascii="Times New Roman" w:hAnsi="Times New Roman" w:cs="Times New Roman"/>
                <w:sz w:val="20"/>
                <w:szCs w:val="20"/>
              </w:rPr>
              <w:t>, 2020</w:t>
            </w:r>
          </w:p>
        </w:tc>
        <w:tc>
          <w:tcPr>
            <w:tcW w:w="1275" w:type="dxa"/>
          </w:tcPr>
          <w:p w14:paraId="37E84C1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65BB727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6323C30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6DFCF3E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archaeological findings from the </w:t>
            </w:r>
            <w:proofErr w:type="spellStart"/>
            <w:r w:rsidRPr="004C57CA">
              <w:rPr>
                <w:rFonts w:ascii="Times New Roman" w:hAnsi="Times New Roman" w:cs="Times New Roman"/>
                <w:sz w:val="20"/>
                <w:szCs w:val="20"/>
              </w:rPr>
              <w:t>Tablero</w:t>
            </w:r>
            <w:proofErr w:type="spellEnd"/>
            <w:r w:rsidRPr="004C57CA">
              <w:rPr>
                <w:rFonts w:ascii="Times New Roman" w:hAnsi="Times New Roman" w:cs="Times New Roman"/>
                <w:sz w:val="20"/>
                <w:szCs w:val="20"/>
              </w:rPr>
              <w:t xml:space="preserve"> Alto site in Córdoba to reconstruct the structure and evolution of Umayyad buildings and their integration into the broader </w:t>
            </w:r>
            <w:proofErr w:type="spellStart"/>
            <w:r w:rsidRPr="004C57CA">
              <w:rPr>
                <w:rFonts w:ascii="Times New Roman" w:hAnsi="Times New Roman" w:cs="Times New Roman"/>
                <w:sz w:val="20"/>
                <w:szCs w:val="20"/>
              </w:rPr>
              <w:t>almunia</w:t>
            </w:r>
            <w:proofErr w:type="spellEnd"/>
            <w:r w:rsidRPr="004C57CA">
              <w:rPr>
                <w:rFonts w:ascii="Times New Roman" w:hAnsi="Times New Roman" w:cs="Times New Roman"/>
                <w:sz w:val="20"/>
                <w:szCs w:val="20"/>
              </w:rPr>
              <w:t xml:space="preserve"> of al-</w:t>
            </w:r>
            <w:proofErr w:type="spellStart"/>
            <w:r w:rsidRPr="004C57CA">
              <w:rPr>
                <w:rFonts w:ascii="Times New Roman" w:hAnsi="Times New Roman" w:cs="Times New Roman"/>
                <w:sz w:val="20"/>
                <w:szCs w:val="20"/>
              </w:rPr>
              <w:t>Ruṣāfa</w:t>
            </w:r>
            <w:proofErr w:type="spellEnd"/>
            <w:r w:rsidRPr="004C57CA">
              <w:rPr>
                <w:rFonts w:ascii="Times New Roman" w:hAnsi="Times New Roman" w:cs="Times New Roman"/>
                <w:sz w:val="20"/>
                <w:szCs w:val="20"/>
              </w:rPr>
              <w:t>.</w:t>
            </w:r>
          </w:p>
        </w:tc>
        <w:tc>
          <w:tcPr>
            <w:tcW w:w="4394" w:type="dxa"/>
          </w:tcPr>
          <w:p w14:paraId="1C25A60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Partiality of the archaeological results and challenges in accurately relating the findings to the broader historical and spatial context of the al-</w:t>
            </w:r>
            <w:proofErr w:type="spellStart"/>
            <w:r w:rsidRPr="004C57CA">
              <w:rPr>
                <w:rFonts w:ascii="Times New Roman" w:hAnsi="Times New Roman" w:cs="Times New Roman"/>
                <w:sz w:val="20"/>
                <w:szCs w:val="20"/>
              </w:rPr>
              <w:t>Ruṣāfa</w:t>
            </w:r>
            <w:proofErr w:type="spellEnd"/>
            <w:r w:rsidRPr="004C57CA">
              <w:rPr>
                <w:rFonts w:ascii="Times New Roman" w:hAnsi="Times New Roman" w:cs="Times New Roman"/>
                <w:sz w:val="20"/>
                <w:szCs w:val="20"/>
              </w:rPr>
              <w:t xml:space="preserve"> complex.</w:t>
            </w:r>
          </w:p>
        </w:tc>
        <w:tc>
          <w:tcPr>
            <w:tcW w:w="3118" w:type="dxa"/>
          </w:tcPr>
          <w:p w14:paraId="6B5F54E6" w14:textId="77777777" w:rsidR="009D79CB" w:rsidRPr="004C57CA" w:rsidRDefault="009D79CB" w:rsidP="00DE7C5D">
            <w:pPr>
              <w:rPr>
                <w:rFonts w:ascii="Times New Roman" w:hAnsi="Times New Roman" w:cs="Times New Roman"/>
                <w:sz w:val="20"/>
                <w:szCs w:val="20"/>
                <w:lang w:val="es-ES"/>
              </w:rPr>
            </w:pPr>
            <w:r w:rsidRPr="004C57CA">
              <w:rPr>
                <w:rFonts w:ascii="Times New Roman" w:hAnsi="Times New Roman" w:cs="Times New Roman"/>
                <w:sz w:val="20"/>
                <w:szCs w:val="20"/>
                <w:lang w:val="es-ES"/>
              </w:rPr>
              <w:t>Al-</w:t>
            </w:r>
            <w:proofErr w:type="spellStart"/>
            <w:r w:rsidRPr="004C57CA">
              <w:rPr>
                <w:rFonts w:ascii="Times New Roman" w:hAnsi="Times New Roman" w:cs="Times New Roman"/>
                <w:sz w:val="20"/>
                <w:szCs w:val="20"/>
                <w:lang w:val="es-ES"/>
              </w:rPr>
              <w:t>Andalus</w:t>
            </w:r>
            <w:proofErr w:type="spellEnd"/>
            <w:r w:rsidRPr="004C57CA">
              <w:rPr>
                <w:rFonts w:ascii="Times New Roman" w:hAnsi="Times New Roman" w:cs="Times New Roman"/>
                <w:sz w:val="20"/>
                <w:szCs w:val="20"/>
                <w:lang w:val="es-ES"/>
              </w:rPr>
              <w:t xml:space="preserve">; Almunia; </w:t>
            </w:r>
            <w:proofErr w:type="spellStart"/>
            <w:r w:rsidRPr="004C57CA">
              <w:rPr>
                <w:rFonts w:ascii="Times New Roman" w:hAnsi="Times New Roman" w:cs="Times New Roman"/>
                <w:sz w:val="20"/>
                <w:szCs w:val="20"/>
                <w:lang w:val="es-ES"/>
              </w:rPr>
              <w:t>Umayyad</w:t>
            </w:r>
            <w:proofErr w:type="spellEnd"/>
            <w:r w:rsidRPr="004C57CA">
              <w:rPr>
                <w:rFonts w:ascii="Times New Roman" w:hAnsi="Times New Roman" w:cs="Times New Roman"/>
                <w:sz w:val="20"/>
                <w:szCs w:val="20"/>
                <w:lang w:val="es-ES"/>
              </w:rPr>
              <w:t xml:space="preserve">; </w:t>
            </w:r>
            <w:proofErr w:type="spellStart"/>
            <w:r w:rsidRPr="004C57CA">
              <w:rPr>
                <w:rFonts w:ascii="Times New Roman" w:hAnsi="Times New Roman" w:cs="Times New Roman"/>
                <w:sz w:val="20"/>
                <w:szCs w:val="20"/>
                <w:lang w:val="es-ES"/>
              </w:rPr>
              <w:t>Emiral</w:t>
            </w:r>
            <w:proofErr w:type="spellEnd"/>
            <w:r w:rsidRPr="004C57CA">
              <w:rPr>
                <w:rFonts w:ascii="Times New Roman" w:hAnsi="Times New Roman" w:cs="Times New Roman"/>
                <w:sz w:val="20"/>
                <w:szCs w:val="20"/>
                <w:lang w:val="es-ES"/>
              </w:rPr>
              <w:t xml:space="preserve">; </w:t>
            </w:r>
            <w:proofErr w:type="spellStart"/>
            <w:r w:rsidRPr="004C57CA">
              <w:rPr>
                <w:rFonts w:ascii="Times New Roman" w:hAnsi="Times New Roman" w:cs="Times New Roman"/>
                <w:sz w:val="20"/>
                <w:szCs w:val="20"/>
                <w:lang w:val="es-ES"/>
              </w:rPr>
              <w:t>Caliphal</w:t>
            </w:r>
            <w:proofErr w:type="spellEnd"/>
            <w:r w:rsidRPr="004C57CA">
              <w:rPr>
                <w:rFonts w:ascii="Times New Roman" w:hAnsi="Times New Roman" w:cs="Times New Roman"/>
                <w:sz w:val="20"/>
                <w:szCs w:val="20"/>
                <w:lang w:val="es-ES"/>
              </w:rPr>
              <w:t>.</w:t>
            </w:r>
          </w:p>
        </w:tc>
      </w:tr>
      <w:tr w:rsidR="009D79CB" w:rsidRPr="004C57CA" w14:paraId="3D5A7A43" w14:textId="77777777" w:rsidTr="004C57CA">
        <w:tc>
          <w:tcPr>
            <w:tcW w:w="1004" w:type="dxa"/>
          </w:tcPr>
          <w:p w14:paraId="2C1BC984"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Navascués</w:t>
            </w:r>
            <w:proofErr w:type="spellEnd"/>
            <w:r w:rsidRPr="004C57CA">
              <w:rPr>
                <w:rFonts w:ascii="Times New Roman" w:hAnsi="Times New Roman" w:cs="Times New Roman"/>
                <w:sz w:val="20"/>
                <w:szCs w:val="20"/>
              </w:rPr>
              <w:t>, 2019</w:t>
            </w:r>
          </w:p>
        </w:tc>
        <w:tc>
          <w:tcPr>
            <w:tcW w:w="1275" w:type="dxa"/>
          </w:tcPr>
          <w:p w14:paraId="410E9ED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68F0D92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7AC688D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2D7CE01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Historical and archival analysis of the efforts by the Real Academia de Historia and the Real Academia de Bellas Artes de San Fernando in Madrid during the late 18th century, focusing on their role in documenting and preserving Islamic art and architecture in Spain, particularly through the publication of the "</w:t>
            </w:r>
            <w:proofErr w:type="spellStart"/>
            <w:r w:rsidRPr="004C57CA">
              <w:rPr>
                <w:rFonts w:ascii="Times New Roman" w:hAnsi="Times New Roman" w:cs="Times New Roman"/>
                <w:sz w:val="20"/>
                <w:szCs w:val="20"/>
              </w:rPr>
              <w:t>Antigüedades</w:t>
            </w:r>
            <w:proofErr w:type="spellEnd"/>
            <w:r w:rsidRPr="004C57CA">
              <w:rPr>
                <w:rFonts w:ascii="Times New Roman" w:hAnsi="Times New Roman" w:cs="Times New Roman"/>
                <w:sz w:val="20"/>
                <w:szCs w:val="20"/>
              </w:rPr>
              <w:t xml:space="preserve"> </w:t>
            </w:r>
            <w:proofErr w:type="spellStart"/>
            <w:r w:rsidRPr="004C57CA">
              <w:rPr>
                <w:rFonts w:ascii="Times New Roman" w:hAnsi="Times New Roman" w:cs="Times New Roman"/>
                <w:sz w:val="20"/>
                <w:szCs w:val="20"/>
              </w:rPr>
              <w:t>Árabes</w:t>
            </w:r>
            <w:proofErr w:type="spellEnd"/>
            <w:r w:rsidRPr="004C57CA">
              <w:rPr>
                <w:rFonts w:ascii="Times New Roman" w:hAnsi="Times New Roman" w:cs="Times New Roman"/>
                <w:sz w:val="20"/>
                <w:szCs w:val="20"/>
              </w:rPr>
              <w:t xml:space="preserve"> de </w:t>
            </w:r>
            <w:proofErr w:type="spellStart"/>
            <w:r w:rsidRPr="004C57CA">
              <w:rPr>
                <w:rFonts w:ascii="Times New Roman" w:hAnsi="Times New Roman" w:cs="Times New Roman"/>
                <w:sz w:val="20"/>
                <w:szCs w:val="20"/>
              </w:rPr>
              <w:t>España</w:t>
            </w:r>
            <w:proofErr w:type="spellEnd"/>
            <w:r w:rsidRPr="004C57CA">
              <w:rPr>
                <w:rFonts w:ascii="Times New Roman" w:hAnsi="Times New Roman" w:cs="Times New Roman"/>
                <w:sz w:val="20"/>
                <w:szCs w:val="20"/>
              </w:rPr>
              <w:t>."</w:t>
            </w:r>
          </w:p>
        </w:tc>
        <w:tc>
          <w:tcPr>
            <w:tcW w:w="4394" w:type="dxa"/>
          </w:tcPr>
          <w:p w14:paraId="2AACFA7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Reliance on historical documents may limit the study due to the availability, accuracy, and potential biases in the original sources and their interpretation.</w:t>
            </w:r>
          </w:p>
          <w:p w14:paraId="49117E99"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3F32857B"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1037879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r w:rsidR="009D79CB" w:rsidRPr="004C57CA" w14:paraId="2969BC7A" w14:textId="77777777" w:rsidTr="004C57CA">
        <w:tc>
          <w:tcPr>
            <w:tcW w:w="1004" w:type="dxa"/>
          </w:tcPr>
          <w:p w14:paraId="54670AC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Murad et al., 2019</w:t>
            </w:r>
          </w:p>
        </w:tc>
        <w:tc>
          <w:tcPr>
            <w:tcW w:w="1275" w:type="dxa"/>
          </w:tcPr>
          <w:p w14:paraId="10147DE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7D2F076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103C816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7C3DAEEC"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Comprehensive historical analysis of Cordoba by examining its development through different ages, with a particular focus on its zenith under Islamic rule and the significant architectural changes during the Spanish Reconquista.</w:t>
            </w:r>
          </w:p>
        </w:tc>
        <w:tc>
          <w:tcPr>
            <w:tcW w:w="4394" w:type="dxa"/>
          </w:tcPr>
          <w:p w14:paraId="656C97C2"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Potential biases and gaps in historical records, affecting the accuracy and completeness of the analysis of Cordoba's architectural evolution.</w:t>
            </w:r>
          </w:p>
        </w:tc>
        <w:tc>
          <w:tcPr>
            <w:tcW w:w="3118" w:type="dxa"/>
          </w:tcPr>
          <w:p w14:paraId="1206C96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Cordoba; Al-Andalus; Islamic period; Reconquista period; architectural layers; religions conflict.</w:t>
            </w:r>
          </w:p>
        </w:tc>
      </w:tr>
      <w:tr w:rsidR="009D79CB" w:rsidRPr="004C57CA" w14:paraId="79EC7E99" w14:textId="77777777" w:rsidTr="004C57CA">
        <w:tc>
          <w:tcPr>
            <w:tcW w:w="1004" w:type="dxa"/>
          </w:tcPr>
          <w:p w14:paraId="6C222DD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Garzón García &amp; Florido Trujillo, 2019</w:t>
            </w:r>
          </w:p>
        </w:tc>
        <w:tc>
          <w:tcPr>
            <w:tcW w:w="1275" w:type="dxa"/>
          </w:tcPr>
          <w:p w14:paraId="76462D2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7D3F487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7FCB336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3180B9BC"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Micro-scale analysis of the Jewish Quarter of Cordoba, focusing on both functional and physical aspects to identify key urban dynamics and challenges related to heritage conservation and tourism.</w:t>
            </w:r>
          </w:p>
        </w:tc>
        <w:tc>
          <w:tcPr>
            <w:tcW w:w="4394" w:type="dxa"/>
          </w:tcPr>
          <w:p w14:paraId="326232BF"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The specificity of the micro-scale focus, might not capture broader urban dynamics, and challenges inherent in applying its findings to other historical </w:t>
            </w:r>
            <w:proofErr w:type="spellStart"/>
            <w:r w:rsidRPr="004C57CA">
              <w:rPr>
                <w:rFonts w:ascii="Times New Roman" w:hAnsi="Times New Roman" w:cs="Times New Roman"/>
                <w:sz w:val="20"/>
                <w:szCs w:val="20"/>
              </w:rPr>
              <w:t>centers</w:t>
            </w:r>
            <w:proofErr w:type="spellEnd"/>
            <w:r w:rsidRPr="004C57CA">
              <w:rPr>
                <w:rFonts w:ascii="Times New Roman" w:hAnsi="Times New Roman" w:cs="Times New Roman"/>
                <w:sz w:val="20"/>
                <w:szCs w:val="20"/>
              </w:rPr>
              <w:t xml:space="preserve"> with different contexts.</w:t>
            </w:r>
          </w:p>
        </w:tc>
        <w:tc>
          <w:tcPr>
            <w:tcW w:w="3118" w:type="dxa"/>
          </w:tcPr>
          <w:p w14:paraId="7C418DD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Historic </w:t>
            </w:r>
            <w:proofErr w:type="spellStart"/>
            <w:r w:rsidRPr="004C57CA">
              <w:rPr>
                <w:rFonts w:ascii="Times New Roman" w:hAnsi="Times New Roman" w:cs="Times New Roman"/>
                <w:sz w:val="20"/>
                <w:szCs w:val="20"/>
              </w:rPr>
              <w:t>centers</w:t>
            </w:r>
            <w:proofErr w:type="spellEnd"/>
            <w:r w:rsidRPr="004C57CA">
              <w:rPr>
                <w:rFonts w:ascii="Times New Roman" w:hAnsi="Times New Roman" w:cs="Times New Roman"/>
                <w:sz w:val="20"/>
                <w:szCs w:val="20"/>
              </w:rPr>
              <w:t xml:space="preserve">; world heritage site; Jewish quarter of Cordoba; urban planning. </w:t>
            </w:r>
          </w:p>
        </w:tc>
      </w:tr>
      <w:tr w:rsidR="009D79CB" w:rsidRPr="004C57CA" w14:paraId="674D9FA7" w14:textId="77777777" w:rsidTr="004C57CA">
        <w:tc>
          <w:tcPr>
            <w:tcW w:w="1004" w:type="dxa"/>
          </w:tcPr>
          <w:p w14:paraId="1FD651E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Blanco Guzmán, 2019</w:t>
            </w:r>
          </w:p>
        </w:tc>
        <w:tc>
          <w:tcPr>
            <w:tcW w:w="1275" w:type="dxa"/>
          </w:tcPr>
          <w:p w14:paraId="7C106CA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1D24F2F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2D8990B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1181DC61"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the urban revitalization of Córdoba during the Almohad Caliphate, contrasting it with the city's more commonly studied Umayyad past based on recent archaeological findings. </w:t>
            </w:r>
          </w:p>
        </w:tc>
        <w:tc>
          <w:tcPr>
            <w:tcW w:w="4394" w:type="dxa"/>
          </w:tcPr>
          <w:p w14:paraId="3DF0408B"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Recent and potentially incomplete nature of the archaeological evidence.</w:t>
            </w:r>
          </w:p>
          <w:p w14:paraId="44E8DD0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Historiographical focus predominantly on Córdoba's Umayyad history, which may influence interpretations of the Almohad period.</w:t>
            </w:r>
          </w:p>
        </w:tc>
        <w:tc>
          <w:tcPr>
            <w:tcW w:w="3118" w:type="dxa"/>
          </w:tcPr>
          <w:p w14:paraId="347428CA" w14:textId="77777777" w:rsidR="009D79CB" w:rsidRPr="004C57CA" w:rsidRDefault="009D79CB" w:rsidP="00DE7C5D">
            <w:pPr>
              <w:rPr>
                <w:rFonts w:ascii="Times New Roman" w:hAnsi="Times New Roman" w:cs="Times New Roman"/>
                <w:sz w:val="20"/>
                <w:szCs w:val="20"/>
                <w:lang w:val="es-ES"/>
              </w:rPr>
            </w:pPr>
            <w:r w:rsidRPr="004C57CA">
              <w:rPr>
                <w:rFonts w:ascii="Times New Roman" w:hAnsi="Times New Roman" w:cs="Times New Roman"/>
                <w:sz w:val="20"/>
                <w:szCs w:val="20"/>
                <w:lang w:val="es-ES"/>
              </w:rPr>
              <w:t>Al-</w:t>
            </w:r>
            <w:proofErr w:type="spellStart"/>
            <w:r w:rsidRPr="004C57CA">
              <w:rPr>
                <w:rFonts w:ascii="Times New Roman" w:hAnsi="Times New Roman" w:cs="Times New Roman"/>
                <w:sz w:val="20"/>
                <w:szCs w:val="20"/>
                <w:lang w:val="es-ES"/>
              </w:rPr>
              <w:t>Andalus</w:t>
            </w:r>
            <w:proofErr w:type="spellEnd"/>
            <w:r w:rsidRPr="004C57CA">
              <w:rPr>
                <w:rFonts w:ascii="Times New Roman" w:hAnsi="Times New Roman" w:cs="Times New Roman"/>
                <w:sz w:val="20"/>
                <w:szCs w:val="20"/>
                <w:lang w:val="es-ES"/>
              </w:rPr>
              <w:t xml:space="preserve">; Córdoba; arqueología; califato; omeya; almohade; </w:t>
            </w:r>
            <w:proofErr w:type="spellStart"/>
            <w:r w:rsidRPr="004C57CA">
              <w:rPr>
                <w:rFonts w:ascii="Times New Roman" w:hAnsi="Times New Roman" w:cs="Times New Roman"/>
                <w:sz w:val="20"/>
                <w:szCs w:val="20"/>
                <w:lang w:val="es-ES"/>
              </w:rPr>
              <w:t>mālikī</w:t>
            </w:r>
            <w:proofErr w:type="spellEnd"/>
            <w:r w:rsidRPr="004C57CA">
              <w:rPr>
                <w:rFonts w:ascii="Times New Roman" w:hAnsi="Times New Roman" w:cs="Times New Roman"/>
                <w:sz w:val="20"/>
                <w:szCs w:val="20"/>
                <w:lang w:val="es-ES"/>
              </w:rPr>
              <w:t>.</w:t>
            </w:r>
          </w:p>
        </w:tc>
      </w:tr>
      <w:tr w:rsidR="009D79CB" w:rsidRPr="004C57CA" w14:paraId="77479773" w14:textId="77777777" w:rsidTr="004C57CA">
        <w:tc>
          <w:tcPr>
            <w:tcW w:w="1004" w:type="dxa"/>
          </w:tcPr>
          <w:p w14:paraId="250126AC"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Liñán</w:t>
            </w:r>
            <w:proofErr w:type="spellEnd"/>
            <w:r w:rsidRPr="004C57CA">
              <w:rPr>
                <w:rFonts w:ascii="Times New Roman" w:hAnsi="Times New Roman" w:cs="Times New Roman"/>
                <w:sz w:val="20"/>
                <w:szCs w:val="20"/>
              </w:rPr>
              <w:t xml:space="preserve"> &amp; Ruiz-Bueno, 2018</w:t>
            </w:r>
          </w:p>
        </w:tc>
        <w:tc>
          <w:tcPr>
            <w:tcW w:w="1275" w:type="dxa"/>
          </w:tcPr>
          <w:p w14:paraId="3835633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732CCAF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18733B3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17B3DD4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geological cartography, urban topography, and recent discoveries related to the Guadalquivir river’s fluvial terraces to assess their influence on the historical development of Córdoba.</w:t>
            </w:r>
          </w:p>
        </w:tc>
        <w:tc>
          <w:tcPr>
            <w:tcW w:w="4394" w:type="dxa"/>
          </w:tcPr>
          <w:p w14:paraId="6A3D22B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Availability and completeness of geological and historical data, particularly beneath the urban area of Córdoba.</w:t>
            </w:r>
          </w:p>
          <w:p w14:paraId="4669C795"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631A77B1"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096EB5F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lang w:val="es-ES"/>
              </w:rPr>
              <w:t xml:space="preserve">Guadalquivir </w:t>
            </w:r>
            <w:proofErr w:type="spellStart"/>
            <w:r w:rsidRPr="004C57CA">
              <w:rPr>
                <w:rFonts w:ascii="Times New Roman" w:hAnsi="Times New Roman" w:cs="Times New Roman"/>
                <w:sz w:val="20"/>
                <w:szCs w:val="20"/>
                <w:lang w:val="es-ES"/>
              </w:rPr>
              <w:t>terraces</w:t>
            </w:r>
            <w:proofErr w:type="spellEnd"/>
            <w:r w:rsidRPr="004C57CA">
              <w:rPr>
                <w:rFonts w:ascii="Times New Roman" w:hAnsi="Times New Roman" w:cs="Times New Roman"/>
                <w:sz w:val="20"/>
                <w:szCs w:val="20"/>
                <w:lang w:val="es-ES"/>
              </w:rPr>
              <w:t xml:space="preserve">; </w:t>
            </w:r>
            <w:proofErr w:type="spellStart"/>
            <w:r w:rsidRPr="004C57CA">
              <w:rPr>
                <w:rFonts w:ascii="Times New Roman" w:hAnsi="Times New Roman" w:cs="Times New Roman"/>
                <w:sz w:val="20"/>
                <w:szCs w:val="20"/>
                <w:lang w:val="es-ES"/>
              </w:rPr>
              <w:t>geoarchaeology</w:t>
            </w:r>
            <w:proofErr w:type="spellEnd"/>
            <w:r w:rsidRPr="004C57CA">
              <w:rPr>
                <w:rFonts w:ascii="Times New Roman" w:hAnsi="Times New Roman" w:cs="Times New Roman"/>
                <w:sz w:val="20"/>
                <w:szCs w:val="20"/>
                <w:lang w:val="es-ES"/>
              </w:rPr>
              <w:t xml:space="preserve">; Córdoba; </w:t>
            </w:r>
            <w:proofErr w:type="spellStart"/>
            <w:r w:rsidRPr="004C57CA">
              <w:rPr>
                <w:rFonts w:ascii="Times New Roman" w:hAnsi="Times New Roman" w:cs="Times New Roman"/>
                <w:sz w:val="20"/>
                <w:szCs w:val="20"/>
                <w:lang w:val="es-ES"/>
              </w:rPr>
              <w:t>Roman</w:t>
            </w:r>
            <w:proofErr w:type="spellEnd"/>
            <w:r w:rsidRPr="004C57CA">
              <w:rPr>
                <w:rFonts w:ascii="Times New Roman" w:hAnsi="Times New Roman" w:cs="Times New Roman"/>
                <w:sz w:val="20"/>
                <w:szCs w:val="20"/>
                <w:lang w:val="es-ES"/>
              </w:rPr>
              <w:t xml:space="preserve"> times.</w:t>
            </w:r>
          </w:p>
        </w:tc>
      </w:tr>
      <w:tr w:rsidR="009D79CB" w:rsidRPr="004C57CA" w14:paraId="29EC13F1" w14:textId="77777777" w:rsidTr="004C57CA">
        <w:tc>
          <w:tcPr>
            <w:tcW w:w="1004" w:type="dxa"/>
          </w:tcPr>
          <w:p w14:paraId="19EE8BF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Lamprakos, 2018</w:t>
            </w:r>
          </w:p>
        </w:tc>
        <w:tc>
          <w:tcPr>
            <w:tcW w:w="1275" w:type="dxa"/>
          </w:tcPr>
          <w:p w14:paraId="6F7C810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166FFFB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61B2765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16728D1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Examination of the architectural transformations and cultural conflicts of the Great Mosque of Cordoba to explore its role as a symbol of Islamic heritage and its evolving significance in Spanish cultural identity.</w:t>
            </w:r>
          </w:p>
        </w:tc>
        <w:tc>
          <w:tcPr>
            <w:tcW w:w="4394" w:type="dxa"/>
          </w:tcPr>
          <w:p w14:paraId="439ABE7C"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Challenge of integrating diverse historical interpretations and the subjective nature of contemporary cultural attitudes toward the mosque-cathedral.</w:t>
            </w:r>
          </w:p>
          <w:p w14:paraId="228A77CF"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3523151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lastRenderedPageBreak/>
              <w:t>Lacks a systematic methodology.</w:t>
            </w:r>
          </w:p>
        </w:tc>
        <w:tc>
          <w:tcPr>
            <w:tcW w:w="3118" w:type="dxa"/>
          </w:tcPr>
          <w:p w14:paraId="1DED0BD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lastRenderedPageBreak/>
              <w:t xml:space="preserve">Great Mosque of Cordoba; Islamic past; Catholic Church; Heritage; Historical memory. </w:t>
            </w:r>
          </w:p>
        </w:tc>
      </w:tr>
      <w:tr w:rsidR="009D79CB" w:rsidRPr="004C57CA" w14:paraId="3CB03DDB" w14:textId="77777777" w:rsidTr="004C57CA">
        <w:tc>
          <w:tcPr>
            <w:tcW w:w="1004" w:type="dxa"/>
          </w:tcPr>
          <w:p w14:paraId="223F108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King, 2018</w:t>
            </w:r>
          </w:p>
        </w:tc>
        <w:tc>
          <w:tcPr>
            <w:tcW w:w="1275" w:type="dxa"/>
          </w:tcPr>
          <w:p w14:paraId="6869286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2541290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4FCFD14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729D560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medieval textual sources, astronomical horizon phenomena, and archaeological findings to investigate the alignment of the Great Mosque of Córdoba, with the </w:t>
            </w:r>
            <w:proofErr w:type="spellStart"/>
            <w:r w:rsidRPr="004C57CA">
              <w:rPr>
                <w:rFonts w:ascii="Times New Roman" w:hAnsi="Times New Roman" w:cs="Times New Roman"/>
                <w:sz w:val="20"/>
                <w:szCs w:val="20"/>
              </w:rPr>
              <w:t>Kaʿba</w:t>
            </w:r>
            <w:proofErr w:type="spellEnd"/>
            <w:r w:rsidRPr="004C57CA">
              <w:rPr>
                <w:rFonts w:ascii="Times New Roman" w:hAnsi="Times New Roman" w:cs="Times New Roman"/>
                <w:sz w:val="20"/>
                <w:szCs w:val="20"/>
              </w:rPr>
              <w:t>.</w:t>
            </w:r>
          </w:p>
        </w:tc>
        <w:tc>
          <w:tcPr>
            <w:tcW w:w="4394" w:type="dxa"/>
          </w:tcPr>
          <w:p w14:paraId="18FB442F"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Incomplete or interpretive nature of medieval sources and variability in alignment practices across different periods and locations.</w:t>
            </w:r>
          </w:p>
        </w:tc>
        <w:tc>
          <w:tcPr>
            <w:tcW w:w="3118" w:type="dxa"/>
          </w:tcPr>
          <w:p w14:paraId="7A73848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Islam; Mecca, Makkah; Ka’ba; Kaaba; Islamic architecture; Al-Andalus; </w:t>
            </w:r>
            <w:proofErr w:type="spellStart"/>
            <w:r w:rsidRPr="004C57CA">
              <w:rPr>
                <w:rFonts w:ascii="Times New Roman" w:hAnsi="Times New Roman" w:cs="Times New Roman"/>
                <w:sz w:val="20"/>
                <w:szCs w:val="20"/>
              </w:rPr>
              <w:t>Qurtuba</w:t>
            </w:r>
            <w:proofErr w:type="spellEnd"/>
            <w:r w:rsidRPr="004C57CA">
              <w:rPr>
                <w:rFonts w:ascii="Times New Roman" w:hAnsi="Times New Roman" w:cs="Times New Roman"/>
                <w:sz w:val="20"/>
                <w:szCs w:val="20"/>
              </w:rPr>
              <w:t xml:space="preserve">; Córdoba; Cordova; </w:t>
            </w:r>
            <w:proofErr w:type="spellStart"/>
            <w:r w:rsidRPr="004C57CA">
              <w:rPr>
                <w:rFonts w:ascii="Times New Roman" w:hAnsi="Times New Roman" w:cs="Times New Roman"/>
                <w:sz w:val="20"/>
                <w:szCs w:val="20"/>
              </w:rPr>
              <w:t>Cordoue</w:t>
            </w:r>
            <w:proofErr w:type="spellEnd"/>
            <w:r w:rsidRPr="004C57CA">
              <w:rPr>
                <w:rFonts w:ascii="Times New Roman" w:hAnsi="Times New Roman" w:cs="Times New Roman"/>
                <w:sz w:val="20"/>
                <w:szCs w:val="20"/>
              </w:rPr>
              <w:t xml:space="preserve">; Great Mosque; </w:t>
            </w:r>
            <w:proofErr w:type="spellStart"/>
            <w:r w:rsidRPr="004C57CA">
              <w:rPr>
                <w:rFonts w:ascii="Times New Roman" w:hAnsi="Times New Roman" w:cs="Times New Roman"/>
                <w:sz w:val="20"/>
                <w:szCs w:val="20"/>
              </w:rPr>
              <w:t>Aljama</w:t>
            </w:r>
            <w:proofErr w:type="spellEnd"/>
            <w:r w:rsidRPr="004C57CA">
              <w:rPr>
                <w:rFonts w:ascii="Times New Roman" w:hAnsi="Times New Roman" w:cs="Times New Roman"/>
                <w:sz w:val="20"/>
                <w:szCs w:val="20"/>
              </w:rPr>
              <w:t xml:space="preserve">; Roman cardo system; orthogonal street-plan; solar solstitial alignments; qibla; astronomical horizon phenomena; </w:t>
            </w:r>
            <w:proofErr w:type="spellStart"/>
            <w:r w:rsidRPr="004C57CA">
              <w:rPr>
                <w:rFonts w:ascii="Times New Roman" w:hAnsi="Times New Roman" w:cs="Times New Roman"/>
                <w:sz w:val="20"/>
                <w:szCs w:val="20"/>
              </w:rPr>
              <w:t>archaeoastronomy</w:t>
            </w:r>
            <w:proofErr w:type="spellEnd"/>
            <w:r w:rsidRPr="004C57CA">
              <w:rPr>
                <w:rFonts w:ascii="Times New Roman" w:hAnsi="Times New Roman" w:cs="Times New Roman"/>
                <w:sz w:val="20"/>
                <w:szCs w:val="20"/>
              </w:rPr>
              <w:t>.</w:t>
            </w:r>
          </w:p>
        </w:tc>
      </w:tr>
      <w:tr w:rsidR="009D79CB" w:rsidRPr="004C57CA" w14:paraId="6B4E5ABC" w14:textId="77777777" w:rsidTr="004C57CA">
        <w:tc>
          <w:tcPr>
            <w:tcW w:w="1004" w:type="dxa"/>
          </w:tcPr>
          <w:p w14:paraId="09B490C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Daza Pardo, 2018</w:t>
            </w:r>
          </w:p>
        </w:tc>
        <w:tc>
          <w:tcPr>
            <w:tcW w:w="1275" w:type="dxa"/>
          </w:tcPr>
          <w:p w14:paraId="6F224B2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11A9E77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3E229BD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50C0B95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several buildings constructed with the "</w:t>
            </w:r>
            <w:proofErr w:type="spellStart"/>
            <w:r w:rsidRPr="004C57CA">
              <w:rPr>
                <w:rFonts w:ascii="Times New Roman" w:hAnsi="Times New Roman" w:cs="Times New Roman"/>
                <w:sz w:val="20"/>
                <w:szCs w:val="20"/>
              </w:rPr>
              <w:t>aparejo</w:t>
            </w:r>
            <w:proofErr w:type="spellEnd"/>
            <w:r w:rsidRPr="004C57CA">
              <w:rPr>
                <w:rFonts w:ascii="Times New Roman" w:hAnsi="Times New Roman" w:cs="Times New Roman"/>
                <w:sz w:val="20"/>
                <w:szCs w:val="20"/>
              </w:rPr>
              <w:t xml:space="preserve"> </w:t>
            </w:r>
            <w:proofErr w:type="spellStart"/>
            <w:r w:rsidRPr="004C57CA">
              <w:rPr>
                <w:rFonts w:ascii="Times New Roman" w:hAnsi="Times New Roman" w:cs="Times New Roman"/>
                <w:sz w:val="20"/>
                <w:szCs w:val="20"/>
              </w:rPr>
              <w:t>encintado</w:t>
            </w:r>
            <w:proofErr w:type="spellEnd"/>
            <w:r w:rsidRPr="004C57CA">
              <w:rPr>
                <w:rFonts w:ascii="Times New Roman" w:hAnsi="Times New Roman" w:cs="Times New Roman"/>
                <w:sz w:val="20"/>
                <w:szCs w:val="20"/>
              </w:rPr>
              <w:t xml:space="preserve"> </w:t>
            </w:r>
            <w:proofErr w:type="spellStart"/>
            <w:r w:rsidRPr="004C57CA">
              <w:rPr>
                <w:rFonts w:ascii="Times New Roman" w:hAnsi="Times New Roman" w:cs="Times New Roman"/>
                <w:sz w:val="20"/>
                <w:szCs w:val="20"/>
              </w:rPr>
              <w:t>cajeado</w:t>
            </w:r>
            <w:proofErr w:type="spellEnd"/>
            <w:r w:rsidRPr="004C57CA">
              <w:rPr>
                <w:rFonts w:ascii="Times New Roman" w:hAnsi="Times New Roman" w:cs="Times New Roman"/>
                <w:sz w:val="20"/>
                <w:szCs w:val="20"/>
              </w:rPr>
              <w:t>" masonry to determine its characteristics and homogeneity, and to infer its possible origins and historical context based on architectural features and construction techniques.</w:t>
            </w:r>
          </w:p>
        </w:tc>
        <w:tc>
          <w:tcPr>
            <w:tcW w:w="4394" w:type="dxa"/>
          </w:tcPr>
          <w:p w14:paraId="0C92B6E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 of comprehensive stratigraphic contextualization and excavation data for the examples studied, which hinders the establishment of a precise chronological and geographical framework for the use of brick in this region.</w:t>
            </w:r>
          </w:p>
        </w:tc>
        <w:tc>
          <w:tcPr>
            <w:tcW w:w="3118" w:type="dxa"/>
          </w:tcPr>
          <w:p w14:paraId="737F0777"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Islamic architecture; fortifications; mosques; brick; Almanzor; Segovia; Madrid; Guadalajara; Toledo.</w:t>
            </w:r>
          </w:p>
        </w:tc>
      </w:tr>
      <w:tr w:rsidR="009D79CB" w:rsidRPr="004C57CA" w14:paraId="09D63178" w14:textId="77777777" w:rsidTr="004C57CA">
        <w:tc>
          <w:tcPr>
            <w:tcW w:w="1004" w:type="dxa"/>
          </w:tcPr>
          <w:p w14:paraId="547CA74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Arnold, 2018</w:t>
            </w:r>
          </w:p>
        </w:tc>
        <w:tc>
          <w:tcPr>
            <w:tcW w:w="1275" w:type="dxa"/>
          </w:tcPr>
          <w:p w14:paraId="4D2A501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6B507C5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09C00A7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275DB1A0"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Examination of the application of mathematics and geometry in 10</w:t>
            </w:r>
            <w:r w:rsidRPr="004C57CA">
              <w:rPr>
                <w:rFonts w:ascii="Times New Roman" w:hAnsi="Times New Roman" w:cs="Times New Roman"/>
                <w:sz w:val="20"/>
                <w:szCs w:val="20"/>
                <w:vertAlign w:val="superscript"/>
              </w:rPr>
              <w:t>th</w:t>
            </w:r>
            <w:r w:rsidRPr="004C57CA">
              <w:rPr>
                <w:rFonts w:ascii="Times New Roman" w:hAnsi="Times New Roman" w:cs="Times New Roman"/>
                <w:sz w:val="20"/>
                <w:szCs w:val="20"/>
              </w:rPr>
              <w:t xml:space="preserve"> century Córdoba's architectural design, including ground plans, elevations, and decorative patterns, to identify the unique spatial concepts introduced by Islamic architects compared to their Roman predecessors.</w:t>
            </w:r>
          </w:p>
        </w:tc>
        <w:tc>
          <w:tcPr>
            <w:tcW w:w="4394" w:type="dxa"/>
          </w:tcPr>
          <w:p w14:paraId="5074046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 study may be constrained by the limited scope of surviving architectural examples and historical records, which could impact the completeness of understanding the extent and impact of geometric innovations in Islamic architecture.</w:t>
            </w:r>
          </w:p>
        </w:tc>
        <w:tc>
          <w:tcPr>
            <w:tcW w:w="3118" w:type="dxa"/>
          </w:tcPr>
          <w:p w14:paraId="0DDA46AE"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Mezquita</w:t>
            </w:r>
            <w:proofErr w:type="spellEnd"/>
            <w:r w:rsidRPr="004C57CA">
              <w:rPr>
                <w:rFonts w:ascii="Times New Roman" w:hAnsi="Times New Roman" w:cs="Times New Roman"/>
                <w:sz w:val="20"/>
                <w:szCs w:val="20"/>
              </w:rPr>
              <w:t xml:space="preserve"> de Córdoba; </w:t>
            </w:r>
            <w:proofErr w:type="spellStart"/>
            <w:r w:rsidRPr="004C57CA">
              <w:rPr>
                <w:rFonts w:ascii="Times New Roman" w:hAnsi="Times New Roman" w:cs="Times New Roman"/>
                <w:sz w:val="20"/>
                <w:szCs w:val="20"/>
              </w:rPr>
              <w:t>Madīnat</w:t>
            </w:r>
            <w:proofErr w:type="spellEnd"/>
            <w:r w:rsidRPr="004C57CA">
              <w:rPr>
                <w:rFonts w:ascii="Times New Roman" w:hAnsi="Times New Roman" w:cs="Times New Roman"/>
                <w:sz w:val="20"/>
                <w:szCs w:val="20"/>
              </w:rPr>
              <w:t xml:space="preserve"> al-</w:t>
            </w:r>
            <w:proofErr w:type="spellStart"/>
            <w:r w:rsidRPr="004C57CA">
              <w:rPr>
                <w:rFonts w:ascii="Times New Roman" w:hAnsi="Times New Roman" w:cs="Times New Roman"/>
                <w:sz w:val="20"/>
                <w:szCs w:val="20"/>
              </w:rPr>
              <w:t>Zahrāʾ</w:t>
            </w:r>
            <w:proofErr w:type="spellEnd"/>
            <w:r w:rsidRPr="004C57CA">
              <w:rPr>
                <w:rFonts w:ascii="Times New Roman" w:hAnsi="Times New Roman" w:cs="Times New Roman"/>
                <w:sz w:val="20"/>
                <w:szCs w:val="20"/>
              </w:rPr>
              <w:t xml:space="preserve">; architectural proportions; geometry; Vitruvius; interlocking arches; ribbed vault; </w:t>
            </w:r>
            <w:proofErr w:type="spellStart"/>
            <w:r w:rsidRPr="004C57CA">
              <w:rPr>
                <w:rFonts w:ascii="Times New Roman" w:hAnsi="Times New Roman" w:cs="Times New Roman"/>
                <w:sz w:val="20"/>
                <w:szCs w:val="20"/>
              </w:rPr>
              <w:t>muqarnaṣ</w:t>
            </w:r>
            <w:proofErr w:type="spellEnd"/>
            <w:r w:rsidRPr="004C57CA">
              <w:rPr>
                <w:rFonts w:ascii="Times New Roman" w:hAnsi="Times New Roman" w:cs="Times New Roman"/>
                <w:sz w:val="20"/>
                <w:szCs w:val="20"/>
              </w:rPr>
              <w:t>.</w:t>
            </w:r>
          </w:p>
        </w:tc>
      </w:tr>
      <w:tr w:rsidR="009D79CB" w:rsidRPr="004C57CA" w14:paraId="3E60A489" w14:textId="77777777" w:rsidTr="004C57CA">
        <w:tc>
          <w:tcPr>
            <w:tcW w:w="1004" w:type="dxa"/>
          </w:tcPr>
          <w:p w14:paraId="6D6611C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Wis Molino, 2017</w:t>
            </w:r>
          </w:p>
        </w:tc>
        <w:tc>
          <w:tcPr>
            <w:tcW w:w="1275" w:type="dxa"/>
          </w:tcPr>
          <w:p w14:paraId="7FC44A77"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2869B55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7A5E72B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1462D0F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Research and restoration work focused on the main façade of the 16th-century church at the Santa Marta convent, analysing its historical significance and architectural features, with particular attention to the work of Hernán Ruiz I.</w:t>
            </w:r>
          </w:p>
        </w:tc>
        <w:tc>
          <w:tcPr>
            <w:tcW w:w="4394" w:type="dxa"/>
          </w:tcPr>
          <w:p w14:paraId="2DF72D22"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Potential scarcity of detailed historical records and the challenges inherent in restoring and preserving architectural elements from the 16th century.</w:t>
            </w:r>
          </w:p>
        </w:tc>
        <w:tc>
          <w:tcPr>
            <w:tcW w:w="3118" w:type="dxa"/>
          </w:tcPr>
          <w:p w14:paraId="7E8B3AE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Santa Marta monastery; Hernán Ruiz I; Cordoba.</w:t>
            </w:r>
          </w:p>
        </w:tc>
      </w:tr>
      <w:tr w:rsidR="009D79CB" w:rsidRPr="004C57CA" w14:paraId="21DA8E55" w14:textId="77777777" w:rsidTr="004C57CA">
        <w:tc>
          <w:tcPr>
            <w:tcW w:w="1004" w:type="dxa"/>
          </w:tcPr>
          <w:p w14:paraId="1B59DF6E" w14:textId="77777777" w:rsidR="009D79CB" w:rsidRPr="004C57CA" w:rsidRDefault="009D79CB" w:rsidP="00DE7C5D">
            <w:pPr>
              <w:rPr>
                <w:rFonts w:ascii="Times New Roman" w:hAnsi="Times New Roman" w:cs="Times New Roman"/>
                <w:sz w:val="20"/>
                <w:szCs w:val="20"/>
                <w:lang w:val="es-ES"/>
              </w:rPr>
            </w:pPr>
            <w:r w:rsidRPr="004C57CA">
              <w:rPr>
                <w:rFonts w:ascii="Times New Roman" w:hAnsi="Times New Roman" w:cs="Times New Roman"/>
                <w:sz w:val="20"/>
                <w:szCs w:val="20"/>
                <w:lang w:val="es-ES"/>
              </w:rPr>
              <w:t>Manzano Pérez de Guzmán et al., 2017</w:t>
            </w:r>
          </w:p>
        </w:tc>
        <w:tc>
          <w:tcPr>
            <w:tcW w:w="1275" w:type="dxa"/>
          </w:tcPr>
          <w:p w14:paraId="61DD438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007426E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030425E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512E2605"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Conducting an interview with Professor Rafael Manzano Martos, illustrated with unpublished photos, to explore his experiences, interventions, and perspectives on the archaeology and architecture of the Madinat al-Zahra site.</w:t>
            </w:r>
          </w:p>
        </w:tc>
        <w:tc>
          <w:tcPr>
            <w:tcW w:w="4394" w:type="dxa"/>
          </w:tcPr>
          <w:p w14:paraId="727567C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Reliance on a single interviewee’s perspective and the potential biases inherent in personal recollections and selected archival materials.</w:t>
            </w:r>
          </w:p>
        </w:tc>
        <w:tc>
          <w:tcPr>
            <w:tcW w:w="3118" w:type="dxa"/>
          </w:tcPr>
          <w:p w14:paraId="1D1AA28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Cordoba Caliphate; Rafael Manzano; interventions; 20th century.</w:t>
            </w:r>
          </w:p>
        </w:tc>
      </w:tr>
      <w:tr w:rsidR="009D79CB" w:rsidRPr="004C57CA" w14:paraId="6DA7DCC6" w14:textId="77777777" w:rsidTr="004C57CA">
        <w:tc>
          <w:tcPr>
            <w:tcW w:w="1004" w:type="dxa"/>
          </w:tcPr>
          <w:p w14:paraId="1D3C2DA7"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González Gutiérrez, 2017</w:t>
            </w:r>
          </w:p>
        </w:tc>
        <w:tc>
          <w:tcPr>
            <w:tcW w:w="1275" w:type="dxa"/>
          </w:tcPr>
          <w:p w14:paraId="28B0258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089B846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51343D2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5C1A4500"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the metrological and modulation aspects of mosques in Córdoba by examining the dimensions of courtyards and prayer rooms to identify the metric units and design proportions used in their construction.</w:t>
            </w:r>
          </w:p>
        </w:tc>
        <w:tc>
          <w:tcPr>
            <w:tcW w:w="4394" w:type="dxa"/>
          </w:tcPr>
          <w:p w14:paraId="76D5F04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Incomplete excavation of some mosque complexes and the reliance on existing architectural remains to infer design principles and construction practices.</w:t>
            </w:r>
          </w:p>
        </w:tc>
        <w:tc>
          <w:tcPr>
            <w:tcW w:w="3118" w:type="dxa"/>
          </w:tcPr>
          <w:p w14:paraId="0870E257"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Mosques; Córdoba; metrology; cubit; foot; Islamic architecture.</w:t>
            </w:r>
          </w:p>
        </w:tc>
      </w:tr>
      <w:tr w:rsidR="009D79CB" w:rsidRPr="004C57CA" w14:paraId="679A65CB" w14:textId="77777777" w:rsidTr="004C57CA">
        <w:tc>
          <w:tcPr>
            <w:tcW w:w="1004" w:type="dxa"/>
          </w:tcPr>
          <w:p w14:paraId="76F95D3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Escudero Aranda, 2017</w:t>
            </w:r>
          </w:p>
        </w:tc>
        <w:tc>
          <w:tcPr>
            <w:tcW w:w="1275" w:type="dxa"/>
          </w:tcPr>
          <w:p w14:paraId="5779662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67511DD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2DF1BC7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2DD8A78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the design, function, and interpretative approach of the Museum of Medina Azahara, focusing on its role in preserving and presenting the archaeological site of Medina Azahara, including its permanent exhibitions and use of virtual reality to enhance visitor understanding.</w:t>
            </w:r>
          </w:p>
        </w:tc>
        <w:tc>
          <w:tcPr>
            <w:tcW w:w="4394" w:type="dxa"/>
          </w:tcPr>
          <w:p w14:paraId="6BA0C980"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Reliance on the museum's own interpretative framework and the potential constraints of physical and digital displays in fully conveying the historical and cultural context of Medina Azahara.</w:t>
            </w:r>
          </w:p>
        </w:tc>
        <w:tc>
          <w:tcPr>
            <w:tcW w:w="3118" w:type="dxa"/>
          </w:tcPr>
          <w:p w14:paraId="125F285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Archaeological site; Caliphal city; Heritage interpretation; Museum infrastructure; Permanent exhibition.</w:t>
            </w:r>
          </w:p>
        </w:tc>
      </w:tr>
      <w:tr w:rsidR="009D79CB" w:rsidRPr="004C57CA" w14:paraId="00024F36" w14:textId="77777777" w:rsidTr="004C57CA">
        <w:tc>
          <w:tcPr>
            <w:tcW w:w="1004" w:type="dxa"/>
          </w:tcPr>
          <w:p w14:paraId="18C0A930"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Escalada</w:t>
            </w:r>
            <w:proofErr w:type="spellEnd"/>
            <w:r w:rsidRPr="004C57CA">
              <w:rPr>
                <w:rFonts w:ascii="Times New Roman" w:hAnsi="Times New Roman" w:cs="Times New Roman"/>
                <w:sz w:val="20"/>
                <w:szCs w:val="20"/>
              </w:rPr>
              <w:t xml:space="preserve"> Marco </w:t>
            </w:r>
            <w:proofErr w:type="spellStart"/>
            <w:r w:rsidRPr="004C57CA">
              <w:rPr>
                <w:rFonts w:ascii="Times New Roman" w:hAnsi="Times New Roman" w:cs="Times New Roman"/>
                <w:sz w:val="20"/>
                <w:szCs w:val="20"/>
              </w:rPr>
              <w:t>Gardoqui</w:t>
            </w:r>
            <w:proofErr w:type="spellEnd"/>
            <w:r w:rsidRPr="004C57CA">
              <w:rPr>
                <w:rFonts w:ascii="Times New Roman" w:hAnsi="Times New Roman" w:cs="Times New Roman"/>
                <w:sz w:val="20"/>
                <w:szCs w:val="20"/>
              </w:rPr>
              <w:t>, 2017</w:t>
            </w:r>
          </w:p>
        </w:tc>
        <w:tc>
          <w:tcPr>
            <w:tcW w:w="1275" w:type="dxa"/>
          </w:tcPr>
          <w:p w14:paraId="322760C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2BB8203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51B9804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547A0B0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Teaching methodology for masonry structures using optimization programs and various analytical tools to analyse and understand the construction processes of historical masonry, exemplified by the colonnaded portico of the Great Mosque of Cordoba, and to develop personal optimization models.</w:t>
            </w:r>
          </w:p>
        </w:tc>
        <w:tc>
          <w:tcPr>
            <w:tcW w:w="4394" w:type="dxa"/>
          </w:tcPr>
          <w:p w14:paraId="6905644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Models might not fully capture the practical knowledge and traditional techniques used by historical masons, potentially leading to gaps in understanding the historical construction practices.</w:t>
            </w:r>
          </w:p>
        </w:tc>
        <w:tc>
          <w:tcPr>
            <w:tcW w:w="3118" w:type="dxa"/>
          </w:tcPr>
          <w:p w14:paraId="0EE4F11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Postgraduate university education; self-learning; constructive process; arches Mosque of Cordoba; graphic statics; mathematical optimization.</w:t>
            </w:r>
          </w:p>
        </w:tc>
      </w:tr>
      <w:tr w:rsidR="009D79CB" w:rsidRPr="004C57CA" w14:paraId="2EFE8F76" w14:textId="77777777" w:rsidTr="004C57CA">
        <w:tc>
          <w:tcPr>
            <w:tcW w:w="1004" w:type="dxa"/>
          </w:tcPr>
          <w:p w14:paraId="2E2578E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lastRenderedPageBreak/>
              <w:t>Cabello Montoro, 2017</w:t>
            </w:r>
          </w:p>
        </w:tc>
        <w:tc>
          <w:tcPr>
            <w:tcW w:w="1275" w:type="dxa"/>
          </w:tcPr>
          <w:p w14:paraId="6E9D06D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191D6CA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18DD519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7D90571C"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Córdoba's </w:t>
            </w:r>
            <w:proofErr w:type="spellStart"/>
            <w:r w:rsidRPr="004C57CA">
              <w:rPr>
                <w:rFonts w:ascii="Times New Roman" w:hAnsi="Times New Roman" w:cs="Times New Roman"/>
                <w:sz w:val="20"/>
                <w:szCs w:val="20"/>
              </w:rPr>
              <w:t>Alcázar</w:t>
            </w:r>
            <w:proofErr w:type="spellEnd"/>
            <w:r w:rsidRPr="004C57CA">
              <w:rPr>
                <w:rFonts w:ascii="Times New Roman" w:hAnsi="Times New Roman" w:cs="Times New Roman"/>
                <w:sz w:val="20"/>
                <w:szCs w:val="20"/>
              </w:rPr>
              <w:t xml:space="preserve"> Viejo examines the impact of the Historic City Centre Special Protection Plan on traditional "casa patio" houses. This involves comparing historical and current housing conditions and proposing improvements for sustainable urban regeneration.</w:t>
            </w:r>
          </w:p>
        </w:tc>
        <w:tc>
          <w:tcPr>
            <w:tcW w:w="4394" w:type="dxa"/>
          </w:tcPr>
          <w:p w14:paraId="256AC90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Constraints include the existing regulations that complicate balancing heritage preservation with the practical needs of sustainable urban regeneration.</w:t>
            </w:r>
          </w:p>
        </w:tc>
        <w:tc>
          <w:tcPr>
            <w:tcW w:w="3118" w:type="dxa"/>
          </w:tcPr>
          <w:p w14:paraId="0CAEF52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Courtyard; Popular; Planning; Sustainable; Eco-Efficient; Tourism.</w:t>
            </w:r>
          </w:p>
        </w:tc>
      </w:tr>
      <w:tr w:rsidR="009D79CB" w:rsidRPr="004C57CA" w14:paraId="483C8F24" w14:textId="77777777" w:rsidTr="004C57CA">
        <w:tc>
          <w:tcPr>
            <w:tcW w:w="1004" w:type="dxa"/>
          </w:tcPr>
          <w:p w14:paraId="04031EE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Arnold, 2017</w:t>
            </w:r>
          </w:p>
        </w:tc>
        <w:tc>
          <w:tcPr>
            <w:tcW w:w="1275" w:type="dxa"/>
          </w:tcPr>
          <w:p w14:paraId="06C445D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32B7905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47280CA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667B2AD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Examination of Islamic palace architecture is performed through detailed ground plans, sections, and descriptions of palaces across Spain, Morocco, Algeria, Tunisia, and southern Italy. Insights are integrated from archaeological fieldwork, and architectural evolution is traced from the 8</w:t>
            </w:r>
            <w:r w:rsidRPr="004C57CA">
              <w:rPr>
                <w:rFonts w:ascii="Times New Roman" w:hAnsi="Times New Roman" w:cs="Times New Roman"/>
                <w:sz w:val="20"/>
                <w:szCs w:val="20"/>
                <w:vertAlign w:val="superscript"/>
              </w:rPr>
              <w:t>th</w:t>
            </w:r>
            <w:r w:rsidRPr="004C57CA">
              <w:rPr>
                <w:rFonts w:ascii="Times New Roman" w:hAnsi="Times New Roman" w:cs="Times New Roman"/>
                <w:sz w:val="20"/>
                <w:szCs w:val="20"/>
              </w:rPr>
              <w:t xml:space="preserve"> to the 19</w:t>
            </w:r>
            <w:r w:rsidRPr="004C57CA">
              <w:rPr>
                <w:rFonts w:ascii="Times New Roman" w:hAnsi="Times New Roman" w:cs="Times New Roman"/>
                <w:sz w:val="20"/>
                <w:szCs w:val="20"/>
                <w:vertAlign w:val="superscript"/>
              </w:rPr>
              <w:t>th</w:t>
            </w:r>
            <w:r w:rsidRPr="004C57CA">
              <w:rPr>
                <w:rFonts w:ascii="Times New Roman" w:hAnsi="Times New Roman" w:cs="Times New Roman"/>
                <w:sz w:val="20"/>
                <w:szCs w:val="20"/>
              </w:rPr>
              <w:t xml:space="preserve"> century within the broader context of Islamic cultural history.</w:t>
            </w:r>
          </w:p>
        </w:tc>
        <w:tc>
          <w:tcPr>
            <w:tcW w:w="4394" w:type="dxa"/>
          </w:tcPr>
          <w:p w14:paraId="1E27DD8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Potential biases and gaps may arise from the reliance on the author's individual fieldwork and interpretations, which might not fully cover all regional variations or recent discoveries.</w:t>
            </w:r>
          </w:p>
        </w:tc>
        <w:tc>
          <w:tcPr>
            <w:tcW w:w="3118" w:type="dxa"/>
          </w:tcPr>
          <w:p w14:paraId="7A69CF2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r w:rsidR="009D79CB" w:rsidRPr="004C57CA" w14:paraId="38D4E3A1" w14:textId="77777777" w:rsidTr="004C57CA">
        <w:tc>
          <w:tcPr>
            <w:tcW w:w="1004" w:type="dxa"/>
          </w:tcPr>
          <w:p w14:paraId="4201AE9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Rueda Olmo, 2016</w:t>
            </w:r>
          </w:p>
        </w:tc>
        <w:tc>
          <w:tcPr>
            <w:tcW w:w="1275" w:type="dxa"/>
          </w:tcPr>
          <w:p w14:paraId="5594A62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42B746A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0C1EC47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1363175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excavation and restoration work led by Antonio Cruz Conde (1951-1962) at key historic sites in Córdoba, including the Roman temple on Claudio Marcelo Street, the </w:t>
            </w:r>
            <w:proofErr w:type="spellStart"/>
            <w:r w:rsidRPr="004C57CA">
              <w:rPr>
                <w:rFonts w:ascii="Times New Roman" w:hAnsi="Times New Roman" w:cs="Times New Roman"/>
                <w:sz w:val="20"/>
                <w:szCs w:val="20"/>
              </w:rPr>
              <w:t>Alcázar</w:t>
            </w:r>
            <w:proofErr w:type="spellEnd"/>
            <w:r w:rsidRPr="004C57CA">
              <w:rPr>
                <w:rFonts w:ascii="Times New Roman" w:hAnsi="Times New Roman" w:cs="Times New Roman"/>
                <w:sz w:val="20"/>
                <w:szCs w:val="20"/>
              </w:rPr>
              <w:t xml:space="preserve"> of Christian Kings, the Calahorra Tower, the West walls, and Corredera Square. The study compares these efforts with more recent archaeological and historical research.</w:t>
            </w:r>
          </w:p>
        </w:tc>
        <w:tc>
          <w:tcPr>
            <w:tcW w:w="4394" w:type="dxa"/>
          </w:tcPr>
          <w:p w14:paraId="5B833AD9"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Only the Roman temple on Claudio Marcelo Street received detailed archaeological study, and restoration efforts were not actively continued after Cruz Conde's tenure.</w:t>
            </w:r>
          </w:p>
        </w:tc>
        <w:tc>
          <w:tcPr>
            <w:tcW w:w="3118" w:type="dxa"/>
          </w:tcPr>
          <w:p w14:paraId="5475734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Córdoba; archaeology; heritage; historiography; monuments.</w:t>
            </w:r>
          </w:p>
        </w:tc>
      </w:tr>
      <w:tr w:rsidR="009D79CB" w:rsidRPr="004C57CA" w14:paraId="30E6F0AD" w14:textId="77777777" w:rsidTr="004C57CA">
        <w:tc>
          <w:tcPr>
            <w:tcW w:w="1004" w:type="dxa"/>
          </w:tcPr>
          <w:p w14:paraId="1DB1C60F"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Riobóo</w:t>
            </w:r>
            <w:proofErr w:type="spellEnd"/>
            <w:r w:rsidRPr="004C57CA">
              <w:rPr>
                <w:rFonts w:ascii="Times New Roman" w:hAnsi="Times New Roman" w:cs="Times New Roman"/>
                <w:sz w:val="20"/>
                <w:szCs w:val="20"/>
              </w:rPr>
              <w:t xml:space="preserve"> Camacho, 2016</w:t>
            </w:r>
          </w:p>
        </w:tc>
        <w:tc>
          <w:tcPr>
            <w:tcW w:w="1275" w:type="dxa"/>
          </w:tcPr>
          <w:p w14:paraId="4807F10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73B6B9F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44090E7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2A7C23D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geometric proportions in the architectural designs of elongated spaces, such as lounges and basilica floors in Madinat al-Zahra, was conducted. The study examined the "Salón Rico," focusing on its plan and elevations to uncover underlying geometric principles. Comparisons were made with similar proportions in Christian architecture in the </w:t>
            </w:r>
            <w:proofErr w:type="spellStart"/>
            <w:r w:rsidRPr="004C57CA">
              <w:rPr>
                <w:rFonts w:ascii="Times New Roman" w:hAnsi="Times New Roman" w:cs="Times New Roman"/>
                <w:sz w:val="20"/>
                <w:szCs w:val="20"/>
              </w:rPr>
              <w:t>Serrablo</w:t>
            </w:r>
            <w:proofErr w:type="spellEnd"/>
            <w:r w:rsidRPr="004C57CA">
              <w:rPr>
                <w:rFonts w:ascii="Times New Roman" w:hAnsi="Times New Roman" w:cs="Times New Roman"/>
                <w:sz w:val="20"/>
                <w:szCs w:val="20"/>
              </w:rPr>
              <w:t xml:space="preserve"> Valley, indicating possible cultural and architectural influences between regions.</w:t>
            </w:r>
          </w:p>
        </w:tc>
        <w:tc>
          <w:tcPr>
            <w:tcW w:w="4394" w:type="dxa"/>
          </w:tcPr>
          <w:p w14:paraId="77772B8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Findings may not represent all architectural practices of the period, as not all structures adhere to these geometric influences.</w:t>
            </w:r>
          </w:p>
        </w:tc>
        <w:tc>
          <w:tcPr>
            <w:tcW w:w="3118" w:type="dxa"/>
          </w:tcPr>
          <w:p w14:paraId="31CD6D4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Architecture; geometry; proportion; irrational numbers.</w:t>
            </w:r>
          </w:p>
        </w:tc>
      </w:tr>
      <w:tr w:rsidR="009D79CB" w:rsidRPr="004C57CA" w14:paraId="4CDBE139" w14:textId="77777777" w:rsidTr="004C57CA">
        <w:tc>
          <w:tcPr>
            <w:tcW w:w="1004" w:type="dxa"/>
          </w:tcPr>
          <w:p w14:paraId="2A7799E7"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Herreros Moya, 2016</w:t>
            </w:r>
          </w:p>
        </w:tc>
        <w:tc>
          <w:tcPr>
            <w:tcW w:w="1275" w:type="dxa"/>
          </w:tcPr>
          <w:p w14:paraId="4957EAD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4CD81AB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19866AB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54B91F89"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thirty properties from Córdoba’s historical </w:t>
            </w:r>
            <w:proofErr w:type="spellStart"/>
            <w:r w:rsidRPr="004C57CA">
              <w:rPr>
                <w:rFonts w:ascii="Times New Roman" w:hAnsi="Times New Roman" w:cs="Times New Roman"/>
                <w:sz w:val="20"/>
                <w:szCs w:val="20"/>
              </w:rPr>
              <w:t>center</w:t>
            </w:r>
            <w:proofErr w:type="spellEnd"/>
            <w:r w:rsidRPr="004C57CA">
              <w:rPr>
                <w:rFonts w:ascii="Times New Roman" w:hAnsi="Times New Roman" w:cs="Times New Roman"/>
                <w:sz w:val="20"/>
                <w:szCs w:val="20"/>
              </w:rPr>
              <w:t xml:space="preserve"> identified deficiencies in cultural and tourist dissemination, such as poor signage and inconsistent descriptions. Two action plans were proposed: transfer of historical knowledge for better dissemination and coordination of urban signals, including unified names, descriptions, and signage.</w:t>
            </w:r>
          </w:p>
        </w:tc>
        <w:tc>
          <w:tcPr>
            <w:tcW w:w="4394" w:type="dxa"/>
          </w:tcPr>
          <w:p w14:paraId="5CFBACED"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Limited sample of thirty properties may not fully represent the broader issues across all similar sites in Córdoba’s historical </w:t>
            </w:r>
            <w:proofErr w:type="spellStart"/>
            <w:r w:rsidRPr="004C57CA">
              <w:rPr>
                <w:rFonts w:ascii="Times New Roman" w:hAnsi="Times New Roman" w:cs="Times New Roman"/>
                <w:sz w:val="20"/>
                <w:szCs w:val="20"/>
              </w:rPr>
              <w:t>center</w:t>
            </w:r>
            <w:proofErr w:type="spellEnd"/>
            <w:r w:rsidRPr="004C57CA">
              <w:rPr>
                <w:rFonts w:ascii="Times New Roman" w:hAnsi="Times New Roman" w:cs="Times New Roman"/>
                <w:sz w:val="20"/>
                <w:szCs w:val="20"/>
              </w:rPr>
              <w:t>.</w:t>
            </w:r>
          </w:p>
        </w:tc>
        <w:tc>
          <w:tcPr>
            <w:tcW w:w="3118" w:type="dxa"/>
          </w:tcPr>
          <w:p w14:paraId="3E25D7F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Heritage; nobility; documentation; </w:t>
            </w:r>
            <w:proofErr w:type="spellStart"/>
            <w:r w:rsidRPr="004C57CA">
              <w:rPr>
                <w:rFonts w:ascii="Times New Roman" w:hAnsi="Times New Roman" w:cs="Times New Roman"/>
                <w:sz w:val="20"/>
                <w:szCs w:val="20"/>
              </w:rPr>
              <w:t>signaling</w:t>
            </w:r>
            <w:proofErr w:type="spellEnd"/>
            <w:r w:rsidRPr="004C57CA">
              <w:rPr>
                <w:rFonts w:ascii="Times New Roman" w:hAnsi="Times New Roman" w:cs="Times New Roman"/>
                <w:sz w:val="20"/>
                <w:szCs w:val="20"/>
              </w:rPr>
              <w:t>; urbanism; Cordoba.</w:t>
            </w:r>
          </w:p>
        </w:tc>
      </w:tr>
      <w:tr w:rsidR="009D79CB" w:rsidRPr="004C57CA" w14:paraId="1FDE47E6" w14:textId="77777777" w:rsidTr="004C57CA">
        <w:tc>
          <w:tcPr>
            <w:tcW w:w="1004" w:type="dxa"/>
          </w:tcPr>
          <w:p w14:paraId="2A3DD80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Roldán-Medina, 2015</w:t>
            </w:r>
          </w:p>
        </w:tc>
        <w:tc>
          <w:tcPr>
            <w:tcW w:w="1275" w:type="dxa"/>
          </w:tcPr>
          <w:p w14:paraId="2194EC0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69302C9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782CCCA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69B48E1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the Cathedral-Mosque of Cordoba using the Method of Modulation and Sizing of Historic Architecture, based on a survey by Antonio Almagro and supplemented with additional graphic sources and direct measurements, focused on identifying distinct measurement units and their application across different architectural phases.</w:t>
            </w:r>
          </w:p>
        </w:tc>
        <w:tc>
          <w:tcPr>
            <w:tcW w:w="4394" w:type="dxa"/>
          </w:tcPr>
          <w:p w14:paraId="4EBBFDC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Reliance on existing surveys and potential variations in measurement accuracy due to the use of historical metric systems.</w:t>
            </w:r>
          </w:p>
        </w:tc>
        <w:tc>
          <w:tcPr>
            <w:tcW w:w="3118" w:type="dxa"/>
          </w:tcPr>
          <w:p w14:paraId="1D033A3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Modulation; proportion; metrology; architectural history; construction; Mosque-Cathedral of Cordoba.</w:t>
            </w:r>
          </w:p>
        </w:tc>
      </w:tr>
      <w:tr w:rsidR="009D79CB" w:rsidRPr="004C57CA" w14:paraId="458DFF55" w14:textId="77777777" w:rsidTr="004C57CA">
        <w:tc>
          <w:tcPr>
            <w:tcW w:w="1004" w:type="dxa"/>
          </w:tcPr>
          <w:p w14:paraId="162FAF50"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Riobóo</w:t>
            </w:r>
            <w:proofErr w:type="spellEnd"/>
            <w:r w:rsidRPr="004C57CA">
              <w:rPr>
                <w:rFonts w:ascii="Times New Roman" w:hAnsi="Times New Roman" w:cs="Times New Roman"/>
                <w:sz w:val="20"/>
                <w:szCs w:val="20"/>
              </w:rPr>
              <w:t xml:space="preserve"> Camacho, 2015</w:t>
            </w:r>
          </w:p>
        </w:tc>
        <w:tc>
          <w:tcPr>
            <w:tcW w:w="1275" w:type="dxa"/>
          </w:tcPr>
          <w:p w14:paraId="3E6542D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4DC2F7F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4BAFBD3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2FFA8B79"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Study of the proportions in </w:t>
            </w:r>
            <w:proofErr w:type="spellStart"/>
            <w:r w:rsidRPr="004C57CA">
              <w:rPr>
                <w:rFonts w:ascii="Times New Roman" w:hAnsi="Times New Roman" w:cs="Times New Roman"/>
                <w:sz w:val="20"/>
                <w:szCs w:val="20"/>
              </w:rPr>
              <w:t>Qubba</w:t>
            </w:r>
            <w:proofErr w:type="spellEnd"/>
            <w:r w:rsidRPr="004C57CA">
              <w:rPr>
                <w:rFonts w:ascii="Times New Roman" w:hAnsi="Times New Roman" w:cs="Times New Roman"/>
                <w:sz w:val="20"/>
                <w:szCs w:val="20"/>
              </w:rPr>
              <w:t>-type architecture to determine the prevalence of non-squared versus squared proportions, focusing on the use of geometry as an architectural tool to generate proportions involving irrational numbers such as the square roots of 2, 3, and 5. The study aims to identify and verify the repetition of these proportions across Mozarab, Islamic, and Mudejar architectures.</w:t>
            </w:r>
          </w:p>
        </w:tc>
        <w:tc>
          <w:tcPr>
            <w:tcW w:w="4394" w:type="dxa"/>
          </w:tcPr>
          <w:p w14:paraId="39C5660B"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 main difficulty lies in demonstrating the intentional use of these geometric proportions and verifying their application across various architectural examples.</w:t>
            </w:r>
          </w:p>
        </w:tc>
        <w:tc>
          <w:tcPr>
            <w:tcW w:w="3118" w:type="dxa"/>
          </w:tcPr>
          <w:p w14:paraId="64E8799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Architecture; geometry; proportion, </w:t>
            </w:r>
            <w:proofErr w:type="spellStart"/>
            <w:r w:rsidRPr="004C57CA">
              <w:rPr>
                <w:rFonts w:ascii="Times New Roman" w:hAnsi="Times New Roman" w:cs="Times New Roman"/>
                <w:sz w:val="20"/>
                <w:szCs w:val="20"/>
              </w:rPr>
              <w:t>qubba</w:t>
            </w:r>
            <w:proofErr w:type="spellEnd"/>
            <w:r w:rsidRPr="004C57CA">
              <w:rPr>
                <w:rFonts w:ascii="Times New Roman" w:hAnsi="Times New Roman" w:cs="Times New Roman"/>
                <w:sz w:val="20"/>
                <w:szCs w:val="20"/>
              </w:rPr>
              <w:t>.</w:t>
            </w:r>
          </w:p>
        </w:tc>
      </w:tr>
      <w:tr w:rsidR="009D79CB" w:rsidRPr="004C57CA" w14:paraId="3EBE399D" w14:textId="77777777" w:rsidTr="004C57CA">
        <w:tc>
          <w:tcPr>
            <w:tcW w:w="1004" w:type="dxa"/>
          </w:tcPr>
          <w:p w14:paraId="726C9A0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lastRenderedPageBreak/>
              <w:t>Herrero Romero, 2015b</w:t>
            </w:r>
          </w:p>
        </w:tc>
        <w:tc>
          <w:tcPr>
            <w:tcW w:w="1275" w:type="dxa"/>
          </w:tcPr>
          <w:p w14:paraId="4B5E0EE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726F9B3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3EA1CC1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601F832B"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Examination of the professional activity and interventions of José </w:t>
            </w:r>
            <w:proofErr w:type="spellStart"/>
            <w:r w:rsidRPr="004C57CA">
              <w:rPr>
                <w:rFonts w:ascii="Times New Roman" w:hAnsi="Times New Roman" w:cs="Times New Roman"/>
                <w:sz w:val="20"/>
                <w:szCs w:val="20"/>
              </w:rPr>
              <w:t>María</w:t>
            </w:r>
            <w:proofErr w:type="spellEnd"/>
            <w:r w:rsidRPr="004C57CA">
              <w:rPr>
                <w:rFonts w:ascii="Times New Roman" w:hAnsi="Times New Roman" w:cs="Times New Roman"/>
                <w:sz w:val="20"/>
                <w:szCs w:val="20"/>
              </w:rPr>
              <w:t xml:space="preserve"> Rodríguez Cano in the Mosque-Cathedral of Córdoba, focusing on archival research and historical records from the 1930s. The study highlights his administrative role and collaboration with Félix Hernández in the restoration and conservation of the building, contrasting this period with earlier conservation efforts.</w:t>
            </w:r>
          </w:p>
        </w:tc>
        <w:tc>
          <w:tcPr>
            <w:tcW w:w="4394" w:type="dxa"/>
          </w:tcPr>
          <w:p w14:paraId="33F7E94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Limited by the historical context and documentation available from Rodríguez Cano's era, which may not fully capture all aspects of his work or the broader impact of his interventions on the Mosque-Cathedral.</w:t>
            </w:r>
          </w:p>
          <w:p w14:paraId="48BD2EC5"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1CB81D9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5E535A5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Rodriguez Cano; Mosque-Cathedral; Cordoba; religious architecture; heritage restoration.</w:t>
            </w:r>
          </w:p>
        </w:tc>
      </w:tr>
      <w:tr w:rsidR="009D79CB" w:rsidRPr="004C57CA" w14:paraId="5ED4EE3B" w14:textId="77777777" w:rsidTr="004C57CA">
        <w:tc>
          <w:tcPr>
            <w:tcW w:w="1004" w:type="dxa"/>
          </w:tcPr>
          <w:p w14:paraId="16B653D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Herrero Romero, 2015a</w:t>
            </w:r>
          </w:p>
        </w:tc>
        <w:tc>
          <w:tcPr>
            <w:tcW w:w="1275" w:type="dxa"/>
          </w:tcPr>
          <w:p w14:paraId="6BBAA31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720F703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5551A7B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389B929C"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Félix Hernández’s restoration work on the Mosque-Cathedral of Córdoba, focusing on his approach and criteria from the Republican period to the Franco regime. This includes reviewing archival documents, project plans, and the evolution of his interventions. The study examines the balance between preservation, maintenance, and the quest for original authenticity in his work.</w:t>
            </w:r>
          </w:p>
        </w:tc>
        <w:tc>
          <w:tcPr>
            <w:tcW w:w="4394" w:type="dxa"/>
          </w:tcPr>
          <w:p w14:paraId="43544BE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Constrained by the historical context and documentation available. The evolving understanding of conservation practices over time could affect the interpretation of his methods.</w:t>
            </w:r>
            <w:r w:rsidRPr="004C57CA">
              <w:rPr>
                <w:rFonts w:ascii="Times New Roman" w:hAnsi="Times New Roman" w:cs="Times New Roman"/>
                <w:sz w:val="20"/>
                <w:szCs w:val="20"/>
              </w:rPr>
              <w:br/>
              <w:t>Lacks replicability.</w:t>
            </w:r>
          </w:p>
          <w:p w14:paraId="13F1BA7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3B8B01E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Félix Hernández; Mosque-Cathedral; Cordoba; Religious architecture; Heritage restoration.</w:t>
            </w:r>
          </w:p>
        </w:tc>
      </w:tr>
      <w:tr w:rsidR="009D79CB" w:rsidRPr="004C57CA" w14:paraId="3C1B4A98" w14:textId="77777777" w:rsidTr="004C57CA">
        <w:tc>
          <w:tcPr>
            <w:tcW w:w="1004" w:type="dxa"/>
          </w:tcPr>
          <w:p w14:paraId="6845760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Fuess &amp; Hartung, 2014</w:t>
            </w:r>
          </w:p>
        </w:tc>
        <w:tc>
          <w:tcPr>
            <w:tcW w:w="1275" w:type="dxa"/>
          </w:tcPr>
          <w:p w14:paraId="4BCD785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248E188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7A5040C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73D2A3B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Thematic methodology with an interdisciplinary approach to explore Islamic court culture from its origins to the nineteenth century. Comparative analysis of political and patronage issues across the Islamic world, featuring extensive visual documentation of courtly life and architecture. The study integrates various themes such as religious legitimacy, terminologies in Oriental languages, and the influence of European courts.</w:t>
            </w:r>
          </w:p>
        </w:tc>
        <w:tc>
          <w:tcPr>
            <w:tcW w:w="4394" w:type="dxa"/>
          </w:tcPr>
          <w:p w14:paraId="72DF293F"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Broad thematic focus, which could affect the depth of analysis for specific court cultures and periods.</w:t>
            </w:r>
          </w:p>
          <w:p w14:paraId="763E55A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506842E1" w14:textId="77777777" w:rsidR="009D79CB" w:rsidRPr="004C57CA" w:rsidRDefault="009D79CB" w:rsidP="00DE7C5D">
            <w:pPr>
              <w:jc w:val="both"/>
              <w:rPr>
                <w:rFonts w:ascii="Times New Roman" w:hAnsi="Times New Roman" w:cs="Times New Roman"/>
                <w:sz w:val="20"/>
                <w:szCs w:val="20"/>
              </w:rPr>
            </w:pPr>
          </w:p>
        </w:tc>
        <w:tc>
          <w:tcPr>
            <w:tcW w:w="3118" w:type="dxa"/>
          </w:tcPr>
          <w:p w14:paraId="4ADA848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r w:rsidR="009D79CB" w:rsidRPr="004C57CA" w14:paraId="3FF2D86C" w14:textId="77777777" w:rsidTr="004C57CA">
        <w:tc>
          <w:tcPr>
            <w:tcW w:w="1004" w:type="dxa"/>
          </w:tcPr>
          <w:p w14:paraId="4E74226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Capilla, 2014</w:t>
            </w:r>
          </w:p>
        </w:tc>
        <w:tc>
          <w:tcPr>
            <w:tcW w:w="1275" w:type="dxa"/>
          </w:tcPr>
          <w:p w14:paraId="5859B9F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05410B8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2B652EF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63C76E2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Examination of Roman statues and sarcophagi from Madinat al-Zahra to understand their use in Islamic architecture and their role in the classical revival promoted by the Umayyad caliphate. This involves analysing the artifacts' placement, historical context, and possible functions within the palace complex.</w:t>
            </w:r>
          </w:p>
        </w:tc>
        <w:tc>
          <w:tcPr>
            <w:tcW w:w="4394" w:type="dxa"/>
          </w:tcPr>
          <w:p w14:paraId="74DABA3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 focus on specific artifacts and a single site may not fully capture broader trends in classical influence across other Islamic sites, and interpretations are limited by historical context and comparative analysis.</w:t>
            </w:r>
          </w:p>
        </w:tc>
        <w:tc>
          <w:tcPr>
            <w:tcW w:w="3118" w:type="dxa"/>
          </w:tcPr>
          <w:p w14:paraId="0627CD1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r w:rsidR="009D79CB" w:rsidRPr="004C57CA" w14:paraId="04BD4FCC" w14:textId="77777777" w:rsidTr="004C57CA">
        <w:tc>
          <w:tcPr>
            <w:tcW w:w="1004" w:type="dxa"/>
          </w:tcPr>
          <w:p w14:paraId="69F334A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G. Anderson, 2014</w:t>
            </w:r>
          </w:p>
        </w:tc>
        <w:tc>
          <w:tcPr>
            <w:tcW w:w="1275" w:type="dxa"/>
          </w:tcPr>
          <w:p w14:paraId="323724D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088CF47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228C5BF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7DB0020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the architecture of the Islamic West, focusing on the Great Mosque of </w:t>
            </w:r>
            <w:proofErr w:type="spellStart"/>
            <w:r w:rsidRPr="004C57CA">
              <w:rPr>
                <w:rFonts w:ascii="Times New Roman" w:hAnsi="Times New Roman" w:cs="Times New Roman"/>
                <w:sz w:val="20"/>
                <w:szCs w:val="20"/>
              </w:rPr>
              <w:t>Qayrawān</w:t>
            </w:r>
            <w:proofErr w:type="spellEnd"/>
            <w:r w:rsidRPr="004C57CA">
              <w:rPr>
                <w:rFonts w:ascii="Times New Roman" w:hAnsi="Times New Roman" w:cs="Times New Roman"/>
                <w:sz w:val="20"/>
                <w:szCs w:val="20"/>
              </w:rPr>
              <w:t xml:space="preserve"> and the Great Mosque of Cordoba. It evaluates the portrayal of these structures to argue that existing narratives present early medieval North African </w:t>
            </w:r>
            <w:proofErr w:type="gramStart"/>
            <w:r w:rsidRPr="004C57CA">
              <w:rPr>
                <w:rFonts w:ascii="Times New Roman" w:hAnsi="Times New Roman" w:cs="Times New Roman"/>
                <w:sz w:val="20"/>
                <w:szCs w:val="20"/>
              </w:rPr>
              <w:t>art as derivative and inferior compared</w:t>
            </w:r>
            <w:proofErr w:type="gramEnd"/>
            <w:r w:rsidRPr="004C57CA">
              <w:rPr>
                <w:rFonts w:ascii="Times New Roman" w:hAnsi="Times New Roman" w:cs="Times New Roman"/>
                <w:sz w:val="20"/>
                <w:szCs w:val="20"/>
              </w:rPr>
              <w:t xml:space="preserve"> to art from other regions. The study suggests a pan-Straits approach that incorporates various historical, political, religious, social, and artistic contexts to address these issues.</w:t>
            </w:r>
          </w:p>
        </w:tc>
        <w:tc>
          <w:tcPr>
            <w:tcW w:w="4394" w:type="dxa"/>
          </w:tcPr>
          <w:p w14:paraId="644B4380"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Focus on selected art history texts and specific case studies, which may not fully represent the diversity of perspectives in Islamic art history or encompass the full scope of the Islamic West's artistic achievements.</w:t>
            </w:r>
          </w:p>
        </w:tc>
        <w:tc>
          <w:tcPr>
            <w:tcW w:w="3118" w:type="dxa"/>
          </w:tcPr>
          <w:p w14:paraId="366967B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Islamic architecture; </w:t>
            </w:r>
            <w:proofErr w:type="spellStart"/>
            <w:r w:rsidRPr="004C57CA">
              <w:rPr>
                <w:rFonts w:ascii="Times New Roman" w:hAnsi="Times New Roman" w:cs="Times New Roman"/>
                <w:sz w:val="20"/>
                <w:szCs w:val="20"/>
              </w:rPr>
              <w:t>Qayrawān</w:t>
            </w:r>
            <w:proofErr w:type="spellEnd"/>
            <w:r w:rsidRPr="004C57CA">
              <w:rPr>
                <w:rFonts w:ascii="Times New Roman" w:hAnsi="Times New Roman" w:cs="Times New Roman"/>
                <w:sz w:val="20"/>
                <w:szCs w:val="20"/>
              </w:rPr>
              <w:t>; Cordoba; mosques; Umayyad; Aghlabid</w:t>
            </w:r>
          </w:p>
        </w:tc>
      </w:tr>
      <w:tr w:rsidR="009D79CB" w:rsidRPr="004C57CA" w14:paraId="2679EB36" w14:textId="77777777" w:rsidTr="004C57CA">
        <w:tc>
          <w:tcPr>
            <w:tcW w:w="1004" w:type="dxa"/>
          </w:tcPr>
          <w:p w14:paraId="52D0270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Sánchez, 2012</w:t>
            </w:r>
          </w:p>
        </w:tc>
        <w:tc>
          <w:tcPr>
            <w:tcW w:w="1275" w:type="dxa"/>
          </w:tcPr>
          <w:p w14:paraId="16755F0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2FCC621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4EDB190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465C7FE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the role of convents and monasteries in Córdoba’s urban development, focusing on their influence as spiritual institutions and economic </w:t>
            </w:r>
            <w:proofErr w:type="spellStart"/>
            <w:r w:rsidRPr="004C57CA">
              <w:rPr>
                <w:rFonts w:ascii="Times New Roman" w:hAnsi="Times New Roman" w:cs="Times New Roman"/>
                <w:sz w:val="20"/>
                <w:szCs w:val="20"/>
              </w:rPr>
              <w:t>centers</w:t>
            </w:r>
            <w:proofErr w:type="spellEnd"/>
            <w:r w:rsidRPr="004C57CA">
              <w:rPr>
                <w:rFonts w:ascii="Times New Roman" w:hAnsi="Times New Roman" w:cs="Times New Roman"/>
                <w:sz w:val="20"/>
                <w:szCs w:val="20"/>
              </w:rPr>
              <w:t>. The study explores their impact on city life and transformation, and how their decline and destruction in the 19th century, due to secularization and modernization efforts by the bourgeoisie, affected the city’s historical and artistic heritage.</w:t>
            </w:r>
          </w:p>
        </w:tc>
        <w:tc>
          <w:tcPr>
            <w:tcW w:w="4394" w:type="dxa"/>
          </w:tcPr>
          <w:p w14:paraId="65A4AB7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Scope is limited to the impact of convents and monasteries, excluding other factors that may have influenced Córdoba’s urban transformation during the same period.</w:t>
            </w:r>
          </w:p>
        </w:tc>
        <w:tc>
          <w:tcPr>
            <w:tcW w:w="3118" w:type="dxa"/>
          </w:tcPr>
          <w:p w14:paraId="7953FF6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Cordoba; religious foundations; convents; monasteries; city; urban transformations; disentitlement; secularization.</w:t>
            </w:r>
          </w:p>
        </w:tc>
      </w:tr>
      <w:tr w:rsidR="009D79CB" w:rsidRPr="004C57CA" w14:paraId="089B980C" w14:textId="77777777" w:rsidTr="004C57CA">
        <w:tc>
          <w:tcPr>
            <w:tcW w:w="1004" w:type="dxa"/>
          </w:tcPr>
          <w:p w14:paraId="1662DC1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Márquez &amp; Ramírez, 2012</w:t>
            </w:r>
          </w:p>
        </w:tc>
        <w:tc>
          <w:tcPr>
            <w:tcW w:w="1275" w:type="dxa"/>
          </w:tcPr>
          <w:p w14:paraId="69A26FF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17AD479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6DA154C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High</w:t>
            </w:r>
          </w:p>
        </w:tc>
        <w:tc>
          <w:tcPr>
            <w:tcW w:w="5513" w:type="dxa"/>
          </w:tcPr>
          <w:p w14:paraId="613E7B6F"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Examination of the "Plano de </w:t>
            </w:r>
            <w:proofErr w:type="spellStart"/>
            <w:r w:rsidRPr="004C57CA">
              <w:rPr>
                <w:rFonts w:ascii="Times New Roman" w:hAnsi="Times New Roman" w:cs="Times New Roman"/>
                <w:sz w:val="20"/>
                <w:szCs w:val="20"/>
              </w:rPr>
              <w:t>los</w:t>
            </w:r>
            <w:proofErr w:type="spellEnd"/>
            <w:r w:rsidRPr="004C57CA">
              <w:rPr>
                <w:rFonts w:ascii="Times New Roman" w:hAnsi="Times New Roman" w:cs="Times New Roman"/>
                <w:sz w:val="20"/>
                <w:szCs w:val="20"/>
              </w:rPr>
              <w:t xml:space="preserve"> </w:t>
            </w:r>
            <w:proofErr w:type="spellStart"/>
            <w:r w:rsidRPr="004C57CA">
              <w:rPr>
                <w:rFonts w:ascii="Times New Roman" w:hAnsi="Times New Roman" w:cs="Times New Roman"/>
                <w:sz w:val="20"/>
                <w:szCs w:val="20"/>
              </w:rPr>
              <w:t>Franceses</w:t>
            </w:r>
            <w:proofErr w:type="spellEnd"/>
            <w:r w:rsidRPr="004C57CA">
              <w:rPr>
                <w:rFonts w:ascii="Times New Roman" w:hAnsi="Times New Roman" w:cs="Times New Roman"/>
                <w:sz w:val="20"/>
                <w:szCs w:val="20"/>
              </w:rPr>
              <w:t xml:space="preserve">" from 1811, the first scientific urban plan of Córdoba. It involves a contemporary analysis of the plan, focusing on its pioneering role in urban cartography, the technical skills of its creators, and its significance </w:t>
            </w:r>
            <w:r w:rsidRPr="004C57CA">
              <w:rPr>
                <w:rFonts w:ascii="Times New Roman" w:hAnsi="Times New Roman" w:cs="Times New Roman"/>
                <w:sz w:val="20"/>
                <w:szCs w:val="20"/>
              </w:rPr>
              <w:lastRenderedPageBreak/>
              <w:t>in the modernization and management of Córdoba's urban landscape.</w:t>
            </w:r>
          </w:p>
        </w:tc>
        <w:tc>
          <w:tcPr>
            <w:tcW w:w="4394" w:type="dxa"/>
          </w:tcPr>
          <w:p w14:paraId="3512380D"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lastRenderedPageBreak/>
              <w:t xml:space="preserve">The plan has some deficiencies and generalities, with incomplete data and potential inaccuracies. The study also relies on additional sources to fully reconstruct Córdoba's early 19th-century urban </w:t>
            </w:r>
            <w:r w:rsidRPr="004C57CA">
              <w:rPr>
                <w:rFonts w:ascii="Times New Roman" w:hAnsi="Times New Roman" w:cs="Times New Roman"/>
                <w:sz w:val="20"/>
                <w:szCs w:val="20"/>
              </w:rPr>
              <w:lastRenderedPageBreak/>
              <w:t>landscape, highlighting that the plan alone may not capture the city's full historical complexity.</w:t>
            </w:r>
          </w:p>
        </w:tc>
        <w:tc>
          <w:tcPr>
            <w:tcW w:w="3118" w:type="dxa"/>
          </w:tcPr>
          <w:p w14:paraId="16FD25B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lastRenderedPageBreak/>
              <w:t>Cordoba; historic city centre; urbanism; historical cartography.</w:t>
            </w:r>
          </w:p>
        </w:tc>
      </w:tr>
      <w:tr w:rsidR="009D79CB" w:rsidRPr="004C57CA" w14:paraId="0C4F0883" w14:textId="77777777" w:rsidTr="004C57CA">
        <w:tc>
          <w:tcPr>
            <w:tcW w:w="1004" w:type="dxa"/>
          </w:tcPr>
          <w:p w14:paraId="21D8257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Hahn, 2012</w:t>
            </w:r>
          </w:p>
        </w:tc>
        <w:tc>
          <w:tcPr>
            <w:tcW w:w="1275" w:type="dxa"/>
          </w:tcPr>
          <w:p w14:paraId="7C21B6C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346E79E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0D47DCB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18EA9EF0"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the mathematical principles underlying architectural designs across various historical periods and cultures, with a focus on the intersection of elementary mathematics and architectural aesthetics, history, and structure.</w:t>
            </w:r>
          </w:p>
        </w:tc>
        <w:tc>
          <w:tcPr>
            <w:tcW w:w="4394" w:type="dxa"/>
          </w:tcPr>
          <w:p w14:paraId="7BE023D7"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Emphasis on elementary mathematics, which may overlook more complex mathematical theories involved in architectural design, and the potential for underrepresentation of non-Western architectural examples.</w:t>
            </w:r>
          </w:p>
        </w:tc>
        <w:tc>
          <w:tcPr>
            <w:tcW w:w="3118" w:type="dxa"/>
          </w:tcPr>
          <w:p w14:paraId="60CBFA5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r w:rsidR="009D79CB" w:rsidRPr="004C57CA" w14:paraId="73105257" w14:textId="77777777" w:rsidTr="004C57CA">
        <w:tc>
          <w:tcPr>
            <w:tcW w:w="1004" w:type="dxa"/>
          </w:tcPr>
          <w:p w14:paraId="409A81B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Ruggles, 2011</w:t>
            </w:r>
          </w:p>
        </w:tc>
        <w:tc>
          <w:tcPr>
            <w:tcW w:w="1275" w:type="dxa"/>
          </w:tcPr>
          <w:p w14:paraId="026FC2D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14929F2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57EF737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182E12E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Analysis of the traditional architectural narrative of the Great Mosque of Córdoba, comparing its significance in European and American contexts. The study examines how medieval Iberian heritage is shaped by political and cultural narratives, particularly focusing on the representation of Al-Andalus and its implications for contemporary heritage politics.</w:t>
            </w:r>
          </w:p>
        </w:tc>
        <w:tc>
          <w:tcPr>
            <w:tcW w:w="4394" w:type="dxa"/>
          </w:tcPr>
          <w:p w14:paraId="3A97B38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Focuses primarily on the political and representational aspects of heritage interpretation, potentially overshadowing other dimensions of the mosque's architectural and historical significance. The study may not fully account for diverse interpretations in other regions or historical contexts and emphasizes political narratives, which might limit consideration of broader architectural scholarship.</w:t>
            </w:r>
          </w:p>
        </w:tc>
        <w:tc>
          <w:tcPr>
            <w:tcW w:w="3118" w:type="dxa"/>
          </w:tcPr>
          <w:p w14:paraId="68CF482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The Grand Mosque of Cordoba; history of Islamic architecture; politics of Heritage; </w:t>
            </w:r>
            <w:proofErr w:type="spellStart"/>
            <w:r w:rsidRPr="004C57CA">
              <w:rPr>
                <w:rFonts w:ascii="Times New Roman" w:hAnsi="Times New Roman" w:cs="Times New Roman"/>
                <w:sz w:val="20"/>
                <w:szCs w:val="20"/>
              </w:rPr>
              <w:t>islamic</w:t>
            </w:r>
            <w:proofErr w:type="spellEnd"/>
            <w:r w:rsidRPr="004C57CA">
              <w:rPr>
                <w:rFonts w:ascii="Times New Roman" w:hAnsi="Times New Roman" w:cs="Times New Roman"/>
                <w:sz w:val="20"/>
                <w:szCs w:val="20"/>
              </w:rPr>
              <w:t xml:space="preserve"> art; </w:t>
            </w:r>
            <w:proofErr w:type="spellStart"/>
            <w:r w:rsidRPr="004C57CA">
              <w:rPr>
                <w:rFonts w:ascii="Times New Roman" w:hAnsi="Times New Roman" w:cs="Times New Roman"/>
                <w:sz w:val="20"/>
                <w:szCs w:val="20"/>
              </w:rPr>
              <w:t>iberian</w:t>
            </w:r>
            <w:proofErr w:type="spellEnd"/>
            <w:r w:rsidRPr="004C57CA">
              <w:rPr>
                <w:rFonts w:ascii="Times New Roman" w:hAnsi="Times New Roman" w:cs="Times New Roman"/>
                <w:sz w:val="20"/>
                <w:szCs w:val="20"/>
              </w:rPr>
              <w:t xml:space="preserve"> medieval art.</w:t>
            </w:r>
          </w:p>
        </w:tc>
      </w:tr>
      <w:tr w:rsidR="009D79CB" w:rsidRPr="004C57CA" w14:paraId="16B4E2BC" w14:textId="77777777" w:rsidTr="004C57CA">
        <w:tc>
          <w:tcPr>
            <w:tcW w:w="1004" w:type="dxa"/>
          </w:tcPr>
          <w:p w14:paraId="60747ED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Duran et al., 2008</w:t>
            </w:r>
          </w:p>
        </w:tc>
        <w:tc>
          <w:tcPr>
            <w:tcW w:w="1275" w:type="dxa"/>
          </w:tcPr>
          <w:p w14:paraId="7033334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774332E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6805FCA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48BB4A72"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 study uses non-destructive X-ray diffraction with Göbel mirrors to analyse the surface and depth profiles of metallic artifacts. Grazing incidence attachments facilitate examination of both flat and bent samples without sampling, focusing on surface alterations.</w:t>
            </w:r>
          </w:p>
        </w:tc>
        <w:tc>
          <w:tcPr>
            <w:tcW w:w="4394" w:type="dxa"/>
          </w:tcPr>
          <w:p w14:paraId="5423C9D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Limited by its applicability to certain types of artifacts and may not be effective for all materials or shapes. While providing detailed surface and depth profile data, it may not fully reveal complex internal structures or deeply embedded alterations. The method requires specialized equipment and is constrained by the accessibility and condition of the artifacts being studied.</w:t>
            </w:r>
          </w:p>
        </w:tc>
        <w:tc>
          <w:tcPr>
            <w:tcW w:w="3118" w:type="dxa"/>
          </w:tcPr>
          <w:p w14:paraId="7C02E91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Göbel mirrors; low fixed incidence angles; depth profile; cultural heritage; bronze, organ pipe.</w:t>
            </w:r>
          </w:p>
        </w:tc>
      </w:tr>
      <w:tr w:rsidR="009D79CB" w:rsidRPr="004C57CA" w14:paraId="43A4BE22" w14:textId="77777777" w:rsidTr="004C57CA">
        <w:tc>
          <w:tcPr>
            <w:tcW w:w="1004" w:type="dxa"/>
          </w:tcPr>
          <w:p w14:paraId="0B35C1FB"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Blanco Guzmán, 2008</w:t>
            </w:r>
          </w:p>
        </w:tc>
        <w:tc>
          <w:tcPr>
            <w:tcW w:w="1275" w:type="dxa"/>
          </w:tcPr>
          <w:p w14:paraId="285F5E3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6DAE98B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5E25361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5498DE34"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The study offers a new perspective on the Late Islamic city of </w:t>
            </w:r>
            <w:proofErr w:type="spellStart"/>
            <w:r w:rsidRPr="004C57CA">
              <w:rPr>
                <w:rFonts w:ascii="Times New Roman" w:hAnsi="Times New Roman" w:cs="Times New Roman"/>
                <w:sz w:val="20"/>
                <w:szCs w:val="20"/>
              </w:rPr>
              <w:t>Qurtuba</w:t>
            </w:r>
            <w:proofErr w:type="spellEnd"/>
            <w:r w:rsidRPr="004C57CA">
              <w:rPr>
                <w:rFonts w:ascii="Times New Roman" w:hAnsi="Times New Roman" w:cs="Times New Roman"/>
                <w:sz w:val="20"/>
                <w:szCs w:val="20"/>
              </w:rPr>
              <w:t xml:space="preserve"> by focusing on domestic architecture in al-</w:t>
            </w:r>
            <w:proofErr w:type="spellStart"/>
            <w:r w:rsidRPr="004C57CA">
              <w:rPr>
                <w:rFonts w:ascii="Times New Roman" w:hAnsi="Times New Roman" w:cs="Times New Roman"/>
                <w:sz w:val="20"/>
                <w:szCs w:val="20"/>
              </w:rPr>
              <w:t>Rabad</w:t>
            </w:r>
            <w:proofErr w:type="spellEnd"/>
            <w:r w:rsidRPr="004C57CA">
              <w:rPr>
                <w:rFonts w:ascii="Times New Roman" w:hAnsi="Times New Roman" w:cs="Times New Roman"/>
                <w:sz w:val="20"/>
                <w:szCs w:val="20"/>
              </w:rPr>
              <w:t xml:space="preserve"> al-</w:t>
            </w:r>
            <w:proofErr w:type="spellStart"/>
            <w:r w:rsidRPr="004C57CA">
              <w:rPr>
                <w:rFonts w:ascii="Times New Roman" w:hAnsi="Times New Roman" w:cs="Times New Roman"/>
                <w:sz w:val="20"/>
                <w:szCs w:val="20"/>
              </w:rPr>
              <w:t>Šarquı</w:t>
            </w:r>
            <w:proofErr w:type="spellEnd"/>
            <w:r w:rsidRPr="004C57CA">
              <w:rPr>
                <w:rFonts w:ascii="Times New Roman" w:hAnsi="Times New Roman" w:cs="Times New Roman"/>
                <w:sz w:val="20"/>
                <w:szCs w:val="20"/>
              </w:rPr>
              <w:t>, utilizing recent archaeological findings from excavations in Córdoba. The research is conducted within the framework of a doctoral program in Archaeology and Heritage, guided by experienced scholars.</w:t>
            </w:r>
          </w:p>
        </w:tc>
        <w:tc>
          <w:tcPr>
            <w:tcW w:w="4394" w:type="dxa"/>
          </w:tcPr>
          <w:p w14:paraId="0791668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Focus on a specific period and geographic area, which may not provide a comprehensive view of the broader historical and cultural context of Islamic </w:t>
            </w:r>
            <w:proofErr w:type="spellStart"/>
            <w:r w:rsidRPr="004C57CA">
              <w:rPr>
                <w:rFonts w:ascii="Times New Roman" w:hAnsi="Times New Roman" w:cs="Times New Roman"/>
                <w:sz w:val="20"/>
                <w:szCs w:val="20"/>
              </w:rPr>
              <w:t>Qurtuba</w:t>
            </w:r>
            <w:proofErr w:type="spellEnd"/>
            <w:r w:rsidRPr="004C57CA">
              <w:rPr>
                <w:rFonts w:ascii="Times New Roman" w:hAnsi="Times New Roman" w:cs="Times New Roman"/>
                <w:sz w:val="20"/>
                <w:szCs w:val="20"/>
              </w:rPr>
              <w:t>. Results are influenced by the guidance and contributions of the supervising professors, with potential biases in interpretation.</w:t>
            </w:r>
          </w:p>
        </w:tc>
        <w:tc>
          <w:tcPr>
            <w:tcW w:w="3118" w:type="dxa"/>
          </w:tcPr>
          <w:p w14:paraId="7017299F" w14:textId="77777777" w:rsidR="009D79CB" w:rsidRPr="004C57CA" w:rsidRDefault="009D79CB" w:rsidP="00DE7C5D">
            <w:pPr>
              <w:rPr>
                <w:rFonts w:ascii="Times New Roman" w:hAnsi="Times New Roman" w:cs="Times New Roman"/>
                <w:sz w:val="20"/>
                <w:szCs w:val="20"/>
              </w:rPr>
            </w:pPr>
            <w:proofErr w:type="spellStart"/>
            <w:r w:rsidRPr="004C57CA">
              <w:rPr>
                <w:rFonts w:ascii="Times New Roman" w:hAnsi="Times New Roman" w:cs="Times New Roman"/>
                <w:sz w:val="20"/>
                <w:szCs w:val="20"/>
              </w:rPr>
              <w:t>Qurtuba</w:t>
            </w:r>
            <w:proofErr w:type="spellEnd"/>
            <w:r w:rsidRPr="004C57CA">
              <w:rPr>
                <w:rFonts w:ascii="Times New Roman" w:hAnsi="Times New Roman" w:cs="Times New Roman"/>
                <w:sz w:val="20"/>
                <w:szCs w:val="20"/>
              </w:rPr>
              <w:t>; al-</w:t>
            </w:r>
            <w:proofErr w:type="spellStart"/>
            <w:r w:rsidRPr="004C57CA">
              <w:rPr>
                <w:rFonts w:ascii="Times New Roman" w:hAnsi="Times New Roman" w:cs="Times New Roman"/>
                <w:sz w:val="20"/>
                <w:szCs w:val="20"/>
              </w:rPr>
              <w:t>Rabad</w:t>
            </w:r>
            <w:proofErr w:type="spellEnd"/>
            <w:r w:rsidRPr="004C57CA">
              <w:rPr>
                <w:rFonts w:ascii="Times New Roman" w:hAnsi="Times New Roman" w:cs="Times New Roman"/>
                <w:sz w:val="20"/>
                <w:szCs w:val="20"/>
              </w:rPr>
              <w:t xml:space="preserve"> al-</w:t>
            </w:r>
            <w:proofErr w:type="spellStart"/>
            <w:r w:rsidRPr="004C57CA">
              <w:rPr>
                <w:rFonts w:ascii="Times New Roman" w:hAnsi="Times New Roman" w:cs="Times New Roman"/>
                <w:sz w:val="20"/>
                <w:szCs w:val="20"/>
              </w:rPr>
              <w:t>Šarquı</w:t>
            </w:r>
            <w:proofErr w:type="spellEnd"/>
            <w:r w:rsidRPr="004C57CA">
              <w:rPr>
                <w:rFonts w:ascii="Times New Roman" w:hAnsi="Times New Roman" w:cs="Times New Roman"/>
                <w:sz w:val="20"/>
                <w:szCs w:val="20"/>
              </w:rPr>
              <w:t>; domestic architecture; late Islamic period.</w:t>
            </w:r>
          </w:p>
        </w:tc>
      </w:tr>
      <w:tr w:rsidR="009D79CB" w:rsidRPr="004C57CA" w14:paraId="587A6A16" w14:textId="77777777" w:rsidTr="004C57CA">
        <w:tc>
          <w:tcPr>
            <w:tcW w:w="1004" w:type="dxa"/>
          </w:tcPr>
          <w:p w14:paraId="1AFBAC4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Abad Castro &amp; González Cavero, 2008</w:t>
            </w:r>
          </w:p>
        </w:tc>
        <w:tc>
          <w:tcPr>
            <w:tcW w:w="1275" w:type="dxa"/>
          </w:tcPr>
          <w:p w14:paraId="440C6E6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2BF4BDD0"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67229E37"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361C930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historical accounts of royal burials in Umayyad Córdoba to explore the absence of a dynastic mausoleum. It examines various sources detailing burial practices and rituals, particularly focusing on the role of </w:t>
            </w:r>
            <w:proofErr w:type="spellStart"/>
            <w:r w:rsidRPr="004C57CA">
              <w:rPr>
                <w:rFonts w:ascii="Times New Roman" w:hAnsi="Times New Roman" w:cs="Times New Roman"/>
                <w:sz w:val="20"/>
                <w:szCs w:val="20"/>
              </w:rPr>
              <w:t>Malikite</w:t>
            </w:r>
            <w:proofErr w:type="spellEnd"/>
            <w:r w:rsidRPr="004C57CA">
              <w:rPr>
                <w:rFonts w:ascii="Times New Roman" w:hAnsi="Times New Roman" w:cs="Times New Roman"/>
                <w:sz w:val="20"/>
                <w:szCs w:val="20"/>
              </w:rPr>
              <w:t xml:space="preserve"> religious practices. The study involves a detailed review of how succession and burial rites were conducted, using primary sources to illustrate adherence to </w:t>
            </w:r>
            <w:proofErr w:type="spellStart"/>
            <w:r w:rsidRPr="004C57CA">
              <w:rPr>
                <w:rFonts w:ascii="Times New Roman" w:hAnsi="Times New Roman" w:cs="Times New Roman"/>
                <w:sz w:val="20"/>
                <w:szCs w:val="20"/>
              </w:rPr>
              <w:t>Malikite</w:t>
            </w:r>
            <w:proofErr w:type="spellEnd"/>
            <w:r w:rsidRPr="004C57CA">
              <w:rPr>
                <w:rFonts w:ascii="Times New Roman" w:hAnsi="Times New Roman" w:cs="Times New Roman"/>
                <w:sz w:val="20"/>
                <w:szCs w:val="20"/>
              </w:rPr>
              <w:t xml:space="preserve"> norms and the significance of these practices in shaping burial traditions.</w:t>
            </w:r>
          </w:p>
        </w:tc>
        <w:tc>
          <w:tcPr>
            <w:tcW w:w="4394" w:type="dxa"/>
          </w:tcPr>
          <w:p w14:paraId="01412E5E"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Reliance on historical sources that may reflect biases or incomplete records of burial practices. The focus on </w:t>
            </w:r>
            <w:proofErr w:type="spellStart"/>
            <w:r w:rsidRPr="004C57CA">
              <w:rPr>
                <w:rFonts w:ascii="Times New Roman" w:hAnsi="Times New Roman" w:cs="Times New Roman"/>
                <w:sz w:val="20"/>
                <w:szCs w:val="20"/>
              </w:rPr>
              <w:t>Malikite</w:t>
            </w:r>
            <w:proofErr w:type="spellEnd"/>
            <w:r w:rsidRPr="004C57CA">
              <w:rPr>
                <w:rFonts w:ascii="Times New Roman" w:hAnsi="Times New Roman" w:cs="Times New Roman"/>
                <w:sz w:val="20"/>
                <w:szCs w:val="20"/>
              </w:rPr>
              <w:t xml:space="preserve"> practices may not fully account for regional variations or influences from other Islamic traditions, potentially narrowing the scope of understanding the broader context of Islamic funerary architecture.</w:t>
            </w:r>
          </w:p>
        </w:tc>
        <w:tc>
          <w:tcPr>
            <w:tcW w:w="3118" w:type="dxa"/>
          </w:tcPr>
          <w:p w14:paraId="3C9C6FD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 xml:space="preserve">Funerary Islamic architecture; Cordoba; Royal </w:t>
            </w:r>
            <w:proofErr w:type="spellStart"/>
            <w:r w:rsidRPr="004C57CA">
              <w:rPr>
                <w:rFonts w:ascii="Times New Roman" w:hAnsi="Times New Roman" w:cs="Times New Roman"/>
                <w:sz w:val="20"/>
                <w:szCs w:val="20"/>
              </w:rPr>
              <w:t>burilas</w:t>
            </w:r>
            <w:proofErr w:type="spellEnd"/>
            <w:r w:rsidRPr="004C57CA">
              <w:rPr>
                <w:rFonts w:ascii="Times New Roman" w:hAnsi="Times New Roman" w:cs="Times New Roman"/>
                <w:sz w:val="20"/>
                <w:szCs w:val="20"/>
              </w:rPr>
              <w:t>; Umayyad.</w:t>
            </w:r>
          </w:p>
        </w:tc>
      </w:tr>
      <w:tr w:rsidR="009D79CB" w:rsidRPr="004C57CA" w14:paraId="77C913D9" w14:textId="77777777" w:rsidTr="004C57CA">
        <w:tc>
          <w:tcPr>
            <w:tcW w:w="1004" w:type="dxa"/>
          </w:tcPr>
          <w:p w14:paraId="43A26B2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G. D. Anderson et al., 2007</w:t>
            </w:r>
          </w:p>
        </w:tc>
        <w:tc>
          <w:tcPr>
            <w:tcW w:w="1275" w:type="dxa"/>
          </w:tcPr>
          <w:p w14:paraId="48F5A6E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131025A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Low</w:t>
            </w:r>
          </w:p>
          <w:p w14:paraId="6D80A984"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Low</w:t>
            </w:r>
          </w:p>
        </w:tc>
        <w:tc>
          <w:tcPr>
            <w:tcW w:w="5513" w:type="dxa"/>
          </w:tcPr>
          <w:p w14:paraId="7BF41BD8"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This study uses archaeological evidence from recent Córdoba excavations, including sites like </w:t>
            </w:r>
            <w:proofErr w:type="spellStart"/>
            <w:r w:rsidRPr="004C57CA">
              <w:rPr>
                <w:rFonts w:ascii="Times New Roman" w:hAnsi="Times New Roman" w:cs="Times New Roman"/>
                <w:sz w:val="20"/>
                <w:szCs w:val="20"/>
              </w:rPr>
              <w:t>Madīnat</w:t>
            </w:r>
            <w:proofErr w:type="spellEnd"/>
            <w:r w:rsidRPr="004C57CA">
              <w:rPr>
                <w:rFonts w:ascii="Times New Roman" w:hAnsi="Times New Roman" w:cs="Times New Roman"/>
                <w:sz w:val="20"/>
                <w:szCs w:val="20"/>
              </w:rPr>
              <w:t xml:space="preserve"> al-</w:t>
            </w:r>
            <w:proofErr w:type="spellStart"/>
            <w:r w:rsidRPr="004C57CA">
              <w:rPr>
                <w:rFonts w:ascii="Times New Roman" w:hAnsi="Times New Roman" w:cs="Times New Roman"/>
                <w:sz w:val="20"/>
                <w:szCs w:val="20"/>
              </w:rPr>
              <w:t>Zahrāx</w:t>
            </w:r>
            <w:proofErr w:type="spellEnd"/>
            <w:r w:rsidRPr="004C57CA">
              <w:rPr>
                <w:rFonts w:ascii="Times New Roman" w:hAnsi="Times New Roman" w:cs="Times New Roman"/>
                <w:sz w:val="20"/>
                <w:szCs w:val="20"/>
              </w:rPr>
              <w:t xml:space="preserve">, to </w:t>
            </w:r>
            <w:proofErr w:type="spellStart"/>
            <w:r w:rsidRPr="004C57CA">
              <w:rPr>
                <w:rFonts w:ascii="Times New Roman" w:hAnsi="Times New Roman" w:cs="Times New Roman"/>
                <w:sz w:val="20"/>
                <w:szCs w:val="20"/>
              </w:rPr>
              <w:t>analyze</w:t>
            </w:r>
            <w:proofErr w:type="spellEnd"/>
            <w:r w:rsidRPr="004C57CA">
              <w:rPr>
                <w:rFonts w:ascii="Times New Roman" w:hAnsi="Times New Roman" w:cs="Times New Roman"/>
                <w:sz w:val="20"/>
                <w:szCs w:val="20"/>
              </w:rPr>
              <w:t xml:space="preserve"> the architecture of Umayyad villas (</w:t>
            </w:r>
            <w:proofErr w:type="spellStart"/>
            <w:r w:rsidRPr="004C57CA">
              <w:rPr>
                <w:rFonts w:ascii="Times New Roman" w:hAnsi="Times New Roman" w:cs="Times New Roman"/>
                <w:sz w:val="20"/>
                <w:szCs w:val="20"/>
              </w:rPr>
              <w:t>munyas</w:t>
            </w:r>
            <w:proofErr w:type="spellEnd"/>
            <w:r w:rsidRPr="004C57CA">
              <w:rPr>
                <w:rFonts w:ascii="Times New Roman" w:hAnsi="Times New Roman" w:cs="Times New Roman"/>
                <w:sz w:val="20"/>
                <w:szCs w:val="20"/>
              </w:rPr>
              <w:t>). It compares these findings with Roman villas and contemporary Islamic palaces to explore their design and significance.</w:t>
            </w:r>
          </w:p>
        </w:tc>
        <w:tc>
          <w:tcPr>
            <w:tcW w:w="4394" w:type="dxa"/>
          </w:tcPr>
          <w:p w14:paraId="5EDD2713"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Incomplete archaeological evidence and reliance on comparisons that may not fully reflect the unique aspects of Umayyad villas. The findings are preliminary and require further research to confirm interpretations.</w:t>
            </w:r>
          </w:p>
          <w:p w14:paraId="6530FC9C"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2357DE6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7CFC580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r w:rsidR="009D79CB" w:rsidRPr="004C57CA" w14:paraId="67151D41" w14:textId="77777777" w:rsidTr="004C57CA">
        <w:tc>
          <w:tcPr>
            <w:tcW w:w="1004" w:type="dxa"/>
          </w:tcPr>
          <w:p w14:paraId="6828736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lastRenderedPageBreak/>
              <w:t>Suárez et al., 2005</w:t>
            </w:r>
          </w:p>
        </w:tc>
        <w:tc>
          <w:tcPr>
            <w:tcW w:w="1275" w:type="dxa"/>
          </w:tcPr>
          <w:p w14:paraId="72E12F6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High</w:t>
            </w:r>
          </w:p>
          <w:p w14:paraId="43E39612"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0D0117DE"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7DFD65A1"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Analysis of the acoustics of the Cathedral-Mosque of Córdoba by comparing its acoustic characteristics during its Christian and Muslim periods. This involves both in situ measurements and simulations using </w:t>
            </w:r>
            <w:proofErr w:type="spellStart"/>
            <w:r w:rsidRPr="004C57CA">
              <w:rPr>
                <w:rFonts w:ascii="Times New Roman" w:hAnsi="Times New Roman" w:cs="Times New Roman"/>
                <w:sz w:val="20"/>
                <w:szCs w:val="20"/>
              </w:rPr>
              <w:t>CATTAcoustic</w:t>
            </w:r>
            <w:proofErr w:type="spellEnd"/>
            <w:r w:rsidRPr="004C57CA">
              <w:rPr>
                <w:rFonts w:ascii="Times New Roman" w:hAnsi="Times New Roman" w:cs="Times New Roman"/>
                <w:sz w:val="20"/>
                <w:szCs w:val="20"/>
              </w:rPr>
              <w:t xml:space="preserve"> software to assess how different liturgical needs influenced the acoustic environment.</w:t>
            </w:r>
          </w:p>
        </w:tc>
        <w:tc>
          <w:tcPr>
            <w:tcW w:w="4394" w:type="dxa"/>
          </w:tcPr>
          <w:p w14:paraId="7D30C45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The findings are constrained by the limitations of simulations, which may not capture all acoustic details, and by the challenge of distinguishing acoustic impacts from different historical periods.</w:t>
            </w:r>
          </w:p>
        </w:tc>
        <w:tc>
          <w:tcPr>
            <w:tcW w:w="3118" w:type="dxa"/>
          </w:tcPr>
          <w:p w14:paraId="52E99C11"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Acoustics; cultural heritage; architectural intervention; worship acoustics; religious music.</w:t>
            </w:r>
          </w:p>
        </w:tc>
      </w:tr>
      <w:tr w:rsidR="009D79CB" w:rsidRPr="004C57CA" w14:paraId="4A17D0BC" w14:textId="77777777" w:rsidTr="004C57CA">
        <w:tc>
          <w:tcPr>
            <w:tcW w:w="1004" w:type="dxa"/>
          </w:tcPr>
          <w:p w14:paraId="75EAB19C"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Ramos, 2005</w:t>
            </w:r>
          </w:p>
        </w:tc>
        <w:tc>
          <w:tcPr>
            <w:tcW w:w="1275" w:type="dxa"/>
          </w:tcPr>
          <w:p w14:paraId="47ACB418"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4785D17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High</w:t>
            </w:r>
          </w:p>
          <w:p w14:paraId="73C1866A"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624E7596"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Examination of the evolution of Plaza de la Corredera's uses, configuration, and appearance from its origins in the 11</w:t>
            </w:r>
            <w:r w:rsidRPr="004C57CA">
              <w:rPr>
                <w:rFonts w:ascii="Times New Roman" w:hAnsi="Times New Roman" w:cs="Times New Roman"/>
                <w:sz w:val="20"/>
                <w:szCs w:val="20"/>
                <w:vertAlign w:val="superscript"/>
              </w:rPr>
              <w:t>th</w:t>
            </w:r>
            <w:r w:rsidRPr="004C57CA">
              <w:rPr>
                <w:rFonts w:ascii="Times New Roman" w:hAnsi="Times New Roman" w:cs="Times New Roman"/>
                <w:sz w:val="20"/>
                <w:szCs w:val="20"/>
              </w:rPr>
              <w:t xml:space="preserve"> century to the present. It focuses on its historical roles in commercial, festive, and representative activities, and its significance as an Andalusian Baroque Plaza Mayor.</w:t>
            </w:r>
          </w:p>
        </w:tc>
        <w:tc>
          <w:tcPr>
            <w:tcW w:w="4394" w:type="dxa"/>
          </w:tcPr>
          <w:p w14:paraId="7701D6AD"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Limited by the availability and completeness of historical records and documentation regarding the plaza’s transformations over time.</w:t>
            </w:r>
          </w:p>
          <w:p w14:paraId="1C95AD3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replicability.</w:t>
            </w:r>
          </w:p>
          <w:p w14:paraId="35233FA5"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Lacks a systematic methodology.</w:t>
            </w:r>
          </w:p>
        </w:tc>
        <w:tc>
          <w:tcPr>
            <w:tcW w:w="3118" w:type="dxa"/>
          </w:tcPr>
          <w:p w14:paraId="244D71E9"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Monument; main square; baroque; materials; urbanism: feast.</w:t>
            </w:r>
          </w:p>
        </w:tc>
      </w:tr>
      <w:tr w:rsidR="009D79CB" w:rsidRPr="004C57CA" w14:paraId="3A92B305" w14:textId="77777777" w:rsidTr="004C57CA">
        <w:tc>
          <w:tcPr>
            <w:tcW w:w="1004" w:type="dxa"/>
          </w:tcPr>
          <w:p w14:paraId="00F47055"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Suárez et al., 2004</w:t>
            </w:r>
          </w:p>
        </w:tc>
        <w:tc>
          <w:tcPr>
            <w:tcW w:w="1275" w:type="dxa"/>
          </w:tcPr>
          <w:p w14:paraId="3C8610FF"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T: Medium</w:t>
            </w:r>
          </w:p>
          <w:p w14:paraId="7E46CF3D"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R: Medium</w:t>
            </w:r>
          </w:p>
          <w:p w14:paraId="7D896333"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C: Medium</w:t>
            </w:r>
          </w:p>
        </w:tc>
        <w:tc>
          <w:tcPr>
            <w:tcW w:w="5513" w:type="dxa"/>
          </w:tcPr>
          <w:p w14:paraId="1AAF881A"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 xml:space="preserve">Comparative analysis of the acoustics within the Cathedral-Mosque of Córdoba, focusing on the effects of two major architectural interventions: the Gothic chapel of </w:t>
            </w:r>
            <w:proofErr w:type="spellStart"/>
            <w:r w:rsidRPr="004C57CA">
              <w:rPr>
                <w:rFonts w:ascii="Times New Roman" w:hAnsi="Times New Roman" w:cs="Times New Roman"/>
                <w:sz w:val="20"/>
                <w:szCs w:val="20"/>
              </w:rPr>
              <w:t>Villaviciosa</w:t>
            </w:r>
            <w:proofErr w:type="spellEnd"/>
            <w:r w:rsidRPr="004C57CA">
              <w:rPr>
                <w:rFonts w:ascii="Times New Roman" w:hAnsi="Times New Roman" w:cs="Times New Roman"/>
                <w:sz w:val="20"/>
                <w:szCs w:val="20"/>
              </w:rPr>
              <w:t xml:space="preserve"> and the 16th-century cathedral transept. The research assesses how these interventions impact the acoustic performance of the space, which serves liturgical and cultural functions. Based on this analysis, architectural proposals for acoustic improvements are presented.</w:t>
            </w:r>
          </w:p>
        </w:tc>
        <w:tc>
          <w:tcPr>
            <w:tcW w:w="4394" w:type="dxa"/>
          </w:tcPr>
          <w:p w14:paraId="5B050890" w14:textId="77777777" w:rsidR="009D79CB" w:rsidRPr="004C57CA" w:rsidRDefault="009D79CB" w:rsidP="00DE7C5D">
            <w:pPr>
              <w:jc w:val="both"/>
              <w:rPr>
                <w:rFonts w:ascii="Times New Roman" w:hAnsi="Times New Roman" w:cs="Times New Roman"/>
                <w:sz w:val="20"/>
                <w:szCs w:val="20"/>
              </w:rPr>
            </w:pPr>
            <w:r w:rsidRPr="004C57CA">
              <w:rPr>
                <w:rFonts w:ascii="Times New Roman" w:hAnsi="Times New Roman" w:cs="Times New Roman"/>
                <w:sz w:val="20"/>
                <w:szCs w:val="20"/>
              </w:rPr>
              <w:t>Limited by the complexity of acoustics in historically layered structures, where the interaction between different architectural elements can complicate the analysis. Effectiveness of the proposed acoustic interventions may be constrained by the preservation requirements and historical integrity of the site.</w:t>
            </w:r>
          </w:p>
        </w:tc>
        <w:tc>
          <w:tcPr>
            <w:tcW w:w="3118" w:type="dxa"/>
          </w:tcPr>
          <w:p w14:paraId="6B266236" w14:textId="77777777" w:rsidR="009D79CB" w:rsidRPr="004C57CA" w:rsidRDefault="009D79CB" w:rsidP="00DE7C5D">
            <w:pPr>
              <w:rPr>
                <w:rFonts w:ascii="Times New Roman" w:hAnsi="Times New Roman" w:cs="Times New Roman"/>
                <w:sz w:val="20"/>
                <w:szCs w:val="20"/>
              </w:rPr>
            </w:pPr>
            <w:r w:rsidRPr="004C57CA">
              <w:rPr>
                <w:rFonts w:ascii="Times New Roman" w:hAnsi="Times New Roman" w:cs="Times New Roman"/>
                <w:sz w:val="20"/>
                <w:szCs w:val="20"/>
              </w:rPr>
              <w:t>-</w:t>
            </w:r>
          </w:p>
        </w:tc>
      </w:tr>
    </w:tbl>
    <w:p w14:paraId="25662E51" w14:textId="4FEDE907" w:rsidR="00232DFC" w:rsidRPr="00406AD7" w:rsidRDefault="00406AD7">
      <w:pPr>
        <w:rPr>
          <w:rFonts w:ascii="Times New Roman" w:hAnsi="Times New Roman" w:cs="Times New Roman"/>
        </w:rPr>
      </w:pPr>
      <w:r w:rsidRPr="00406AD7">
        <w:rPr>
          <w:rFonts w:ascii="Times New Roman" w:hAnsi="Times New Roman" w:cs="Times New Roman"/>
        </w:rPr>
        <w:t>Source(s): Authors own work</w:t>
      </w:r>
      <w:bookmarkStart w:id="0" w:name="_GoBack"/>
      <w:bookmarkEnd w:id="0"/>
    </w:p>
    <w:sectPr w:rsidR="00232DFC" w:rsidRPr="00406AD7" w:rsidSect="009D79C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3E3"/>
    <w:rsid w:val="000A43E3"/>
    <w:rsid w:val="000B3468"/>
    <w:rsid w:val="00133646"/>
    <w:rsid w:val="00232DFC"/>
    <w:rsid w:val="00406AD7"/>
    <w:rsid w:val="004B3167"/>
    <w:rsid w:val="004C57CA"/>
    <w:rsid w:val="0050269C"/>
    <w:rsid w:val="0094090D"/>
    <w:rsid w:val="009D79CB"/>
    <w:rsid w:val="00BE15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683D"/>
  <w15:chartTrackingRefBased/>
  <w15:docId w15:val="{1EAA3B0C-A9D3-473C-A60A-7069C041A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90D"/>
    <w:rPr>
      <w:lang w:val="en-GB"/>
    </w:rPr>
  </w:style>
  <w:style w:type="paragraph" w:styleId="Heading1">
    <w:name w:val="heading 1"/>
    <w:basedOn w:val="Normal"/>
    <w:next w:val="Normal"/>
    <w:link w:val="Heading1Char"/>
    <w:uiPriority w:val="9"/>
    <w:qFormat/>
    <w:rsid w:val="000A43E3"/>
    <w:pPr>
      <w:keepNext/>
      <w:keepLines/>
      <w:spacing w:before="360" w:after="80"/>
      <w:outlineLvl w:val="0"/>
    </w:pPr>
    <w:rPr>
      <w:rFonts w:asciiTheme="majorHAnsi" w:eastAsiaTheme="majorEastAsia" w:hAnsiTheme="majorHAnsi" w:cstheme="majorBidi"/>
      <w:color w:val="2F5496" w:themeColor="accent1" w:themeShade="BF"/>
      <w:sz w:val="40"/>
      <w:szCs w:val="40"/>
      <w:lang w:val="es-ES"/>
    </w:rPr>
  </w:style>
  <w:style w:type="paragraph" w:styleId="Heading2">
    <w:name w:val="heading 2"/>
    <w:basedOn w:val="Normal"/>
    <w:next w:val="Normal"/>
    <w:link w:val="Heading2Char"/>
    <w:uiPriority w:val="9"/>
    <w:semiHidden/>
    <w:unhideWhenUsed/>
    <w:qFormat/>
    <w:rsid w:val="000A43E3"/>
    <w:pPr>
      <w:keepNext/>
      <w:keepLines/>
      <w:spacing w:before="160" w:after="80"/>
      <w:outlineLvl w:val="1"/>
    </w:pPr>
    <w:rPr>
      <w:rFonts w:asciiTheme="majorHAnsi" w:eastAsiaTheme="majorEastAsia" w:hAnsiTheme="majorHAnsi" w:cstheme="majorBidi"/>
      <w:color w:val="2F5496" w:themeColor="accent1" w:themeShade="BF"/>
      <w:sz w:val="32"/>
      <w:szCs w:val="32"/>
      <w:lang w:val="es-ES"/>
    </w:rPr>
  </w:style>
  <w:style w:type="paragraph" w:styleId="Heading3">
    <w:name w:val="heading 3"/>
    <w:basedOn w:val="Normal"/>
    <w:next w:val="Normal"/>
    <w:link w:val="Heading3Char"/>
    <w:uiPriority w:val="9"/>
    <w:semiHidden/>
    <w:unhideWhenUsed/>
    <w:qFormat/>
    <w:rsid w:val="000A43E3"/>
    <w:pPr>
      <w:keepNext/>
      <w:keepLines/>
      <w:spacing w:before="160" w:after="80"/>
      <w:outlineLvl w:val="2"/>
    </w:pPr>
    <w:rPr>
      <w:rFonts w:eastAsiaTheme="majorEastAsia" w:cstheme="majorBidi"/>
      <w:color w:val="2F5496" w:themeColor="accent1" w:themeShade="BF"/>
      <w:sz w:val="28"/>
      <w:szCs w:val="28"/>
      <w:lang w:val="es-ES"/>
    </w:rPr>
  </w:style>
  <w:style w:type="paragraph" w:styleId="Heading4">
    <w:name w:val="heading 4"/>
    <w:basedOn w:val="Normal"/>
    <w:next w:val="Normal"/>
    <w:link w:val="Heading4Char"/>
    <w:uiPriority w:val="9"/>
    <w:semiHidden/>
    <w:unhideWhenUsed/>
    <w:qFormat/>
    <w:rsid w:val="000A43E3"/>
    <w:pPr>
      <w:keepNext/>
      <w:keepLines/>
      <w:spacing w:before="80" w:after="40"/>
      <w:outlineLvl w:val="3"/>
    </w:pPr>
    <w:rPr>
      <w:rFonts w:eastAsiaTheme="majorEastAsia" w:cstheme="majorBidi"/>
      <w:i/>
      <w:iCs/>
      <w:color w:val="2F5496" w:themeColor="accent1" w:themeShade="BF"/>
      <w:lang w:val="es-ES"/>
    </w:rPr>
  </w:style>
  <w:style w:type="paragraph" w:styleId="Heading5">
    <w:name w:val="heading 5"/>
    <w:basedOn w:val="Normal"/>
    <w:next w:val="Normal"/>
    <w:link w:val="Heading5Char"/>
    <w:uiPriority w:val="9"/>
    <w:semiHidden/>
    <w:unhideWhenUsed/>
    <w:qFormat/>
    <w:rsid w:val="000A43E3"/>
    <w:pPr>
      <w:keepNext/>
      <w:keepLines/>
      <w:spacing w:before="80" w:after="40"/>
      <w:outlineLvl w:val="4"/>
    </w:pPr>
    <w:rPr>
      <w:rFonts w:eastAsiaTheme="majorEastAsia" w:cstheme="majorBidi"/>
      <w:color w:val="2F5496" w:themeColor="accent1" w:themeShade="BF"/>
      <w:lang w:val="es-ES"/>
    </w:rPr>
  </w:style>
  <w:style w:type="paragraph" w:styleId="Heading6">
    <w:name w:val="heading 6"/>
    <w:basedOn w:val="Normal"/>
    <w:next w:val="Normal"/>
    <w:link w:val="Heading6Char"/>
    <w:uiPriority w:val="9"/>
    <w:semiHidden/>
    <w:unhideWhenUsed/>
    <w:qFormat/>
    <w:rsid w:val="000A43E3"/>
    <w:pPr>
      <w:keepNext/>
      <w:keepLines/>
      <w:spacing w:before="40" w:after="0"/>
      <w:outlineLvl w:val="5"/>
    </w:pPr>
    <w:rPr>
      <w:rFonts w:eastAsiaTheme="majorEastAsia" w:cstheme="majorBidi"/>
      <w:i/>
      <w:iCs/>
      <w:color w:val="595959" w:themeColor="text1" w:themeTint="A6"/>
      <w:lang w:val="es-ES"/>
    </w:rPr>
  </w:style>
  <w:style w:type="paragraph" w:styleId="Heading7">
    <w:name w:val="heading 7"/>
    <w:basedOn w:val="Normal"/>
    <w:next w:val="Normal"/>
    <w:link w:val="Heading7Char"/>
    <w:uiPriority w:val="9"/>
    <w:semiHidden/>
    <w:unhideWhenUsed/>
    <w:qFormat/>
    <w:rsid w:val="000A43E3"/>
    <w:pPr>
      <w:keepNext/>
      <w:keepLines/>
      <w:spacing w:before="40" w:after="0"/>
      <w:outlineLvl w:val="6"/>
    </w:pPr>
    <w:rPr>
      <w:rFonts w:eastAsiaTheme="majorEastAsia" w:cstheme="majorBidi"/>
      <w:color w:val="595959" w:themeColor="text1" w:themeTint="A6"/>
      <w:lang w:val="es-ES"/>
    </w:rPr>
  </w:style>
  <w:style w:type="paragraph" w:styleId="Heading8">
    <w:name w:val="heading 8"/>
    <w:basedOn w:val="Normal"/>
    <w:next w:val="Normal"/>
    <w:link w:val="Heading8Char"/>
    <w:uiPriority w:val="9"/>
    <w:semiHidden/>
    <w:unhideWhenUsed/>
    <w:qFormat/>
    <w:rsid w:val="000A43E3"/>
    <w:pPr>
      <w:keepNext/>
      <w:keepLines/>
      <w:spacing w:after="0"/>
      <w:outlineLvl w:val="7"/>
    </w:pPr>
    <w:rPr>
      <w:rFonts w:eastAsiaTheme="majorEastAsia" w:cstheme="majorBidi"/>
      <w:i/>
      <w:iCs/>
      <w:color w:val="272727" w:themeColor="text1" w:themeTint="D8"/>
      <w:lang w:val="es-ES"/>
    </w:rPr>
  </w:style>
  <w:style w:type="paragraph" w:styleId="Heading9">
    <w:name w:val="heading 9"/>
    <w:basedOn w:val="Normal"/>
    <w:next w:val="Normal"/>
    <w:link w:val="Heading9Char"/>
    <w:uiPriority w:val="9"/>
    <w:semiHidden/>
    <w:unhideWhenUsed/>
    <w:qFormat/>
    <w:rsid w:val="000A43E3"/>
    <w:pPr>
      <w:keepNext/>
      <w:keepLines/>
      <w:spacing w:after="0"/>
      <w:outlineLvl w:val="8"/>
    </w:pPr>
    <w:rPr>
      <w:rFonts w:eastAsiaTheme="majorEastAsia" w:cstheme="majorBidi"/>
      <w:color w:val="272727" w:themeColor="text1" w:themeTint="D8"/>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3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43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43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43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43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43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43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43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43E3"/>
    <w:rPr>
      <w:rFonts w:eastAsiaTheme="majorEastAsia" w:cstheme="majorBidi"/>
      <w:color w:val="272727" w:themeColor="text1" w:themeTint="D8"/>
    </w:rPr>
  </w:style>
  <w:style w:type="paragraph" w:styleId="Title">
    <w:name w:val="Title"/>
    <w:basedOn w:val="Normal"/>
    <w:next w:val="Normal"/>
    <w:link w:val="TitleChar"/>
    <w:uiPriority w:val="10"/>
    <w:qFormat/>
    <w:rsid w:val="000A43E3"/>
    <w:pPr>
      <w:spacing w:after="80" w:line="240" w:lineRule="auto"/>
      <w:contextualSpacing/>
    </w:pPr>
    <w:rPr>
      <w:rFonts w:asciiTheme="majorHAnsi" w:eastAsiaTheme="majorEastAsia" w:hAnsiTheme="majorHAnsi" w:cstheme="majorBidi"/>
      <w:spacing w:val="-10"/>
      <w:kern w:val="28"/>
      <w:sz w:val="56"/>
      <w:szCs w:val="56"/>
      <w:lang w:val="es-ES"/>
    </w:rPr>
  </w:style>
  <w:style w:type="character" w:customStyle="1" w:styleId="TitleChar">
    <w:name w:val="Title Char"/>
    <w:basedOn w:val="DefaultParagraphFont"/>
    <w:link w:val="Title"/>
    <w:uiPriority w:val="10"/>
    <w:rsid w:val="000A43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43E3"/>
    <w:pPr>
      <w:numPr>
        <w:ilvl w:val="1"/>
      </w:numPr>
    </w:pPr>
    <w:rPr>
      <w:rFonts w:eastAsiaTheme="majorEastAsia" w:cstheme="majorBidi"/>
      <w:color w:val="595959" w:themeColor="text1" w:themeTint="A6"/>
      <w:spacing w:val="15"/>
      <w:sz w:val="28"/>
      <w:szCs w:val="28"/>
      <w:lang w:val="es-ES"/>
    </w:rPr>
  </w:style>
  <w:style w:type="character" w:customStyle="1" w:styleId="SubtitleChar">
    <w:name w:val="Subtitle Char"/>
    <w:basedOn w:val="DefaultParagraphFont"/>
    <w:link w:val="Subtitle"/>
    <w:uiPriority w:val="11"/>
    <w:rsid w:val="000A43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43E3"/>
    <w:pPr>
      <w:spacing w:before="160"/>
      <w:jc w:val="center"/>
    </w:pPr>
    <w:rPr>
      <w:i/>
      <w:iCs/>
      <w:color w:val="404040" w:themeColor="text1" w:themeTint="BF"/>
      <w:lang w:val="es-ES"/>
    </w:rPr>
  </w:style>
  <w:style w:type="character" w:customStyle="1" w:styleId="QuoteChar">
    <w:name w:val="Quote Char"/>
    <w:basedOn w:val="DefaultParagraphFont"/>
    <w:link w:val="Quote"/>
    <w:uiPriority w:val="29"/>
    <w:rsid w:val="000A43E3"/>
    <w:rPr>
      <w:i/>
      <w:iCs/>
      <w:color w:val="404040" w:themeColor="text1" w:themeTint="BF"/>
    </w:rPr>
  </w:style>
  <w:style w:type="paragraph" w:styleId="ListParagraph">
    <w:name w:val="List Paragraph"/>
    <w:basedOn w:val="Normal"/>
    <w:uiPriority w:val="34"/>
    <w:qFormat/>
    <w:rsid w:val="000A43E3"/>
    <w:pPr>
      <w:ind w:left="720"/>
      <w:contextualSpacing/>
    </w:pPr>
    <w:rPr>
      <w:lang w:val="es-ES"/>
    </w:rPr>
  </w:style>
  <w:style w:type="character" w:styleId="IntenseEmphasis">
    <w:name w:val="Intense Emphasis"/>
    <w:basedOn w:val="DefaultParagraphFont"/>
    <w:uiPriority w:val="21"/>
    <w:qFormat/>
    <w:rsid w:val="000A43E3"/>
    <w:rPr>
      <w:i/>
      <w:iCs/>
      <w:color w:val="2F5496" w:themeColor="accent1" w:themeShade="BF"/>
    </w:rPr>
  </w:style>
  <w:style w:type="paragraph" w:styleId="IntenseQuote">
    <w:name w:val="Intense Quote"/>
    <w:basedOn w:val="Normal"/>
    <w:next w:val="Normal"/>
    <w:link w:val="IntenseQuoteChar"/>
    <w:uiPriority w:val="30"/>
    <w:qFormat/>
    <w:rsid w:val="000A43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ES"/>
    </w:rPr>
  </w:style>
  <w:style w:type="character" w:customStyle="1" w:styleId="IntenseQuoteChar">
    <w:name w:val="Intense Quote Char"/>
    <w:basedOn w:val="DefaultParagraphFont"/>
    <w:link w:val="IntenseQuote"/>
    <w:uiPriority w:val="30"/>
    <w:rsid w:val="000A43E3"/>
    <w:rPr>
      <w:i/>
      <w:iCs/>
      <w:color w:val="2F5496" w:themeColor="accent1" w:themeShade="BF"/>
    </w:rPr>
  </w:style>
  <w:style w:type="character" w:styleId="IntenseReference">
    <w:name w:val="Intense Reference"/>
    <w:basedOn w:val="DefaultParagraphFont"/>
    <w:uiPriority w:val="32"/>
    <w:qFormat/>
    <w:rsid w:val="000A43E3"/>
    <w:rPr>
      <w:b/>
      <w:bCs/>
      <w:smallCaps/>
      <w:color w:val="2F5496" w:themeColor="accent1" w:themeShade="BF"/>
      <w:spacing w:val="5"/>
    </w:rPr>
  </w:style>
  <w:style w:type="table" w:styleId="TableGrid">
    <w:name w:val="Table Grid"/>
    <w:basedOn w:val="TableNormal"/>
    <w:uiPriority w:val="39"/>
    <w:rsid w:val="00940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5168</Words>
  <Characters>29464</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Magdalena Serrano Baena</dc:creator>
  <cp:keywords/>
  <dc:description/>
  <cp:lastModifiedBy>Amuthu Pandian P</cp:lastModifiedBy>
  <cp:revision>5</cp:revision>
  <dcterms:created xsi:type="dcterms:W3CDTF">2024-12-15T12:41:00Z</dcterms:created>
  <dcterms:modified xsi:type="dcterms:W3CDTF">2025-04-23T12:03:00Z</dcterms:modified>
</cp:coreProperties>
</file>