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493"/>
        <w:tblW w:w="0" w:type="auto"/>
        <w:tblCellMar>
          <w:left w:w="75" w:type="dxa"/>
          <w:right w:w="75" w:type="dxa"/>
        </w:tblCellMar>
        <w:tblLook w:val="0000" w:firstRow="0" w:lastRow="0" w:firstColumn="0" w:lastColumn="0" w:noHBand="0" w:noVBand="0"/>
      </w:tblPr>
      <w:tblGrid>
        <w:gridCol w:w="3834"/>
        <w:gridCol w:w="2763"/>
        <w:gridCol w:w="2763"/>
      </w:tblGrid>
      <w:tr w:rsidR="003E4FBE" w:rsidRPr="003C61C2" w:rsidTr="00AD3E5F">
        <w:tc>
          <w:tcPr>
            <w:tcW w:w="0" w:type="auto"/>
            <w:gridSpan w:val="3"/>
            <w:tcBorders>
              <w:top w:val="single" w:sz="6" w:space="0" w:color="auto"/>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b/>
                <w:bCs/>
                <w:sz w:val="20"/>
                <w:szCs w:val="20"/>
                <w:lang w:val="en-US"/>
              </w:rPr>
              <w:t>TABLE A1: Earnings quality for private subsidiary firms versus standalone firms (Full sample</w:t>
            </w:r>
            <w:r w:rsidR="00AD3E5F">
              <w:rPr>
                <w:rFonts w:ascii="Times New Roman" w:hAnsi="Times New Roman" w:cs="Times New Roman"/>
                <w:b/>
                <w:bCs/>
                <w:sz w:val="20"/>
                <w:szCs w:val="20"/>
                <w:lang w:val="en-US"/>
              </w:rPr>
              <w:t xml:space="preserve"> using alternative proxies for earnings quality</w:t>
            </w:r>
            <w:r w:rsidRPr="003C61C2">
              <w:rPr>
                <w:rFonts w:ascii="Times New Roman" w:hAnsi="Times New Roman" w:cs="Times New Roman"/>
                <w:b/>
                <w:bCs/>
                <w:sz w:val="20"/>
                <w:szCs w:val="20"/>
                <w:lang w:val="en-US"/>
              </w:rPr>
              <w:t>)</w:t>
            </w:r>
          </w:p>
        </w:tc>
      </w:tr>
      <w:tr w:rsidR="00323C28" w:rsidRPr="003C61C2" w:rsidTr="00AD3E5F">
        <w:tc>
          <w:tcPr>
            <w:tcW w:w="0" w:type="auto"/>
            <w:tcBorders>
              <w:top w:val="single" w:sz="6" w:space="0" w:color="auto"/>
              <w:left w:val="nil"/>
              <w:bottom w:val="nil"/>
              <w:right w:val="nil"/>
            </w:tcBorders>
          </w:tcPr>
          <w:p w:rsidR="00323C28" w:rsidRPr="003C61C2" w:rsidRDefault="00323C28" w:rsidP="00AD3E5F">
            <w:pPr>
              <w:widowControl w:val="0"/>
              <w:autoSpaceDE w:val="0"/>
              <w:autoSpaceDN w:val="0"/>
              <w:adjustRightInd w:val="0"/>
              <w:spacing w:after="0" w:line="240" w:lineRule="auto"/>
              <w:rPr>
                <w:rFonts w:ascii="Times New Roman" w:hAnsi="Times New Roman" w:cs="Times New Roman"/>
                <w:sz w:val="20"/>
                <w:szCs w:val="20"/>
              </w:rPr>
            </w:pPr>
          </w:p>
        </w:tc>
        <w:tc>
          <w:tcPr>
            <w:tcW w:w="0" w:type="auto"/>
            <w:tcBorders>
              <w:top w:val="single" w:sz="6" w:space="0" w:color="auto"/>
              <w:left w:val="nil"/>
              <w:bottom w:val="nil"/>
              <w:right w:val="nil"/>
            </w:tcBorders>
          </w:tcPr>
          <w:p w:rsidR="00323C28"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(1)</w:t>
            </w:r>
          </w:p>
        </w:tc>
        <w:tc>
          <w:tcPr>
            <w:tcW w:w="0" w:type="auto"/>
            <w:tcBorders>
              <w:top w:val="single" w:sz="6" w:space="0" w:color="auto"/>
              <w:left w:val="nil"/>
              <w:bottom w:val="nil"/>
              <w:right w:val="nil"/>
            </w:tcBorders>
          </w:tcPr>
          <w:p w:rsidR="00323C28"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(2)</w:t>
            </w:r>
          </w:p>
        </w:tc>
      </w:tr>
      <w:tr w:rsidR="00323C28" w:rsidRPr="003C61C2" w:rsidTr="00AD3E5F">
        <w:tc>
          <w:tcPr>
            <w:tcW w:w="0" w:type="auto"/>
            <w:tcBorders>
              <w:top w:val="nil"/>
              <w:left w:val="nil"/>
              <w:bottom w:val="single" w:sz="6" w:space="0" w:color="auto"/>
              <w:right w:val="nil"/>
            </w:tcBorders>
          </w:tcPr>
          <w:p w:rsidR="00323C28" w:rsidRPr="003C61C2" w:rsidRDefault="003E4FBE" w:rsidP="00AD3E5F">
            <w:pPr>
              <w:widowControl w:val="0"/>
              <w:autoSpaceDE w:val="0"/>
              <w:autoSpaceDN w:val="0"/>
              <w:adjustRightInd w:val="0"/>
              <w:spacing w:after="0" w:line="240" w:lineRule="auto"/>
              <w:rPr>
                <w:rFonts w:ascii="Times New Roman" w:hAnsi="Times New Roman" w:cs="Times New Roman"/>
                <w:sz w:val="20"/>
                <w:szCs w:val="20"/>
              </w:rPr>
            </w:pPr>
            <w:r w:rsidRPr="003C61C2">
              <w:rPr>
                <w:rFonts w:ascii="Times New Roman" w:hAnsi="Times New Roman" w:cs="Times New Roman"/>
                <w:b/>
                <w:sz w:val="20"/>
                <w:szCs w:val="20"/>
              </w:rPr>
              <w:t>VARIABLES</w:t>
            </w:r>
          </w:p>
        </w:tc>
        <w:tc>
          <w:tcPr>
            <w:tcW w:w="0" w:type="auto"/>
            <w:tcBorders>
              <w:top w:val="nil"/>
              <w:left w:val="nil"/>
              <w:bottom w:val="single" w:sz="6" w:space="0" w:color="auto"/>
              <w:right w:val="nil"/>
            </w:tcBorders>
          </w:tcPr>
          <w:p w:rsidR="00323C28" w:rsidRPr="00940865" w:rsidRDefault="003E4FBE" w:rsidP="00AD3E5F">
            <w:pPr>
              <w:widowControl w:val="0"/>
              <w:autoSpaceDE w:val="0"/>
              <w:autoSpaceDN w:val="0"/>
              <w:adjustRightInd w:val="0"/>
              <w:spacing w:after="0" w:line="240" w:lineRule="auto"/>
              <w:jc w:val="center"/>
              <w:rPr>
                <w:rFonts w:ascii="Times New Roman" w:hAnsi="Times New Roman" w:cs="Times New Roman"/>
                <w:b/>
                <w:i/>
                <w:sz w:val="20"/>
                <w:szCs w:val="20"/>
              </w:rPr>
            </w:pPr>
            <w:r w:rsidRPr="00940865">
              <w:rPr>
                <w:rFonts w:ascii="Times New Roman" w:hAnsi="Times New Roman" w:cs="Times New Roman"/>
                <w:b/>
                <w:i/>
                <w:sz w:val="20"/>
                <w:szCs w:val="20"/>
              </w:rPr>
              <w:t>ADWCA</w:t>
            </w:r>
          </w:p>
        </w:tc>
        <w:tc>
          <w:tcPr>
            <w:tcW w:w="0" w:type="auto"/>
            <w:tcBorders>
              <w:top w:val="nil"/>
              <w:left w:val="nil"/>
              <w:bottom w:val="single" w:sz="6" w:space="0" w:color="auto"/>
              <w:right w:val="nil"/>
            </w:tcBorders>
          </w:tcPr>
          <w:p w:rsidR="00323C28" w:rsidRPr="00940865" w:rsidRDefault="003E4FBE" w:rsidP="00AD3E5F">
            <w:pPr>
              <w:widowControl w:val="0"/>
              <w:autoSpaceDE w:val="0"/>
              <w:autoSpaceDN w:val="0"/>
              <w:adjustRightInd w:val="0"/>
              <w:spacing w:after="0" w:line="240" w:lineRule="auto"/>
              <w:jc w:val="center"/>
              <w:rPr>
                <w:rFonts w:ascii="Times New Roman" w:hAnsi="Times New Roman" w:cs="Times New Roman"/>
                <w:b/>
                <w:i/>
                <w:sz w:val="20"/>
                <w:szCs w:val="20"/>
              </w:rPr>
            </w:pPr>
            <w:r w:rsidRPr="00940865">
              <w:rPr>
                <w:rFonts w:ascii="Times New Roman" w:hAnsi="Times New Roman" w:cs="Times New Roman"/>
                <w:b/>
                <w:i/>
                <w:sz w:val="20"/>
                <w:szCs w:val="20"/>
              </w:rPr>
              <w:t>ABSDR</w:t>
            </w:r>
          </w:p>
        </w:tc>
      </w:tr>
      <w:tr w:rsidR="00323C28" w:rsidRPr="003C61C2" w:rsidTr="00AD3E5F">
        <w:tc>
          <w:tcPr>
            <w:tcW w:w="0" w:type="auto"/>
            <w:tcBorders>
              <w:top w:val="nil"/>
              <w:left w:val="nil"/>
              <w:bottom w:val="nil"/>
              <w:right w:val="nil"/>
            </w:tcBorders>
          </w:tcPr>
          <w:p w:rsidR="00323C28" w:rsidRPr="003C61C2" w:rsidRDefault="00323C28" w:rsidP="00AD3E5F">
            <w:pPr>
              <w:widowControl w:val="0"/>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tcPr>
          <w:p w:rsidR="00323C28"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left w:val="nil"/>
              <w:bottom w:val="nil"/>
              <w:right w:val="nil"/>
            </w:tcBorders>
          </w:tcPr>
          <w:p w:rsidR="00323C28"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b/>
                <w:i/>
                <w:sz w:val="20"/>
                <w:szCs w:val="20"/>
              </w:rPr>
            </w:pPr>
            <w:r w:rsidRPr="003C61C2">
              <w:rPr>
                <w:rFonts w:ascii="Times New Roman" w:hAnsi="Times New Roman" w:cs="Times New Roman"/>
                <w:b/>
                <w:i/>
                <w:sz w:val="20"/>
                <w:szCs w:val="20"/>
              </w:rPr>
              <w:t>Subs</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b/>
                <w:sz w:val="20"/>
                <w:szCs w:val="20"/>
              </w:rPr>
            </w:pPr>
            <w:r w:rsidRPr="003C61C2">
              <w:rPr>
                <w:rFonts w:ascii="Times New Roman" w:hAnsi="Times New Roman" w:cs="Times New Roman"/>
                <w:b/>
                <w:sz w:val="20"/>
                <w:szCs w:val="20"/>
              </w:rPr>
              <w:t>0.004***</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b/>
                <w:sz w:val="20"/>
                <w:szCs w:val="20"/>
              </w:rPr>
            </w:pPr>
            <w:r w:rsidRPr="003C61C2">
              <w:rPr>
                <w:rFonts w:ascii="Times New Roman" w:hAnsi="Times New Roman" w:cs="Times New Roman"/>
                <w:b/>
                <w:sz w:val="20"/>
                <w:szCs w:val="20"/>
              </w:rPr>
              <w:t>0.007***</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b/>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b/>
                <w:sz w:val="20"/>
                <w:szCs w:val="20"/>
              </w:rPr>
            </w:pPr>
            <w:r w:rsidRPr="003C61C2">
              <w:rPr>
                <w:rFonts w:ascii="Times New Roman" w:hAnsi="Times New Roman" w:cs="Times New Roman"/>
                <w:b/>
                <w:sz w:val="20"/>
                <w:szCs w:val="20"/>
              </w:rPr>
              <w:t>(0.001)</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b/>
                <w:sz w:val="20"/>
                <w:szCs w:val="20"/>
              </w:rPr>
            </w:pPr>
            <w:r w:rsidRPr="003C61C2">
              <w:rPr>
                <w:rFonts w:ascii="Times New Roman" w:hAnsi="Times New Roman" w:cs="Times New Roman"/>
                <w:b/>
                <w:sz w:val="20"/>
                <w:szCs w:val="20"/>
              </w:rPr>
              <w:t>(0.002)</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roofErr w:type="spellStart"/>
            <w:r w:rsidRPr="003C61C2">
              <w:rPr>
                <w:rFonts w:ascii="Times New Roman" w:hAnsi="Times New Roman" w:cs="Times New Roman"/>
                <w:i/>
                <w:sz w:val="20"/>
                <w:szCs w:val="20"/>
              </w:rPr>
              <w:t>Capneed</w:t>
            </w:r>
            <w:proofErr w:type="spellEnd"/>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r w:rsidRPr="003C61C2">
              <w:rPr>
                <w:rFonts w:ascii="Times New Roman" w:hAnsi="Times New Roman" w:cs="Times New Roman"/>
                <w:i/>
                <w:sz w:val="20"/>
                <w:szCs w:val="20"/>
              </w:rPr>
              <w:t>Size</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-0.004***</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-0.007***</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r w:rsidRPr="003C61C2">
              <w:rPr>
                <w:rFonts w:ascii="Times New Roman" w:hAnsi="Times New Roman" w:cs="Times New Roman"/>
                <w:i/>
                <w:sz w:val="20"/>
                <w:szCs w:val="20"/>
              </w:rPr>
              <w:t>ROE</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r w:rsidRPr="003C61C2">
              <w:rPr>
                <w:rFonts w:ascii="Times New Roman" w:hAnsi="Times New Roman" w:cs="Times New Roman"/>
                <w:i/>
                <w:sz w:val="20"/>
                <w:szCs w:val="20"/>
              </w:rPr>
              <w:t>Loss</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0.001***</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-0.001***</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roofErr w:type="spellStart"/>
            <w:r w:rsidRPr="003C61C2">
              <w:rPr>
                <w:rFonts w:ascii="Times New Roman" w:hAnsi="Times New Roman" w:cs="Times New Roman"/>
                <w:i/>
                <w:sz w:val="20"/>
                <w:szCs w:val="20"/>
              </w:rPr>
              <w:t>Std_ROA</w:t>
            </w:r>
            <w:proofErr w:type="spellEnd"/>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(0.000)</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r w:rsidRPr="003C61C2">
              <w:rPr>
                <w:rFonts w:ascii="Times New Roman" w:hAnsi="Times New Roman" w:cs="Times New Roman"/>
                <w:i/>
                <w:sz w:val="20"/>
                <w:szCs w:val="20"/>
              </w:rPr>
              <w:t>Lev</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-0.019***</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-0.002</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(0.002)</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(0.003)</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r w:rsidRPr="003C61C2">
              <w:rPr>
                <w:rFonts w:ascii="Times New Roman" w:hAnsi="Times New Roman" w:cs="Times New Roman"/>
                <w:i/>
                <w:sz w:val="20"/>
                <w:szCs w:val="20"/>
              </w:rPr>
              <w:t>Growth</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0.007***</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0.016***</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(0.002)</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(0.003)</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i/>
                <w:sz w:val="20"/>
                <w:szCs w:val="20"/>
              </w:rPr>
            </w:pPr>
            <w:proofErr w:type="spellStart"/>
            <w:r w:rsidRPr="003C61C2">
              <w:rPr>
                <w:rFonts w:ascii="Times New Roman" w:hAnsi="Times New Roman" w:cs="Times New Roman"/>
                <w:i/>
                <w:sz w:val="20"/>
                <w:szCs w:val="20"/>
              </w:rPr>
              <w:t>Inv</w:t>
            </w:r>
            <w:proofErr w:type="spellEnd"/>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-0.010***</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-0.025***</w:t>
            </w:r>
          </w:p>
        </w:tc>
      </w:tr>
      <w:tr w:rsidR="00323C28" w:rsidRPr="003C61C2" w:rsidTr="00AD3E5F">
        <w:tc>
          <w:tcPr>
            <w:tcW w:w="0" w:type="auto"/>
            <w:tcBorders>
              <w:top w:val="nil"/>
              <w:left w:val="nil"/>
              <w:bottom w:val="nil"/>
              <w:right w:val="nil"/>
            </w:tcBorders>
          </w:tcPr>
          <w:p w:rsidR="00323C28" w:rsidRPr="003C61C2" w:rsidRDefault="00323C28" w:rsidP="00AD3E5F">
            <w:pPr>
              <w:widowControl w:val="0"/>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tcPr>
          <w:p w:rsidR="00323C28"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(0.002)</w:t>
            </w:r>
          </w:p>
        </w:tc>
        <w:tc>
          <w:tcPr>
            <w:tcW w:w="0" w:type="auto"/>
            <w:tcBorders>
              <w:top w:val="nil"/>
              <w:left w:val="nil"/>
              <w:bottom w:val="nil"/>
              <w:right w:val="nil"/>
            </w:tcBorders>
          </w:tcPr>
          <w:p w:rsidR="003E4FBE" w:rsidRPr="003C61C2" w:rsidRDefault="00323C28"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(0.004)</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sz w:val="20"/>
                <w:szCs w:val="20"/>
              </w:rPr>
            </w:pPr>
            <w:r w:rsidRPr="003C61C2">
              <w:rPr>
                <w:rFonts w:ascii="Times New Roman" w:hAnsi="Times New Roman" w:cs="Times New Roman"/>
                <w:sz w:val="20"/>
                <w:szCs w:val="20"/>
              </w:rPr>
              <w:t>Year FE</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3C61C2">
              <w:rPr>
                <w:rFonts w:ascii="Times New Roman" w:hAnsi="Times New Roman" w:cs="Times New Roman"/>
                <w:sz w:val="20"/>
                <w:szCs w:val="20"/>
              </w:rPr>
              <w:t>Yes</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3C61C2">
              <w:rPr>
                <w:rFonts w:ascii="Times New Roman" w:hAnsi="Times New Roman" w:cs="Times New Roman"/>
                <w:sz w:val="20"/>
                <w:szCs w:val="20"/>
              </w:rPr>
              <w:t>Yes</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rPr>
                <w:rFonts w:ascii="Times New Roman" w:hAnsi="Times New Roman" w:cs="Times New Roman"/>
                <w:sz w:val="20"/>
                <w:szCs w:val="20"/>
              </w:rPr>
            </w:pPr>
            <w:r w:rsidRPr="003C61C2">
              <w:rPr>
                <w:rFonts w:ascii="Times New Roman" w:hAnsi="Times New Roman" w:cs="Times New Roman"/>
                <w:sz w:val="20"/>
                <w:szCs w:val="20"/>
              </w:rPr>
              <w:t>Industry FE</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3C61C2">
              <w:rPr>
                <w:rFonts w:ascii="Times New Roman" w:hAnsi="Times New Roman" w:cs="Times New Roman"/>
                <w:sz w:val="20"/>
                <w:szCs w:val="20"/>
              </w:rPr>
              <w:t>Yes</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100" w:afterAutospacing="1" w:line="240" w:lineRule="auto"/>
              <w:jc w:val="center"/>
              <w:rPr>
                <w:rFonts w:ascii="Times New Roman" w:hAnsi="Times New Roman" w:cs="Times New Roman"/>
                <w:sz w:val="20"/>
                <w:szCs w:val="20"/>
              </w:rPr>
            </w:pPr>
            <w:r w:rsidRPr="003C61C2">
              <w:rPr>
                <w:rFonts w:ascii="Times New Roman" w:hAnsi="Times New Roman" w:cs="Times New Roman"/>
                <w:sz w:val="20"/>
                <w:szCs w:val="20"/>
              </w:rPr>
              <w:t>Yes</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rPr>
                <w:rFonts w:ascii="Times New Roman" w:hAnsi="Times New Roman" w:cs="Times New Roman"/>
                <w:sz w:val="20"/>
                <w:szCs w:val="20"/>
              </w:rPr>
            </w:pPr>
            <w:r w:rsidRPr="003C61C2">
              <w:rPr>
                <w:rFonts w:ascii="Times New Roman" w:hAnsi="Times New Roman" w:cs="Times New Roman"/>
                <w:sz w:val="20"/>
                <w:szCs w:val="20"/>
              </w:rPr>
              <w:t>Constant</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0.055***</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0.135***</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(0.003)</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(0.003)</w:t>
            </w:r>
          </w:p>
        </w:tc>
      </w:tr>
      <w:tr w:rsidR="003E4FBE" w:rsidRPr="003C61C2" w:rsidTr="00AD3E5F">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rPr>
                <w:rFonts w:ascii="Times New Roman" w:hAnsi="Times New Roman" w:cs="Times New Roman"/>
                <w:sz w:val="20"/>
                <w:szCs w:val="20"/>
              </w:rPr>
            </w:pPr>
            <w:r w:rsidRPr="003C61C2">
              <w:rPr>
                <w:rFonts w:ascii="Times New Roman" w:hAnsi="Times New Roman" w:cs="Times New Roman"/>
                <w:sz w:val="20"/>
                <w:szCs w:val="20"/>
              </w:rPr>
              <w:t>Observations</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48,179</w:t>
            </w:r>
          </w:p>
        </w:tc>
        <w:tc>
          <w:tcPr>
            <w:tcW w:w="0" w:type="auto"/>
            <w:tcBorders>
              <w:top w:val="nil"/>
              <w:left w:val="nil"/>
              <w:bottom w:val="nil"/>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68,419</w:t>
            </w:r>
          </w:p>
        </w:tc>
      </w:tr>
      <w:tr w:rsidR="003E4FBE" w:rsidRPr="003C61C2" w:rsidTr="00AD3E5F">
        <w:tblPrEx>
          <w:tblBorders>
            <w:bottom w:val="single" w:sz="6" w:space="0" w:color="auto"/>
          </w:tblBorders>
        </w:tblPrEx>
        <w:tc>
          <w:tcPr>
            <w:tcW w:w="0" w:type="auto"/>
            <w:tcBorders>
              <w:top w:val="nil"/>
              <w:left w:val="nil"/>
              <w:bottom w:val="single" w:sz="4" w:space="0" w:color="auto"/>
              <w:right w:val="nil"/>
            </w:tcBorders>
          </w:tcPr>
          <w:p w:rsidR="003E4FBE" w:rsidRPr="003C61C2" w:rsidRDefault="003E4FBE" w:rsidP="00AD3E5F">
            <w:pPr>
              <w:widowControl w:val="0"/>
              <w:autoSpaceDE w:val="0"/>
              <w:autoSpaceDN w:val="0"/>
              <w:adjustRightInd w:val="0"/>
              <w:spacing w:after="0" w:line="240" w:lineRule="auto"/>
              <w:rPr>
                <w:rFonts w:ascii="Times New Roman" w:hAnsi="Times New Roman" w:cs="Times New Roman"/>
                <w:sz w:val="20"/>
                <w:szCs w:val="20"/>
              </w:rPr>
            </w:pPr>
            <w:r w:rsidRPr="003C61C2">
              <w:rPr>
                <w:rFonts w:ascii="Times New Roman" w:hAnsi="Times New Roman" w:cs="Times New Roman"/>
                <w:sz w:val="20"/>
                <w:szCs w:val="20"/>
              </w:rPr>
              <w:t>R-squared</w:t>
            </w:r>
          </w:p>
        </w:tc>
        <w:tc>
          <w:tcPr>
            <w:tcW w:w="0" w:type="auto"/>
            <w:tcBorders>
              <w:top w:val="nil"/>
              <w:left w:val="nil"/>
              <w:bottom w:val="single" w:sz="4" w:space="0" w:color="auto"/>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0.110</w:t>
            </w:r>
          </w:p>
        </w:tc>
        <w:tc>
          <w:tcPr>
            <w:tcW w:w="0" w:type="auto"/>
            <w:tcBorders>
              <w:top w:val="nil"/>
              <w:left w:val="nil"/>
              <w:bottom w:val="single" w:sz="4" w:space="0" w:color="auto"/>
              <w:right w:val="nil"/>
            </w:tcBorders>
          </w:tcPr>
          <w:p w:rsidR="003E4FBE" w:rsidRPr="003C61C2" w:rsidRDefault="003E4FBE" w:rsidP="00AD3E5F">
            <w:pPr>
              <w:widowControl w:val="0"/>
              <w:autoSpaceDE w:val="0"/>
              <w:autoSpaceDN w:val="0"/>
              <w:adjustRightInd w:val="0"/>
              <w:spacing w:after="0" w:line="240" w:lineRule="auto"/>
              <w:jc w:val="center"/>
              <w:rPr>
                <w:rFonts w:ascii="Times New Roman" w:hAnsi="Times New Roman" w:cs="Times New Roman"/>
                <w:sz w:val="20"/>
                <w:szCs w:val="20"/>
              </w:rPr>
            </w:pPr>
            <w:r w:rsidRPr="003C61C2">
              <w:rPr>
                <w:rFonts w:ascii="Times New Roman" w:hAnsi="Times New Roman" w:cs="Times New Roman"/>
                <w:sz w:val="20"/>
                <w:szCs w:val="20"/>
              </w:rPr>
              <w:t>0.123</w:t>
            </w:r>
          </w:p>
        </w:tc>
      </w:tr>
      <w:tr w:rsidR="003E4FBE" w:rsidRPr="003C61C2" w:rsidTr="00AD3E5F">
        <w:tblPrEx>
          <w:tblBorders>
            <w:bottom w:val="single" w:sz="6" w:space="0" w:color="auto"/>
          </w:tblBorders>
        </w:tblPrEx>
        <w:tc>
          <w:tcPr>
            <w:tcW w:w="0" w:type="auto"/>
            <w:gridSpan w:val="3"/>
            <w:tcBorders>
              <w:top w:val="single" w:sz="4" w:space="0" w:color="auto"/>
              <w:left w:val="nil"/>
              <w:bottom w:val="nil"/>
            </w:tcBorders>
          </w:tcPr>
          <w:p w:rsidR="003E4FBE" w:rsidRPr="003C61C2" w:rsidRDefault="003E4FBE" w:rsidP="00695EAE">
            <w:pPr>
              <w:widowControl w:val="0"/>
              <w:autoSpaceDE w:val="0"/>
              <w:autoSpaceDN w:val="0"/>
              <w:adjustRightInd w:val="0"/>
              <w:spacing w:after="0" w:line="240" w:lineRule="auto"/>
              <w:jc w:val="both"/>
              <w:rPr>
                <w:rFonts w:ascii="Times New Roman" w:hAnsi="Times New Roman" w:cs="Times New Roman"/>
                <w:sz w:val="20"/>
                <w:szCs w:val="20"/>
              </w:rPr>
            </w:pPr>
            <w:r w:rsidRPr="003C61C2">
              <w:rPr>
                <w:rFonts w:ascii="Times New Roman" w:hAnsi="Times New Roman" w:cs="Times New Roman"/>
                <w:sz w:val="20"/>
                <w:szCs w:val="20"/>
              </w:rPr>
              <w:t xml:space="preserve">ADWCA denotes absolute </w:t>
            </w:r>
            <w:r w:rsidR="00323C28" w:rsidRPr="003C61C2">
              <w:rPr>
                <w:rFonts w:ascii="Times New Roman" w:hAnsi="Times New Roman" w:cs="Times New Roman"/>
                <w:sz w:val="20"/>
                <w:szCs w:val="20"/>
              </w:rPr>
              <w:t>discretionary</w:t>
            </w:r>
            <w:r w:rsidRPr="003C61C2">
              <w:rPr>
                <w:rFonts w:ascii="Times New Roman" w:hAnsi="Times New Roman" w:cs="Times New Roman"/>
                <w:sz w:val="20"/>
                <w:szCs w:val="20"/>
              </w:rPr>
              <w:t xml:space="preserve"> working capital accruals; ABSDR denotes absolute value of </w:t>
            </w:r>
            <w:r w:rsidR="00323C28" w:rsidRPr="003C61C2">
              <w:rPr>
                <w:rFonts w:ascii="Times New Roman" w:hAnsi="Times New Roman" w:cs="Times New Roman"/>
                <w:sz w:val="20"/>
                <w:szCs w:val="20"/>
              </w:rPr>
              <w:t>discretionary</w:t>
            </w:r>
            <w:r w:rsidRPr="003C61C2">
              <w:rPr>
                <w:rFonts w:ascii="Times New Roman" w:hAnsi="Times New Roman" w:cs="Times New Roman"/>
                <w:sz w:val="20"/>
                <w:szCs w:val="20"/>
              </w:rPr>
              <w:t xml:space="preserve"> revenues</w:t>
            </w:r>
            <w:r w:rsidR="00AD3E5F">
              <w:rPr>
                <w:rFonts w:ascii="Times New Roman" w:hAnsi="Times New Roman" w:cs="Times New Roman"/>
                <w:sz w:val="20"/>
                <w:szCs w:val="20"/>
              </w:rPr>
              <w:t xml:space="preserve"> (explained in detail in the next page)</w:t>
            </w:r>
            <w:r w:rsidRPr="003C61C2">
              <w:rPr>
                <w:rFonts w:ascii="Times New Roman" w:hAnsi="Times New Roman" w:cs="Times New Roman"/>
                <w:sz w:val="20"/>
                <w:szCs w:val="20"/>
              </w:rPr>
              <w:t>. Subs is an indicator variable for private subsidiary firms. Please see Appendix A</w:t>
            </w:r>
            <w:r w:rsidR="00323C28" w:rsidRPr="003C61C2">
              <w:rPr>
                <w:rFonts w:ascii="Times New Roman" w:hAnsi="Times New Roman" w:cs="Times New Roman"/>
                <w:sz w:val="20"/>
                <w:szCs w:val="20"/>
              </w:rPr>
              <w:t xml:space="preserve"> in the manuscript</w:t>
            </w:r>
            <w:r w:rsidRPr="003C61C2">
              <w:rPr>
                <w:rFonts w:ascii="Times New Roman" w:hAnsi="Times New Roman" w:cs="Times New Roman"/>
                <w:sz w:val="20"/>
                <w:szCs w:val="20"/>
              </w:rPr>
              <w:t xml:space="preserve"> for detailed variable definitions. All continuous variables are winsorized at the 1</w:t>
            </w:r>
            <w:r w:rsidRPr="003C61C2">
              <w:rPr>
                <w:rFonts w:ascii="Times New Roman" w:hAnsi="Times New Roman" w:cs="Times New Roman"/>
                <w:sz w:val="20"/>
                <w:szCs w:val="20"/>
                <w:vertAlign w:val="superscript"/>
              </w:rPr>
              <w:t>st</w:t>
            </w:r>
            <w:r w:rsidRPr="003C61C2">
              <w:rPr>
                <w:rFonts w:ascii="Times New Roman" w:hAnsi="Times New Roman" w:cs="Times New Roman"/>
                <w:sz w:val="20"/>
                <w:szCs w:val="20"/>
              </w:rPr>
              <w:t xml:space="preserve"> and 99</w:t>
            </w:r>
            <w:r w:rsidRPr="003C61C2">
              <w:rPr>
                <w:rFonts w:ascii="Times New Roman" w:hAnsi="Times New Roman" w:cs="Times New Roman"/>
                <w:sz w:val="20"/>
                <w:szCs w:val="20"/>
                <w:vertAlign w:val="superscript"/>
              </w:rPr>
              <w:t>th</w:t>
            </w:r>
            <w:r w:rsidRPr="003C61C2">
              <w:rPr>
                <w:rFonts w:ascii="Times New Roman" w:hAnsi="Times New Roman" w:cs="Times New Roman"/>
                <w:sz w:val="20"/>
                <w:szCs w:val="20"/>
              </w:rPr>
              <w:t xml:space="preserve"> percentiles. The symbol ***, ** and * denote significance at 1, 5 and 10 percent levels, respectively. Robust standard errors (clustered at the firm level) are reported in the parentheses. </w:t>
            </w:r>
            <w:bookmarkStart w:id="0" w:name="_GoBack"/>
            <w:bookmarkEnd w:id="0"/>
          </w:p>
        </w:tc>
      </w:tr>
    </w:tbl>
    <w:p w:rsidR="00AD3E5F" w:rsidRPr="003C61C2" w:rsidRDefault="003C61C2" w:rsidP="003E4FBE">
      <w:pPr>
        <w:widowControl w:val="0"/>
        <w:autoSpaceDE w:val="0"/>
        <w:autoSpaceDN w:val="0"/>
        <w:adjustRightInd w:val="0"/>
        <w:spacing w:after="0" w:line="240" w:lineRule="auto"/>
        <w:jc w:val="both"/>
        <w:rPr>
          <w:rFonts w:ascii="Times New Roman" w:hAnsi="Times New Roman" w:cs="Times New Roman"/>
          <w:b/>
          <w:sz w:val="24"/>
          <w:szCs w:val="20"/>
        </w:rPr>
      </w:pPr>
      <w:r w:rsidRPr="003C61C2">
        <w:rPr>
          <w:rFonts w:ascii="Times New Roman" w:hAnsi="Times New Roman" w:cs="Times New Roman"/>
          <w:b/>
          <w:sz w:val="24"/>
          <w:szCs w:val="20"/>
        </w:rPr>
        <w:t>Supplementary information</w:t>
      </w:r>
      <w:r w:rsidR="00AD3E5F">
        <w:rPr>
          <w:rFonts w:ascii="Times New Roman" w:hAnsi="Times New Roman" w:cs="Times New Roman"/>
          <w:b/>
          <w:sz w:val="24"/>
          <w:szCs w:val="20"/>
        </w:rPr>
        <w:t>:</w:t>
      </w:r>
      <w:r w:rsidR="00695EAE">
        <w:rPr>
          <w:rFonts w:ascii="Times New Roman" w:hAnsi="Times New Roman" w:cs="Times New Roman"/>
          <w:b/>
          <w:sz w:val="24"/>
          <w:szCs w:val="20"/>
        </w:rPr>
        <w:t xml:space="preserve"> </w:t>
      </w:r>
      <w:r w:rsidR="00695EAE" w:rsidRPr="00695EAE">
        <w:rPr>
          <w:rFonts w:ascii="Times New Roman" w:hAnsi="Times New Roman" w:cs="Times New Roman"/>
          <w:b/>
          <w:sz w:val="24"/>
          <w:szCs w:val="20"/>
        </w:rPr>
        <w:t>Behind closed doors: Unveiling earnings management in private subsidiaries of public firms</w:t>
      </w:r>
    </w:p>
    <w:p w:rsid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0"/>
          <w:szCs w:val="20"/>
        </w:rPr>
      </w:pPr>
    </w:p>
    <w:p w:rsidR="003C61C2" w:rsidRPr="003C61C2" w:rsidRDefault="003C61C2" w:rsidP="003C61C2">
      <w:pPr>
        <w:pStyle w:val="Heading3"/>
        <w:spacing w:line="480" w:lineRule="auto"/>
        <w:rPr>
          <w:rFonts w:ascii="Times New Roman" w:eastAsia="Times New Roman" w:hAnsi="Times New Roman" w:cs="Times New Roman"/>
          <w:b/>
          <w:color w:val="auto"/>
        </w:rPr>
      </w:pPr>
      <w:r w:rsidRPr="003C61C2">
        <w:rPr>
          <w:rFonts w:ascii="Times New Roman" w:eastAsia="Times New Roman" w:hAnsi="Times New Roman" w:cs="Times New Roman"/>
          <w:b/>
          <w:color w:val="auto"/>
        </w:rPr>
        <w:lastRenderedPageBreak/>
        <w:t xml:space="preserve">Modified </w:t>
      </w:r>
      <w:r w:rsidRPr="003C61C2">
        <w:rPr>
          <w:rStyle w:val="fontstyle01"/>
          <w:rFonts w:ascii="Times New Roman" w:hAnsi="Times New Roman" w:cs="Times New Roman"/>
          <w:b/>
          <w:color w:val="auto"/>
        </w:rPr>
        <w:t>cross</w:t>
      </w:r>
      <w:r w:rsidRPr="003C61C2">
        <w:rPr>
          <w:rFonts w:ascii="Times New Roman" w:eastAsia="Times New Roman" w:hAnsi="Times New Roman" w:cs="Times New Roman"/>
          <w:b/>
          <w:color w:val="auto"/>
        </w:rPr>
        <w:t xml:space="preserve">-sectional </w:t>
      </w:r>
      <w:proofErr w:type="spellStart"/>
      <w:r w:rsidRPr="003C61C2">
        <w:rPr>
          <w:rFonts w:ascii="Times New Roman" w:eastAsia="Times New Roman" w:hAnsi="Times New Roman" w:cs="Times New Roman"/>
          <w:b/>
          <w:color w:val="auto"/>
        </w:rPr>
        <w:t>Dechow-Dichev</w:t>
      </w:r>
      <w:proofErr w:type="spellEnd"/>
      <w:r w:rsidRPr="003C61C2">
        <w:rPr>
          <w:rFonts w:ascii="Times New Roman" w:eastAsia="Times New Roman" w:hAnsi="Times New Roman" w:cs="Times New Roman"/>
          <w:b/>
          <w:color w:val="auto"/>
        </w:rPr>
        <w:t xml:space="preserve"> Model</w:t>
      </w:r>
    </w:p>
    <w:p w:rsidR="00323C28" w:rsidRPr="003C61C2" w:rsidRDefault="003C61C2" w:rsidP="003C61C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3C61C2">
        <w:rPr>
          <w:rFonts w:ascii="Times New Roman" w:hAnsi="Times New Roman" w:cs="Times New Roman"/>
          <w:sz w:val="24"/>
          <w:szCs w:val="24"/>
        </w:rPr>
        <w:t xml:space="preserve">ADWCA is based on modified cross-sectional </w:t>
      </w:r>
      <w:proofErr w:type="spellStart"/>
      <w:r w:rsidRPr="003C61C2">
        <w:rPr>
          <w:rFonts w:ascii="Times New Roman" w:hAnsi="Times New Roman" w:cs="Times New Roman"/>
          <w:sz w:val="24"/>
          <w:szCs w:val="24"/>
        </w:rPr>
        <w:t>Dechow-Dichev</w:t>
      </w:r>
      <w:proofErr w:type="spellEnd"/>
      <w:r w:rsidRPr="003C61C2">
        <w:rPr>
          <w:rFonts w:ascii="Times New Roman" w:hAnsi="Times New Roman" w:cs="Times New Roman"/>
          <w:sz w:val="24"/>
          <w:szCs w:val="24"/>
        </w:rPr>
        <w:t xml:space="preserve"> Model (See </w:t>
      </w:r>
      <w:proofErr w:type="spellStart"/>
      <w:r w:rsidRPr="003C61C2">
        <w:rPr>
          <w:rFonts w:ascii="Times New Roman" w:hAnsi="Times New Roman" w:cs="Times New Roman"/>
          <w:sz w:val="24"/>
          <w:szCs w:val="24"/>
        </w:rPr>
        <w:t>Dechow</w:t>
      </w:r>
      <w:proofErr w:type="spellEnd"/>
      <w:r w:rsidRPr="003C61C2">
        <w:rPr>
          <w:rFonts w:ascii="Times New Roman" w:hAnsi="Times New Roman" w:cs="Times New Roman"/>
          <w:sz w:val="24"/>
          <w:szCs w:val="24"/>
        </w:rPr>
        <w:t xml:space="preserve"> &amp; </w:t>
      </w:r>
      <w:proofErr w:type="spellStart"/>
      <w:r w:rsidRPr="003C61C2">
        <w:rPr>
          <w:rFonts w:ascii="Times New Roman" w:hAnsi="Times New Roman" w:cs="Times New Roman"/>
          <w:sz w:val="24"/>
          <w:szCs w:val="24"/>
        </w:rPr>
        <w:t>Dichev</w:t>
      </w:r>
      <w:proofErr w:type="spellEnd"/>
      <w:r w:rsidRPr="003C61C2">
        <w:rPr>
          <w:rFonts w:ascii="Times New Roman" w:hAnsi="Times New Roman" w:cs="Times New Roman"/>
          <w:sz w:val="24"/>
          <w:szCs w:val="24"/>
        </w:rPr>
        <w:t xml:space="preserve"> (2002)</w:t>
      </w:r>
      <w:r w:rsidRPr="003C61C2">
        <w:rPr>
          <w:rFonts w:ascii="Times New Roman" w:eastAsia="Times New Roman" w:hAnsi="Times New Roman" w:cs="Times New Roman"/>
          <w:sz w:val="24"/>
          <w:szCs w:val="24"/>
        </w:rPr>
        <w:t xml:space="preserve">; </w:t>
      </w:r>
      <w:r w:rsidRPr="003C61C2">
        <w:rPr>
          <w:rFonts w:ascii="Times New Roman" w:hAnsi="Times New Roman" w:cs="Times New Roman"/>
          <w:sz w:val="24"/>
          <w:szCs w:val="24"/>
        </w:rPr>
        <w:t>Francis et al., (2005) and McNichols (2002)</w:t>
      </w:r>
      <w:r w:rsidRPr="003C61C2">
        <w:rPr>
          <w:rFonts w:ascii="Times New Roman" w:eastAsia="Times New Roman" w:hAnsi="Times New Roman" w:cs="Times New Roman"/>
          <w:sz w:val="24"/>
          <w:szCs w:val="24"/>
        </w:rPr>
        <w:t xml:space="preserve">. We also control for negative cash flows in this particular model </w:t>
      </w:r>
      <w:r w:rsidR="00AD3E5F" w:rsidRPr="00AD3E5F">
        <w:rPr>
          <w:rFonts w:ascii="Times New Roman" w:hAnsi="Times New Roman" w:cs="Times New Roman"/>
          <w:sz w:val="24"/>
          <w:szCs w:val="24"/>
        </w:rPr>
        <w:t xml:space="preserve">(Ball and </w:t>
      </w:r>
      <w:proofErr w:type="spellStart"/>
      <w:r w:rsidR="00AD3E5F" w:rsidRPr="00AD3E5F">
        <w:rPr>
          <w:rFonts w:ascii="Times New Roman" w:hAnsi="Times New Roman" w:cs="Times New Roman"/>
          <w:sz w:val="24"/>
          <w:szCs w:val="24"/>
        </w:rPr>
        <w:t>Shivakumar</w:t>
      </w:r>
      <w:proofErr w:type="spellEnd"/>
      <w:r w:rsidR="00AD3E5F" w:rsidRPr="00AD3E5F">
        <w:rPr>
          <w:rFonts w:ascii="Times New Roman" w:hAnsi="Times New Roman" w:cs="Times New Roman"/>
          <w:sz w:val="24"/>
          <w:szCs w:val="24"/>
        </w:rPr>
        <w:t xml:space="preserve">, 2006; </w:t>
      </w:r>
      <w:proofErr w:type="spellStart"/>
      <w:r w:rsidR="00AD3E5F" w:rsidRPr="00AD3E5F">
        <w:rPr>
          <w:rFonts w:ascii="Times New Roman" w:hAnsi="Times New Roman" w:cs="Times New Roman"/>
          <w:sz w:val="24"/>
          <w:szCs w:val="24"/>
        </w:rPr>
        <w:t>Givoly</w:t>
      </w:r>
      <w:proofErr w:type="spellEnd"/>
      <w:r w:rsidR="00AD3E5F" w:rsidRPr="00AD3E5F">
        <w:rPr>
          <w:rFonts w:ascii="Times New Roman" w:hAnsi="Times New Roman" w:cs="Times New Roman"/>
          <w:sz w:val="24"/>
          <w:szCs w:val="24"/>
        </w:rPr>
        <w:t xml:space="preserve"> </w:t>
      </w:r>
      <w:r w:rsidR="00AD3E5F" w:rsidRPr="00AD3E5F">
        <w:rPr>
          <w:rFonts w:ascii="Times New Roman" w:hAnsi="Times New Roman" w:cs="Times New Roman"/>
          <w:i/>
          <w:iCs/>
          <w:sz w:val="24"/>
          <w:szCs w:val="24"/>
        </w:rPr>
        <w:t>et al.</w:t>
      </w:r>
      <w:r w:rsidR="00AD3E5F" w:rsidRPr="00AD3E5F">
        <w:rPr>
          <w:rFonts w:ascii="Times New Roman" w:hAnsi="Times New Roman" w:cs="Times New Roman"/>
          <w:sz w:val="24"/>
          <w:szCs w:val="24"/>
        </w:rPr>
        <w:t>, 2010)</w:t>
      </w:r>
      <w:r w:rsidRPr="003C61C2">
        <w:rPr>
          <w:rFonts w:ascii="Times New Roman" w:eastAsia="Times New Roman" w:hAnsi="Times New Roman" w:cs="Times New Roman"/>
          <w:sz w:val="24"/>
          <w:szCs w:val="24"/>
        </w:rPr>
        <w:t>. We estimate the following equation across all industry-year combinations with at least 10 observations.</w:t>
      </w:r>
    </w:p>
    <w:p w:rsidR="003C61C2" w:rsidRPr="003C61C2" w:rsidRDefault="003C61C2" w:rsidP="003C61C2">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C61C2" w:rsidRPr="003C61C2" w:rsidRDefault="0028248E" w:rsidP="003C61C2">
      <w:pPr>
        <w:tabs>
          <w:tab w:val="left" w:pos="2309"/>
        </w:tabs>
        <w:spacing w:line="360" w:lineRule="auto"/>
        <w:rPr>
          <w:rStyle w:val="fontstyle01"/>
          <w:rFonts w:ascii="Times New Roman" w:eastAsia="Times New Roman" w:hAnsi="Times New Roman" w:cs="Times New Roman"/>
        </w:rPr>
      </w:pPr>
      <m:oMath>
        <m:f>
          <m:fPr>
            <m:ctrlPr>
              <w:rPr>
                <w:rFonts w:ascii="Cambria Math" w:eastAsia="Times New Roman" w:hAnsi="Cambria Math" w:cs="Times New Roman"/>
                <w:i/>
              </w:rPr>
            </m:ctrlPr>
          </m:fPr>
          <m:num>
            <m:eqArr>
              <m:eqArrPr>
                <m:ctrlPr>
                  <w:rPr>
                    <w:rFonts w:ascii="Cambria Math" w:eastAsia="Times New Roman" w:hAnsi="Cambria Math" w:cs="Times New Roman"/>
                    <w:i/>
                  </w:rPr>
                </m:ctrlPr>
              </m:eqArrPr>
              <m:e>
                <m:sSub>
                  <m:sSubPr>
                    <m:ctrlPr>
                      <w:rPr>
                        <w:rFonts w:ascii="Cambria Math" w:eastAsia="Times New Roman" w:hAnsi="Cambria Math" w:cs="Times New Roman"/>
                        <w:i/>
                      </w:rPr>
                    </m:ctrlPr>
                  </m:sSubPr>
                  <m:e>
                    <m:r>
                      <w:rPr>
                        <w:rFonts w:ascii="Cambria Math" w:eastAsia="Times New Roman" w:hAnsi="Cambria Math" w:cs="Times New Roman"/>
                      </w:rPr>
                      <m:t>WCA</m:t>
                    </m:r>
                  </m:e>
                  <m:sub>
                    <m:r>
                      <w:rPr>
                        <w:rFonts w:ascii="Cambria Math" w:eastAsia="Times New Roman" w:hAnsi="Cambria Math" w:cs="Times New Roman"/>
                      </w:rPr>
                      <m:t>i,t</m:t>
                    </m:r>
                  </m:sub>
                </m:sSub>
              </m:e>
            </m:eqArr>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=a+</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1</m:t>
            </m:r>
          </m:sub>
        </m:sSub>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OCF</m:t>
                </m:r>
              </m:e>
              <m:sub>
                <m:r>
                  <w:rPr>
                    <w:rFonts w:ascii="Cambria Math" w:eastAsia="Times New Roman" w:hAnsi="Cambria Math" w:cs="Times New Roman"/>
                  </w:rPr>
                  <m:t>i,t-1</m:t>
                </m:r>
              </m:sub>
            </m:sSub>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2</m:t>
            </m:r>
          </m:sub>
        </m:sSub>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OCF</m:t>
                </m:r>
              </m:e>
              <m:sub>
                <m:r>
                  <w:rPr>
                    <w:rFonts w:ascii="Cambria Math" w:eastAsia="Times New Roman" w:hAnsi="Cambria Math" w:cs="Times New Roman"/>
                  </w:rPr>
                  <m:t>i,t</m:t>
                </m:r>
              </m:sub>
            </m:sSub>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3</m:t>
            </m:r>
          </m:sub>
        </m:sSub>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OCF</m:t>
                </m:r>
              </m:e>
              <m:sub>
                <m:r>
                  <w:rPr>
                    <w:rFonts w:ascii="Cambria Math" w:eastAsia="Times New Roman" w:hAnsi="Cambria Math" w:cs="Times New Roman"/>
                  </w:rPr>
                  <m:t>i,t+1</m:t>
                </m:r>
              </m:sub>
            </m:sSub>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4</m:t>
            </m:r>
          </m:sub>
        </m:sSub>
        <m:f>
          <m:fPr>
            <m:ctrlPr>
              <w:rPr>
                <w:rFonts w:ascii="Cambria Math" w:eastAsia="Times New Roman" w:hAnsi="Cambria Math" w:cs="Times New Roman"/>
                <w:i/>
              </w:rPr>
            </m:ctrlPr>
          </m:fPr>
          <m:num>
            <w:bookmarkStart w:id="1" w:name="_Hlk10061940"/>
            <m:sSub>
              <m:sSubPr>
                <m:ctrlPr>
                  <w:rPr>
                    <w:rFonts w:ascii="Cambria Math" w:eastAsia="Times New Roman" w:hAnsi="Cambria Math" w:cs="Times New Roman"/>
                    <w:i/>
                  </w:rPr>
                </m:ctrlPr>
              </m:sSubPr>
              <m:e>
                <m:r>
                  <w:rPr>
                    <w:rFonts w:ascii="Cambria Math" w:eastAsia="Times New Roman" w:hAnsi="Cambria Math" w:cs="Times New Roman"/>
                  </w:rPr>
                  <m:t>∆Rev</m:t>
                </m:r>
              </m:e>
              <m:sub>
                <m:r>
                  <w:rPr>
                    <w:rFonts w:ascii="Cambria Math" w:eastAsia="Times New Roman" w:hAnsi="Cambria Math" w:cs="Times New Roman"/>
                  </w:rPr>
                  <m:t>i,t</m:t>
                </m:r>
              </m:sub>
            </m:sSub>
            <w:bookmarkEnd w:id="1"/>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5</m:t>
            </m:r>
          </m:sub>
        </m:sSub>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PPE</m:t>
                </m:r>
              </m:e>
              <m:sub>
                <m:r>
                  <w:rPr>
                    <w:rFonts w:ascii="Cambria Math" w:eastAsia="Times New Roman" w:hAnsi="Cambria Math" w:cs="Times New Roman"/>
                  </w:rPr>
                  <m:t>i,t</m:t>
                </m:r>
              </m:sub>
            </m:sSub>
          </m:num>
          <m:den>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t-1</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6</m:t>
            </m:r>
          </m:sub>
        </m:sSub>
        <m:sSub>
          <m:sSubPr>
            <m:ctrlPr>
              <w:rPr>
                <w:rFonts w:ascii="Cambria Math" w:eastAsia="Times New Roman" w:hAnsi="Cambria Math" w:cs="Times New Roman"/>
                <w:i/>
              </w:rPr>
            </m:ctrlPr>
          </m:sSubPr>
          <m:e>
            <m:r>
              <w:rPr>
                <w:rFonts w:ascii="Cambria Math" w:eastAsia="Times New Roman" w:hAnsi="Cambria Math" w:cs="Times New Roman"/>
              </w:rPr>
              <m:t>DOCF</m:t>
            </m:r>
          </m:e>
          <m:sub>
            <m:r>
              <w:rPr>
                <w:rFonts w:ascii="Cambria Math" w:eastAsia="Times New Roman" w:hAnsi="Cambria Math" w:cs="Times New Roman"/>
              </w:rPr>
              <m:t>i,t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b</m:t>
            </m:r>
          </m:e>
          <m:sub>
            <m:r>
              <w:rPr>
                <w:rFonts w:ascii="Cambria Math" w:eastAsia="Times New Roman" w:hAnsi="Cambria Math" w:cs="Times New Roman"/>
              </w:rPr>
              <m:t>7</m:t>
            </m:r>
          </m:sub>
        </m:sSub>
        <m:sSub>
          <m:sSubPr>
            <m:ctrlPr>
              <w:rPr>
                <w:rFonts w:ascii="Cambria Math" w:eastAsia="Times New Roman" w:hAnsi="Cambria Math" w:cs="Times New Roman"/>
                <w:i/>
              </w:rPr>
            </m:ctrlPr>
          </m:sSubPr>
          <m:e>
            <m:r>
              <w:rPr>
                <w:rFonts w:ascii="Cambria Math" w:eastAsia="Times New Roman" w:hAnsi="Cambria Math" w:cs="Times New Roman"/>
              </w:rPr>
              <m:t>OCF</m:t>
            </m:r>
          </m:e>
          <m:sub>
            <m:r>
              <w:rPr>
                <w:rFonts w:ascii="Cambria Math" w:eastAsia="Times New Roman" w:hAnsi="Cambria Math" w:cs="Times New Roman"/>
              </w:rPr>
              <m:t>i,t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DOCF</m:t>
            </m:r>
          </m:e>
          <m:sub>
            <m:r>
              <w:rPr>
                <w:rFonts w:ascii="Cambria Math" w:eastAsia="Times New Roman" w:hAnsi="Cambria Math" w:cs="Times New Roman"/>
              </w:rPr>
              <m:t>i,t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i,t</m:t>
            </m:r>
          </m:sub>
        </m:sSub>
      </m:oMath>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r>
      <w:r w:rsidR="003C61C2" w:rsidRPr="003C61C2">
        <w:rPr>
          <w:rFonts w:ascii="Times New Roman" w:eastAsia="Times New Roman" w:hAnsi="Times New Roman" w:cs="Times New Roman"/>
        </w:rPr>
        <w:tab/>
        <w:t>(A1)</w:t>
      </w:r>
    </w:p>
    <w:p w:rsidR="003C61C2" w:rsidRPr="003C61C2" w:rsidRDefault="003C61C2" w:rsidP="003C61C2">
      <w:pPr>
        <w:tabs>
          <w:tab w:val="left" w:pos="2309"/>
        </w:tabs>
        <w:spacing w:line="360" w:lineRule="auto"/>
        <w:rPr>
          <w:rStyle w:val="fontstyle01"/>
          <w:rFonts w:ascii="Times New Roman" w:eastAsia="Times New Roman" w:hAnsi="Times New Roman" w:cs="Times New Roman"/>
        </w:rPr>
      </w:pPr>
      <w:r w:rsidRPr="003C61C2">
        <w:rPr>
          <w:rStyle w:val="fontstyle01"/>
          <w:rFonts w:ascii="Times New Roman" w:eastAsia="Times New Roman" w:hAnsi="Times New Roman" w:cs="Times New Roman"/>
        </w:rPr>
        <w:t>where:</w:t>
      </w:r>
    </w:p>
    <w:p w:rsidR="003C61C2" w:rsidRPr="003C61C2" w:rsidRDefault="003C61C2" w:rsidP="003C61C2">
      <w:pPr>
        <w:spacing w:before="120" w:after="120" w:line="276" w:lineRule="auto"/>
        <w:ind w:left="720"/>
        <w:jc w:val="both"/>
        <w:rPr>
          <w:rFonts w:ascii="Times New Roman" w:eastAsia="Times New Roman" w:hAnsi="Times New Roman" w:cs="Times New Roman"/>
          <w:sz w:val="24"/>
          <w:szCs w:val="24"/>
        </w:rPr>
      </w:pPr>
      <w:r w:rsidRPr="003C61C2">
        <w:rPr>
          <w:rFonts w:ascii="Times New Roman" w:eastAsia="Times New Roman" w:hAnsi="Times New Roman" w:cs="Times New Roman"/>
          <w:i/>
          <w:sz w:val="24"/>
          <w:szCs w:val="24"/>
        </w:rPr>
        <w:t>WCA</w:t>
      </w:r>
      <w:r w:rsidRPr="003C61C2">
        <w:rPr>
          <w:rFonts w:ascii="Times New Roman" w:eastAsia="Times New Roman" w:hAnsi="Times New Roman" w:cs="Times New Roman"/>
          <w:sz w:val="24"/>
          <w:szCs w:val="24"/>
        </w:rPr>
        <w:t>=Working capital accruals measured as (</w:t>
      </w:r>
      <w:proofErr w:type="spellStart"/>
      <w:r w:rsidRPr="003C61C2">
        <w:rPr>
          <w:rFonts w:ascii="Times New Roman" w:eastAsia="Times New Roman" w:hAnsi="Times New Roman" w:cs="Times New Roman"/>
          <w:sz w:val="24"/>
          <w:szCs w:val="24"/>
        </w:rPr>
        <w:t>ΔNon</w:t>
      </w:r>
      <w:proofErr w:type="spellEnd"/>
      <w:r w:rsidRPr="003C61C2">
        <w:rPr>
          <w:rFonts w:ascii="Times New Roman" w:eastAsia="Times New Roman" w:hAnsi="Times New Roman" w:cs="Times New Roman"/>
          <w:sz w:val="24"/>
          <w:szCs w:val="24"/>
        </w:rPr>
        <w:t xml:space="preserve">-cash current assets- </w:t>
      </w:r>
      <w:proofErr w:type="spellStart"/>
      <w:r w:rsidRPr="003C61C2">
        <w:rPr>
          <w:rFonts w:ascii="Times New Roman" w:eastAsia="Times New Roman" w:hAnsi="Times New Roman" w:cs="Times New Roman"/>
          <w:sz w:val="24"/>
          <w:szCs w:val="24"/>
        </w:rPr>
        <w:t>ΔCurrent</w:t>
      </w:r>
      <w:proofErr w:type="spellEnd"/>
      <w:r w:rsidRPr="003C61C2">
        <w:rPr>
          <w:rFonts w:ascii="Times New Roman" w:eastAsia="Times New Roman" w:hAnsi="Times New Roman" w:cs="Times New Roman"/>
          <w:sz w:val="24"/>
          <w:szCs w:val="24"/>
        </w:rPr>
        <w:t xml:space="preserve"> liabilities)- for firm </w:t>
      </w:r>
      <w:proofErr w:type="spellStart"/>
      <w:r w:rsidRPr="003C61C2">
        <w:rPr>
          <w:rFonts w:ascii="Times New Roman" w:eastAsia="Times New Roman" w:hAnsi="Times New Roman" w:cs="Times New Roman"/>
          <w:i/>
          <w:sz w:val="24"/>
          <w:szCs w:val="24"/>
        </w:rPr>
        <w:t>i</w:t>
      </w:r>
      <w:proofErr w:type="spellEnd"/>
      <w:r w:rsidRPr="003C61C2">
        <w:rPr>
          <w:rFonts w:ascii="Times New Roman" w:eastAsia="Times New Roman" w:hAnsi="Times New Roman" w:cs="Times New Roman"/>
          <w:i/>
          <w:sz w:val="24"/>
          <w:szCs w:val="24"/>
        </w:rPr>
        <w:t xml:space="preserve"> </w:t>
      </w:r>
      <w:r w:rsidRPr="003C61C2">
        <w:rPr>
          <w:rFonts w:ascii="Times New Roman" w:eastAsia="Times New Roman" w:hAnsi="Times New Roman" w:cs="Times New Roman"/>
          <w:sz w:val="24"/>
          <w:szCs w:val="24"/>
        </w:rPr>
        <w:t xml:space="preserve">in year </w:t>
      </w:r>
      <w:r w:rsidRPr="003C61C2">
        <w:rPr>
          <w:rFonts w:ascii="Times New Roman" w:eastAsia="Times New Roman" w:hAnsi="Times New Roman" w:cs="Times New Roman"/>
          <w:i/>
          <w:sz w:val="24"/>
          <w:szCs w:val="24"/>
        </w:rPr>
        <w:t>t</w:t>
      </w:r>
      <w:r w:rsidRPr="003C61C2">
        <w:rPr>
          <w:rFonts w:ascii="Times New Roman" w:eastAsia="Times New Roman" w:hAnsi="Times New Roman" w:cs="Times New Roman"/>
          <w:sz w:val="24"/>
          <w:szCs w:val="24"/>
        </w:rPr>
        <w:t>, scaled by lagged total assets;</w:t>
      </w:r>
    </w:p>
    <w:p w:rsidR="003C61C2" w:rsidRPr="003C61C2" w:rsidRDefault="003C61C2" w:rsidP="003C61C2">
      <w:pPr>
        <w:spacing w:before="120" w:after="120" w:line="276" w:lineRule="auto"/>
        <w:ind w:left="720"/>
        <w:jc w:val="both"/>
        <w:rPr>
          <w:rFonts w:ascii="Times New Roman" w:eastAsia="Times New Roman" w:hAnsi="Times New Roman" w:cs="Times New Roman"/>
          <w:i/>
          <w:sz w:val="24"/>
          <w:szCs w:val="24"/>
        </w:rPr>
      </w:pPr>
      <w:r w:rsidRPr="003C61C2">
        <w:rPr>
          <w:rFonts w:ascii="Times New Roman" w:eastAsia="Times New Roman" w:hAnsi="Times New Roman" w:cs="Times New Roman"/>
          <w:i/>
          <w:sz w:val="24"/>
          <w:szCs w:val="24"/>
        </w:rPr>
        <w:t>OCF=</w:t>
      </w:r>
      <w:r w:rsidRPr="003C61C2">
        <w:rPr>
          <w:rFonts w:ascii="Times New Roman" w:eastAsia="Times New Roman" w:hAnsi="Times New Roman" w:cs="Times New Roman"/>
          <w:sz w:val="24"/>
          <w:szCs w:val="24"/>
        </w:rPr>
        <w:t xml:space="preserve"> cash flow from operations, calculated as the sum of net income and depreciation minus </w:t>
      </w:r>
      <w:r w:rsidRPr="003C61C2">
        <w:rPr>
          <w:rFonts w:ascii="Times New Roman" w:eastAsia="Times New Roman" w:hAnsi="Times New Roman" w:cs="Times New Roman"/>
          <w:i/>
          <w:sz w:val="24"/>
          <w:szCs w:val="24"/>
        </w:rPr>
        <w:t>WCA</w:t>
      </w:r>
      <w:r w:rsidRPr="003C61C2">
        <w:rPr>
          <w:rFonts w:ascii="Times New Roman" w:eastAsia="Times New Roman" w:hAnsi="Times New Roman" w:cs="Times New Roman"/>
          <w:sz w:val="24"/>
          <w:szCs w:val="24"/>
        </w:rPr>
        <w:t>, scaled by lagged total assets;</w:t>
      </w:r>
    </w:p>
    <w:p w:rsidR="003C61C2" w:rsidRPr="003C61C2" w:rsidRDefault="003C61C2" w:rsidP="003C61C2">
      <w:pPr>
        <w:spacing w:before="120" w:after="120" w:line="276" w:lineRule="auto"/>
        <w:ind w:left="720"/>
        <w:jc w:val="both"/>
        <w:rPr>
          <w:rFonts w:ascii="Times New Roman" w:eastAsia="Times New Roman" w:hAnsi="Times New Roman" w:cs="Times New Roman"/>
          <w:sz w:val="24"/>
          <w:szCs w:val="24"/>
        </w:rPr>
      </w:pPr>
      <w:r w:rsidRPr="003C61C2">
        <w:rPr>
          <w:rFonts w:ascii="Times New Roman" w:eastAsia="Times New Roman" w:hAnsi="Times New Roman" w:cs="Times New Roman"/>
          <w:i/>
          <w:sz w:val="24"/>
          <w:szCs w:val="24"/>
        </w:rPr>
        <w:t>∆Rev</w:t>
      </w:r>
      <w:r w:rsidRPr="003C61C2">
        <w:rPr>
          <w:rFonts w:ascii="Times New Roman" w:eastAsia="Times New Roman" w:hAnsi="Times New Roman" w:cs="Times New Roman"/>
          <w:sz w:val="24"/>
          <w:szCs w:val="24"/>
        </w:rPr>
        <w:t>= Change in sales revenue scaled by lagged total assets;</w:t>
      </w:r>
    </w:p>
    <w:p w:rsidR="003C61C2" w:rsidRPr="003C61C2" w:rsidRDefault="003C61C2" w:rsidP="003C61C2">
      <w:pPr>
        <w:spacing w:before="120" w:after="120" w:line="276" w:lineRule="auto"/>
        <w:ind w:left="720"/>
        <w:jc w:val="both"/>
        <w:rPr>
          <w:rFonts w:ascii="Times New Roman" w:eastAsia="Times New Roman" w:hAnsi="Times New Roman" w:cs="Times New Roman"/>
          <w:sz w:val="24"/>
          <w:szCs w:val="24"/>
        </w:rPr>
      </w:pPr>
      <w:r w:rsidRPr="003C61C2">
        <w:rPr>
          <w:rFonts w:ascii="Times New Roman" w:eastAsia="Times New Roman" w:hAnsi="Times New Roman" w:cs="Times New Roman"/>
          <w:i/>
          <w:sz w:val="24"/>
          <w:szCs w:val="24"/>
        </w:rPr>
        <w:t xml:space="preserve">PPE= </w:t>
      </w:r>
      <w:r w:rsidRPr="003C61C2">
        <w:rPr>
          <w:rFonts w:ascii="Times New Roman" w:eastAsia="Times New Roman" w:hAnsi="Times New Roman" w:cs="Times New Roman"/>
          <w:sz w:val="24"/>
          <w:szCs w:val="24"/>
        </w:rPr>
        <w:t>Plant, property and equipment, scaled by lagged total assets</w:t>
      </w:r>
    </w:p>
    <w:p w:rsidR="003C61C2" w:rsidRPr="003C61C2" w:rsidRDefault="003C61C2" w:rsidP="003C61C2">
      <w:pPr>
        <w:spacing w:before="120" w:after="120" w:line="276" w:lineRule="auto"/>
        <w:ind w:left="720"/>
        <w:jc w:val="both"/>
        <w:rPr>
          <w:rFonts w:ascii="Times New Roman" w:eastAsia="Times New Roman" w:hAnsi="Times New Roman" w:cs="Times New Roman"/>
          <w:sz w:val="24"/>
          <w:szCs w:val="24"/>
        </w:rPr>
      </w:pPr>
      <w:r w:rsidRPr="003C61C2">
        <w:rPr>
          <w:rFonts w:ascii="Times New Roman" w:eastAsia="Times New Roman" w:hAnsi="Times New Roman" w:cs="Times New Roman"/>
          <w:i/>
          <w:sz w:val="24"/>
          <w:szCs w:val="24"/>
        </w:rPr>
        <w:t xml:space="preserve">DOCF= </w:t>
      </w:r>
      <w:r w:rsidRPr="003C61C2">
        <w:rPr>
          <w:rFonts w:ascii="Times New Roman" w:eastAsia="Times New Roman" w:hAnsi="Times New Roman" w:cs="Times New Roman"/>
          <w:sz w:val="24"/>
          <w:szCs w:val="24"/>
        </w:rPr>
        <w:t>dummy variable for negative cash flows</w:t>
      </w:r>
    </w:p>
    <w:p w:rsidR="003C61C2" w:rsidRPr="003C61C2" w:rsidRDefault="003C61C2" w:rsidP="00AD3E5F">
      <w:pPr>
        <w:spacing w:before="120" w:after="120" w:line="360" w:lineRule="auto"/>
        <w:jc w:val="both"/>
        <w:rPr>
          <w:rFonts w:ascii="Times New Roman" w:eastAsia="Times New Roman" w:hAnsi="Times New Roman" w:cs="Times New Roman"/>
          <w:sz w:val="24"/>
          <w:szCs w:val="24"/>
        </w:rPr>
      </w:pPr>
      <w:r w:rsidRPr="003C61C2">
        <w:rPr>
          <w:rFonts w:ascii="Times New Roman" w:eastAsia="Times New Roman" w:hAnsi="Times New Roman" w:cs="Times New Roman"/>
          <w:sz w:val="24"/>
          <w:szCs w:val="24"/>
        </w:rPr>
        <w:t>The error term in equation (A1) is used as the proxy for accruals and earnings quality since it captures the extent to which accruals map into cash flow realization and that cannot be explained by change in sales revenue and level of plant, property and equipment. We use the absolute value of the residual in equation (</w:t>
      </w:r>
      <w:r>
        <w:rPr>
          <w:rFonts w:ascii="Times New Roman" w:eastAsia="Times New Roman" w:hAnsi="Times New Roman" w:cs="Times New Roman"/>
          <w:sz w:val="24"/>
          <w:szCs w:val="24"/>
        </w:rPr>
        <w:t>A1</w:t>
      </w:r>
      <w:r w:rsidRPr="003C61C2">
        <w:rPr>
          <w:rFonts w:ascii="Times New Roman" w:eastAsia="Times New Roman" w:hAnsi="Times New Roman" w:cs="Times New Roman"/>
          <w:sz w:val="24"/>
          <w:szCs w:val="24"/>
        </w:rPr>
        <w:t xml:space="preserve">) a proxy for earnings quality (ADWCA). </w:t>
      </w:r>
      <w:r w:rsidR="00AD3E5F">
        <w:rPr>
          <w:rFonts w:ascii="Times New Roman" w:eastAsia="Times New Roman" w:hAnsi="Times New Roman" w:cs="Times New Roman"/>
          <w:sz w:val="24"/>
          <w:szCs w:val="24"/>
        </w:rPr>
        <w:t xml:space="preserve">Higher value of </w:t>
      </w:r>
      <w:r w:rsidR="00AD3E5F" w:rsidRPr="003C61C2">
        <w:rPr>
          <w:rFonts w:ascii="Times New Roman" w:eastAsia="Times New Roman" w:hAnsi="Times New Roman" w:cs="Times New Roman"/>
          <w:sz w:val="24"/>
          <w:szCs w:val="24"/>
        </w:rPr>
        <w:t>ADWCA</w:t>
      </w:r>
      <w:r w:rsidR="00AD3E5F">
        <w:rPr>
          <w:rFonts w:ascii="Times New Roman" w:eastAsia="Times New Roman" w:hAnsi="Times New Roman" w:cs="Times New Roman"/>
          <w:sz w:val="24"/>
          <w:szCs w:val="24"/>
        </w:rPr>
        <w:t xml:space="preserve"> means lesser earnings quality.</w:t>
      </w:r>
    </w:p>
    <w:p w:rsidR="003C61C2" w:rsidRPr="003C61C2" w:rsidRDefault="003C61C2" w:rsidP="003C61C2">
      <w:pPr>
        <w:pStyle w:val="Heading3"/>
        <w:spacing w:line="480" w:lineRule="auto"/>
        <w:rPr>
          <w:rFonts w:ascii="Times New Roman" w:eastAsia="Times New Roman" w:hAnsi="Times New Roman" w:cs="Times New Roman"/>
          <w:b/>
          <w:color w:val="auto"/>
        </w:rPr>
      </w:pPr>
      <w:r w:rsidRPr="003C61C2">
        <w:rPr>
          <w:rFonts w:ascii="Times New Roman" w:eastAsia="Times New Roman" w:hAnsi="Times New Roman" w:cs="Times New Roman"/>
          <w:b/>
          <w:color w:val="auto"/>
        </w:rPr>
        <w:t>Discretionary Revenue Model</w:t>
      </w:r>
    </w:p>
    <w:p w:rsidR="003C61C2" w:rsidRPr="003C61C2" w:rsidRDefault="003C61C2" w:rsidP="003C61C2">
      <w:pPr>
        <w:spacing w:before="120" w:after="120" w:line="480" w:lineRule="auto"/>
        <w:jc w:val="both"/>
        <w:rPr>
          <w:rFonts w:ascii="Times New Roman" w:eastAsia="Times New Roman" w:hAnsi="Times New Roman" w:cs="Times New Roman"/>
          <w:sz w:val="24"/>
          <w:szCs w:val="24"/>
        </w:rPr>
      </w:pPr>
      <w:r w:rsidRPr="003C61C2">
        <w:rPr>
          <w:rFonts w:ascii="Times New Roman" w:eastAsia="Times New Roman" w:hAnsi="Times New Roman" w:cs="Times New Roman"/>
          <w:sz w:val="24"/>
          <w:szCs w:val="24"/>
        </w:rPr>
        <w:tab/>
        <w:t xml:space="preserve">Our next proxy for earnings quality is discretionary revenue model based on </w:t>
      </w:r>
      <w:r w:rsidRPr="003C61C2">
        <w:rPr>
          <w:rFonts w:ascii="Times New Roman" w:hAnsi="Times New Roman" w:cs="Times New Roman"/>
          <w:sz w:val="24"/>
          <w:szCs w:val="24"/>
        </w:rPr>
        <w:t xml:space="preserve">McNichols &amp; </w:t>
      </w:r>
      <w:proofErr w:type="spellStart"/>
      <w:r w:rsidRPr="003C61C2">
        <w:rPr>
          <w:rFonts w:ascii="Times New Roman" w:hAnsi="Times New Roman" w:cs="Times New Roman"/>
          <w:sz w:val="24"/>
          <w:szCs w:val="24"/>
        </w:rPr>
        <w:t>Stubben</w:t>
      </w:r>
      <w:proofErr w:type="spellEnd"/>
      <w:r w:rsidRPr="003C61C2">
        <w:rPr>
          <w:rFonts w:ascii="Times New Roman" w:hAnsi="Times New Roman" w:cs="Times New Roman"/>
          <w:sz w:val="24"/>
          <w:szCs w:val="24"/>
        </w:rPr>
        <w:t xml:space="preserve"> (2008) and </w:t>
      </w:r>
      <w:proofErr w:type="spellStart"/>
      <w:r w:rsidRPr="003C61C2">
        <w:rPr>
          <w:rFonts w:ascii="Times New Roman" w:hAnsi="Times New Roman" w:cs="Times New Roman"/>
          <w:sz w:val="24"/>
          <w:szCs w:val="24"/>
        </w:rPr>
        <w:t>Stubben</w:t>
      </w:r>
      <w:proofErr w:type="spellEnd"/>
      <w:r w:rsidRPr="003C61C2">
        <w:rPr>
          <w:rFonts w:ascii="Times New Roman" w:hAnsi="Times New Roman" w:cs="Times New Roman"/>
          <w:sz w:val="24"/>
          <w:szCs w:val="24"/>
        </w:rPr>
        <w:t xml:space="preserve"> (2010)</w:t>
      </w:r>
      <w:r w:rsidRPr="003C61C2">
        <w:rPr>
          <w:rFonts w:ascii="Times New Roman" w:eastAsia="Times New Roman" w:hAnsi="Times New Roman" w:cs="Times New Roman"/>
          <w:sz w:val="24"/>
          <w:szCs w:val="24"/>
        </w:rPr>
        <w:t>. We run the following equation for each industry-year with minimum 10 observations:</w:t>
      </w:r>
    </w:p>
    <w:p w:rsidR="003C61C2" w:rsidRPr="003C61C2" w:rsidRDefault="0028248E" w:rsidP="00AD3E5F">
      <w:pPr>
        <w:tabs>
          <w:tab w:val="left" w:pos="2309"/>
        </w:tabs>
        <w:spacing w:line="276" w:lineRule="auto"/>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eqArr>
              <m:eqArrPr>
                <m:ctrlPr>
                  <w:rPr>
                    <w:rFonts w:ascii="Cambria Math" w:eastAsia="Times New Roman" w:hAnsi="Cambria Math" w:cs="Times New Roman"/>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∆AR</m:t>
                    </m:r>
                  </m:e>
                  <m:sub>
                    <m:r>
                      <w:rPr>
                        <w:rFonts w:ascii="Cambria Math" w:eastAsia="Times New Roman" w:hAnsi="Cambria Math" w:cs="Times New Roman"/>
                        <w:sz w:val="24"/>
                        <w:szCs w:val="24"/>
                      </w:rPr>
                      <m:t>i,t</m:t>
                    </m:r>
                  </m:sub>
                </m:sSub>
              </m:e>
            </m:eqAr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t-1</m:t>
                </m:r>
              </m:sub>
            </m:sSub>
          </m:den>
        </m:f>
        <m:r>
          <w:rPr>
            <w:rFonts w:ascii="Cambria Math" w:eastAsia="Times New Roman" w:hAnsi="Cambria Math" w:cs="Times New Roman"/>
            <w:sz w:val="24"/>
            <w:szCs w:val="24"/>
          </w:rPr>
          <m: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Revi,</m:t>
                </m:r>
              </m:e>
              <m:sub>
                <m:r>
                  <w:rPr>
                    <w:rFonts w:ascii="Cambria Math" w:eastAsia="Times New Roman" w:hAnsi="Cambria Math" w:cs="Times New Roman"/>
                    <w:sz w:val="24"/>
                    <w:szCs w:val="24"/>
                  </w:rPr>
                  <m:t xml:space="preserve">t </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t-1</m:t>
                </m:r>
              </m:sub>
            </m:sSub>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i,t</m:t>
            </m:r>
          </m:sub>
        </m:sSub>
      </m:oMath>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r>
      <w:r w:rsidR="003C61C2" w:rsidRPr="003C61C2">
        <w:rPr>
          <w:rFonts w:ascii="Times New Roman" w:eastAsia="Times New Roman" w:hAnsi="Times New Roman" w:cs="Times New Roman"/>
          <w:sz w:val="24"/>
          <w:szCs w:val="24"/>
        </w:rPr>
        <w:tab/>
        <w:t>(</w:t>
      </w:r>
      <w:r w:rsidR="003C61C2">
        <w:rPr>
          <w:rFonts w:ascii="Times New Roman" w:eastAsia="Times New Roman" w:hAnsi="Times New Roman" w:cs="Times New Roman"/>
          <w:sz w:val="24"/>
          <w:szCs w:val="24"/>
        </w:rPr>
        <w:t>A2</w:t>
      </w:r>
      <w:r w:rsidR="003C61C2" w:rsidRPr="003C61C2">
        <w:rPr>
          <w:rFonts w:ascii="Times New Roman" w:eastAsia="Times New Roman" w:hAnsi="Times New Roman" w:cs="Times New Roman"/>
          <w:sz w:val="24"/>
          <w:szCs w:val="24"/>
        </w:rPr>
        <w:t>)</w:t>
      </w:r>
    </w:p>
    <w:p w:rsidR="003C61C2" w:rsidRPr="003C61C2" w:rsidRDefault="003C61C2" w:rsidP="00AD3E5F">
      <w:pPr>
        <w:tabs>
          <w:tab w:val="left" w:pos="2309"/>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3C61C2">
        <w:rPr>
          <w:rFonts w:ascii="Times New Roman" w:eastAsia="Times New Roman" w:hAnsi="Times New Roman" w:cs="Times New Roman"/>
          <w:sz w:val="24"/>
          <w:szCs w:val="24"/>
        </w:rPr>
        <w:t>here:</w:t>
      </w:r>
    </w:p>
    <w:p w:rsidR="003C61C2" w:rsidRPr="003C61C2" w:rsidRDefault="003C61C2" w:rsidP="00AD3E5F">
      <w:pPr>
        <w:spacing w:before="120" w:after="120" w:line="276" w:lineRule="auto"/>
        <w:ind w:left="720"/>
        <w:jc w:val="both"/>
        <w:rPr>
          <w:rFonts w:ascii="Times New Roman" w:eastAsia="Times New Roman" w:hAnsi="Times New Roman" w:cs="Times New Roman"/>
          <w:sz w:val="24"/>
          <w:szCs w:val="24"/>
        </w:rPr>
      </w:pPr>
      <w:r w:rsidRPr="003C61C2">
        <w:rPr>
          <w:rFonts w:ascii="Times New Roman" w:eastAsia="Times New Roman" w:hAnsi="Times New Roman" w:cs="Times New Roman"/>
          <w:i/>
          <w:sz w:val="24"/>
          <w:szCs w:val="24"/>
        </w:rPr>
        <w:t>ΔAR</w:t>
      </w:r>
      <w:r w:rsidRPr="003C61C2">
        <w:rPr>
          <w:rFonts w:ascii="Times New Roman" w:eastAsia="Times New Roman" w:hAnsi="Times New Roman" w:cs="Times New Roman"/>
          <w:sz w:val="24"/>
          <w:szCs w:val="24"/>
        </w:rPr>
        <w:t xml:space="preserve">=Annual change in accounts receivable for firm </w:t>
      </w:r>
      <w:proofErr w:type="spellStart"/>
      <w:r w:rsidRPr="003C61C2">
        <w:rPr>
          <w:rFonts w:ascii="Times New Roman" w:eastAsia="Times New Roman" w:hAnsi="Times New Roman" w:cs="Times New Roman"/>
          <w:i/>
          <w:sz w:val="24"/>
          <w:szCs w:val="24"/>
        </w:rPr>
        <w:t>i</w:t>
      </w:r>
      <w:proofErr w:type="spellEnd"/>
      <w:r w:rsidRPr="003C61C2">
        <w:rPr>
          <w:rFonts w:ascii="Times New Roman" w:eastAsia="Times New Roman" w:hAnsi="Times New Roman" w:cs="Times New Roman"/>
          <w:i/>
          <w:sz w:val="24"/>
          <w:szCs w:val="24"/>
        </w:rPr>
        <w:t xml:space="preserve"> </w:t>
      </w:r>
      <w:r w:rsidRPr="003C61C2">
        <w:rPr>
          <w:rFonts w:ascii="Times New Roman" w:eastAsia="Times New Roman" w:hAnsi="Times New Roman" w:cs="Times New Roman"/>
          <w:sz w:val="24"/>
          <w:szCs w:val="24"/>
        </w:rPr>
        <w:t xml:space="preserve">in year </w:t>
      </w:r>
      <w:r w:rsidRPr="003C61C2">
        <w:rPr>
          <w:rFonts w:ascii="Times New Roman" w:eastAsia="Times New Roman" w:hAnsi="Times New Roman" w:cs="Times New Roman"/>
          <w:i/>
          <w:sz w:val="24"/>
          <w:szCs w:val="24"/>
        </w:rPr>
        <w:t>t</w:t>
      </w:r>
      <w:r w:rsidRPr="003C61C2">
        <w:rPr>
          <w:rFonts w:ascii="Times New Roman" w:eastAsia="Times New Roman" w:hAnsi="Times New Roman" w:cs="Times New Roman"/>
          <w:sz w:val="24"/>
          <w:szCs w:val="24"/>
        </w:rPr>
        <w:t>, scaled by lagged total assets;</w:t>
      </w:r>
    </w:p>
    <w:p w:rsidR="003C61C2" w:rsidRPr="003C61C2" w:rsidRDefault="003C61C2" w:rsidP="00AD3E5F">
      <w:pPr>
        <w:spacing w:before="120" w:after="120" w:line="276" w:lineRule="auto"/>
        <w:ind w:left="720"/>
        <w:jc w:val="both"/>
        <w:rPr>
          <w:rFonts w:ascii="Times New Roman" w:eastAsia="Times New Roman" w:hAnsi="Times New Roman" w:cs="Times New Roman"/>
          <w:i/>
          <w:sz w:val="24"/>
          <w:szCs w:val="24"/>
        </w:rPr>
      </w:pPr>
      <w:proofErr w:type="spellStart"/>
      <w:r w:rsidRPr="003C61C2">
        <w:rPr>
          <w:rFonts w:ascii="Times New Roman" w:eastAsia="Times New Roman" w:hAnsi="Times New Roman" w:cs="Times New Roman"/>
          <w:i/>
          <w:sz w:val="24"/>
          <w:szCs w:val="24"/>
        </w:rPr>
        <w:t>ΔRev</w:t>
      </w:r>
      <w:proofErr w:type="spellEnd"/>
      <w:r w:rsidRPr="003C61C2">
        <w:rPr>
          <w:rFonts w:ascii="Times New Roman" w:eastAsia="Times New Roman" w:hAnsi="Times New Roman" w:cs="Times New Roman"/>
          <w:i/>
          <w:sz w:val="24"/>
          <w:szCs w:val="24"/>
        </w:rPr>
        <w:t xml:space="preserve"> = </w:t>
      </w:r>
      <w:r w:rsidRPr="003C61C2">
        <w:rPr>
          <w:rFonts w:ascii="Times New Roman" w:eastAsia="Times New Roman" w:hAnsi="Times New Roman" w:cs="Times New Roman"/>
          <w:sz w:val="24"/>
          <w:szCs w:val="24"/>
        </w:rPr>
        <w:t>Annual change in sales revenue, scaled by lagged total assets;</w:t>
      </w:r>
    </w:p>
    <w:p w:rsidR="00AD3E5F" w:rsidRDefault="003C61C2" w:rsidP="00AD3E5F">
      <w:pPr>
        <w:spacing w:before="120" w:after="120" w:line="360" w:lineRule="auto"/>
        <w:jc w:val="both"/>
        <w:rPr>
          <w:rFonts w:ascii="Times New Roman" w:eastAsia="Times New Roman" w:hAnsi="Times New Roman" w:cs="Times New Roman"/>
          <w:sz w:val="24"/>
          <w:szCs w:val="24"/>
        </w:rPr>
      </w:pPr>
      <w:r w:rsidRPr="003C61C2">
        <w:rPr>
          <w:rFonts w:ascii="Times New Roman" w:eastAsia="Times New Roman" w:hAnsi="Times New Roman" w:cs="Times New Roman"/>
          <w:sz w:val="24"/>
          <w:szCs w:val="24"/>
        </w:rPr>
        <w:t>Our measure of earnings quality is the residual from equation (</w:t>
      </w:r>
      <w:r w:rsidR="00AD3E5F">
        <w:rPr>
          <w:rFonts w:ascii="Times New Roman" w:eastAsia="Times New Roman" w:hAnsi="Times New Roman" w:cs="Times New Roman"/>
          <w:sz w:val="24"/>
          <w:szCs w:val="24"/>
        </w:rPr>
        <w:t>A2</w:t>
      </w:r>
      <w:r w:rsidRPr="003C61C2">
        <w:rPr>
          <w:rFonts w:ascii="Times New Roman" w:eastAsia="Times New Roman" w:hAnsi="Times New Roman" w:cs="Times New Roman"/>
          <w:sz w:val="24"/>
          <w:szCs w:val="24"/>
        </w:rPr>
        <w:t>). We use the absolute value of the residual in equation (</w:t>
      </w:r>
      <w:r w:rsidR="00AD3E5F">
        <w:rPr>
          <w:rFonts w:ascii="Times New Roman" w:eastAsia="Times New Roman" w:hAnsi="Times New Roman" w:cs="Times New Roman"/>
          <w:sz w:val="24"/>
          <w:szCs w:val="24"/>
        </w:rPr>
        <w:t>A2</w:t>
      </w:r>
      <w:r w:rsidRPr="003C61C2">
        <w:rPr>
          <w:rFonts w:ascii="Times New Roman" w:eastAsia="Times New Roman" w:hAnsi="Times New Roman" w:cs="Times New Roman"/>
          <w:sz w:val="24"/>
          <w:szCs w:val="24"/>
        </w:rPr>
        <w:t>) a proxy for earnings quality</w:t>
      </w:r>
      <w:r>
        <w:rPr>
          <w:rFonts w:ascii="Times New Roman" w:eastAsia="Times New Roman" w:hAnsi="Times New Roman" w:cs="Times New Roman"/>
          <w:sz w:val="24"/>
          <w:szCs w:val="24"/>
        </w:rPr>
        <w:t xml:space="preserve"> (ABSDR</w:t>
      </w:r>
      <w:r w:rsidR="00AD3E5F">
        <w:rPr>
          <w:rFonts w:ascii="Times New Roman" w:eastAsia="Times New Roman" w:hAnsi="Times New Roman" w:cs="Times New Roman"/>
          <w:sz w:val="24"/>
          <w:szCs w:val="24"/>
        </w:rPr>
        <w:t>). Higher value of ABSDR indicates lesser earnings quality. Since all the four measures of earnings quality are highly correlated, we reported only two measures in the manuscript. Inferences remain the same if we use the methods explained here.</w:t>
      </w:r>
    </w:p>
    <w:p w:rsidR="003C61C2" w:rsidRDefault="003C61C2" w:rsidP="003E4FB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D3E5F" w:rsidRPr="00AD3E5F" w:rsidRDefault="00AD3E5F" w:rsidP="003E4FB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D3E5F">
        <w:rPr>
          <w:rFonts w:ascii="Times New Roman" w:eastAsia="Times New Roman" w:hAnsi="Times New Roman" w:cs="Times New Roman"/>
          <w:b/>
          <w:sz w:val="24"/>
          <w:szCs w:val="24"/>
        </w:rPr>
        <w:t>References</w:t>
      </w:r>
    </w:p>
    <w:p w:rsidR="00AD3E5F" w:rsidRDefault="00AD3E5F" w:rsidP="003E4FB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D3E5F" w:rsidRPr="00AD3E5F" w:rsidRDefault="00AD3E5F" w:rsidP="00AD3E5F">
      <w:pPr>
        <w:pStyle w:val="Bibliography"/>
        <w:spacing w:line="360" w:lineRule="auto"/>
        <w:rPr>
          <w:rFonts w:ascii="Times New Roman" w:hAnsi="Times New Roman" w:cs="Times New Roman"/>
          <w:sz w:val="24"/>
        </w:rPr>
      </w:pPr>
      <w:r w:rsidRPr="00AD3E5F">
        <w:rPr>
          <w:rFonts w:ascii="Times New Roman" w:hAnsi="Times New Roman" w:cs="Times New Roman"/>
          <w:sz w:val="24"/>
        </w:rPr>
        <w:t xml:space="preserve">Ball, R. and </w:t>
      </w:r>
      <w:proofErr w:type="spellStart"/>
      <w:r w:rsidRPr="00AD3E5F">
        <w:rPr>
          <w:rFonts w:ascii="Times New Roman" w:hAnsi="Times New Roman" w:cs="Times New Roman"/>
          <w:sz w:val="24"/>
        </w:rPr>
        <w:t>Shivakumar</w:t>
      </w:r>
      <w:proofErr w:type="spellEnd"/>
      <w:r w:rsidRPr="00AD3E5F">
        <w:rPr>
          <w:rFonts w:ascii="Times New Roman" w:hAnsi="Times New Roman" w:cs="Times New Roman"/>
          <w:sz w:val="24"/>
        </w:rPr>
        <w:t xml:space="preserve">, L. (2006), “The role of accruals in asymmetrically timely gain and loss recognition”, </w:t>
      </w:r>
      <w:r w:rsidRPr="00AD3E5F">
        <w:rPr>
          <w:rFonts w:ascii="Times New Roman" w:hAnsi="Times New Roman" w:cs="Times New Roman"/>
          <w:i/>
          <w:iCs/>
          <w:sz w:val="24"/>
        </w:rPr>
        <w:t>Journal of Accounting Research</w:t>
      </w:r>
      <w:r w:rsidRPr="00AD3E5F">
        <w:rPr>
          <w:rFonts w:ascii="Times New Roman" w:hAnsi="Times New Roman" w:cs="Times New Roman"/>
          <w:sz w:val="24"/>
        </w:rPr>
        <w:t>, Vol. 44 No. 2, pp. 207–242.</w:t>
      </w:r>
    </w:p>
    <w:p w:rsidR="00AD3E5F" w:rsidRPr="00AD3E5F" w:rsidRDefault="00AD3E5F" w:rsidP="00AD3E5F">
      <w:pPr>
        <w:pStyle w:val="Bibliography"/>
        <w:spacing w:line="360" w:lineRule="auto"/>
        <w:rPr>
          <w:rFonts w:ascii="Times New Roman" w:hAnsi="Times New Roman" w:cs="Times New Roman"/>
          <w:sz w:val="24"/>
        </w:rPr>
      </w:pPr>
      <w:proofErr w:type="spellStart"/>
      <w:r w:rsidRPr="00AD3E5F">
        <w:rPr>
          <w:rFonts w:ascii="Times New Roman" w:hAnsi="Times New Roman" w:cs="Times New Roman"/>
          <w:sz w:val="24"/>
        </w:rPr>
        <w:t>Dechow</w:t>
      </w:r>
      <w:proofErr w:type="spellEnd"/>
      <w:r w:rsidRPr="00AD3E5F">
        <w:rPr>
          <w:rFonts w:ascii="Times New Roman" w:hAnsi="Times New Roman" w:cs="Times New Roman"/>
          <w:sz w:val="24"/>
        </w:rPr>
        <w:t xml:space="preserve">, P.M. and </w:t>
      </w:r>
      <w:proofErr w:type="spellStart"/>
      <w:r w:rsidRPr="00AD3E5F">
        <w:rPr>
          <w:rFonts w:ascii="Times New Roman" w:hAnsi="Times New Roman" w:cs="Times New Roman"/>
          <w:sz w:val="24"/>
        </w:rPr>
        <w:t>Dichev</w:t>
      </w:r>
      <w:proofErr w:type="spellEnd"/>
      <w:r w:rsidRPr="00AD3E5F">
        <w:rPr>
          <w:rFonts w:ascii="Times New Roman" w:hAnsi="Times New Roman" w:cs="Times New Roman"/>
          <w:sz w:val="24"/>
        </w:rPr>
        <w:t xml:space="preserve">, I.D. (2002), “The Quality of Accruals and Earnings: The Role of Accrual Estimation Errors”, </w:t>
      </w:r>
      <w:r w:rsidRPr="00AD3E5F">
        <w:rPr>
          <w:rFonts w:ascii="Times New Roman" w:hAnsi="Times New Roman" w:cs="Times New Roman"/>
          <w:i/>
          <w:iCs/>
          <w:sz w:val="24"/>
        </w:rPr>
        <w:t>The Accounting Review</w:t>
      </w:r>
      <w:r w:rsidRPr="00AD3E5F">
        <w:rPr>
          <w:rFonts w:ascii="Times New Roman" w:hAnsi="Times New Roman" w:cs="Times New Roman"/>
          <w:sz w:val="24"/>
        </w:rPr>
        <w:t>, Vol. 77, pp. 35–59.</w:t>
      </w:r>
    </w:p>
    <w:p w:rsidR="00AD3E5F" w:rsidRPr="00AD3E5F" w:rsidRDefault="00AD3E5F" w:rsidP="00AD3E5F">
      <w:pPr>
        <w:pStyle w:val="Bibliography"/>
        <w:spacing w:line="360" w:lineRule="auto"/>
        <w:rPr>
          <w:rFonts w:ascii="Times New Roman" w:hAnsi="Times New Roman" w:cs="Times New Roman"/>
          <w:sz w:val="24"/>
        </w:rPr>
      </w:pPr>
      <w:r w:rsidRPr="00AD3E5F">
        <w:rPr>
          <w:rFonts w:ascii="Times New Roman" w:hAnsi="Times New Roman" w:cs="Times New Roman"/>
          <w:sz w:val="24"/>
        </w:rPr>
        <w:t xml:space="preserve">Francis, J., </w:t>
      </w:r>
      <w:proofErr w:type="spellStart"/>
      <w:r w:rsidRPr="00AD3E5F">
        <w:rPr>
          <w:rFonts w:ascii="Times New Roman" w:hAnsi="Times New Roman" w:cs="Times New Roman"/>
          <w:sz w:val="24"/>
        </w:rPr>
        <w:t>LaFond</w:t>
      </w:r>
      <w:proofErr w:type="spellEnd"/>
      <w:r w:rsidRPr="00AD3E5F">
        <w:rPr>
          <w:rFonts w:ascii="Times New Roman" w:hAnsi="Times New Roman" w:cs="Times New Roman"/>
          <w:sz w:val="24"/>
        </w:rPr>
        <w:t xml:space="preserve">, R., Olsson, P. and Schipper, K. (2005), “The market pricing of accruals quality”, </w:t>
      </w:r>
      <w:r w:rsidRPr="00AD3E5F">
        <w:rPr>
          <w:rFonts w:ascii="Times New Roman" w:hAnsi="Times New Roman" w:cs="Times New Roman"/>
          <w:i/>
          <w:iCs/>
          <w:sz w:val="24"/>
        </w:rPr>
        <w:t xml:space="preserve">Journal </w:t>
      </w:r>
      <w:r>
        <w:rPr>
          <w:rFonts w:ascii="Times New Roman" w:hAnsi="Times New Roman" w:cs="Times New Roman"/>
          <w:i/>
          <w:iCs/>
          <w:sz w:val="24"/>
        </w:rPr>
        <w:t>o</w:t>
      </w:r>
      <w:r w:rsidRPr="00AD3E5F">
        <w:rPr>
          <w:rFonts w:ascii="Times New Roman" w:hAnsi="Times New Roman" w:cs="Times New Roman"/>
          <w:i/>
          <w:iCs/>
          <w:sz w:val="24"/>
        </w:rPr>
        <w:t xml:space="preserve">f Accounting </w:t>
      </w:r>
      <w:r>
        <w:rPr>
          <w:rFonts w:ascii="Times New Roman" w:hAnsi="Times New Roman" w:cs="Times New Roman"/>
          <w:i/>
          <w:iCs/>
          <w:sz w:val="24"/>
        </w:rPr>
        <w:t>a</w:t>
      </w:r>
      <w:r w:rsidRPr="00AD3E5F">
        <w:rPr>
          <w:rFonts w:ascii="Times New Roman" w:hAnsi="Times New Roman" w:cs="Times New Roman"/>
          <w:i/>
          <w:iCs/>
          <w:sz w:val="24"/>
        </w:rPr>
        <w:t>nd Economics</w:t>
      </w:r>
      <w:r w:rsidRPr="00AD3E5F">
        <w:rPr>
          <w:rFonts w:ascii="Times New Roman" w:hAnsi="Times New Roman" w:cs="Times New Roman"/>
          <w:sz w:val="24"/>
        </w:rPr>
        <w:t>, No. 2, p. 295.</w:t>
      </w:r>
    </w:p>
    <w:p w:rsidR="00AD3E5F" w:rsidRPr="00AD3E5F" w:rsidRDefault="00AD3E5F" w:rsidP="00AD3E5F">
      <w:pPr>
        <w:pStyle w:val="Bibliography"/>
        <w:spacing w:line="360" w:lineRule="auto"/>
        <w:rPr>
          <w:rFonts w:ascii="Times New Roman" w:hAnsi="Times New Roman" w:cs="Times New Roman"/>
          <w:sz w:val="24"/>
        </w:rPr>
      </w:pPr>
      <w:proofErr w:type="spellStart"/>
      <w:r w:rsidRPr="00AD3E5F">
        <w:rPr>
          <w:rFonts w:ascii="Times New Roman" w:hAnsi="Times New Roman" w:cs="Times New Roman"/>
          <w:sz w:val="24"/>
        </w:rPr>
        <w:t>Givoly</w:t>
      </w:r>
      <w:proofErr w:type="spellEnd"/>
      <w:r w:rsidRPr="00AD3E5F">
        <w:rPr>
          <w:rFonts w:ascii="Times New Roman" w:hAnsi="Times New Roman" w:cs="Times New Roman"/>
          <w:sz w:val="24"/>
        </w:rPr>
        <w:t xml:space="preserve">, D., </w:t>
      </w:r>
      <w:proofErr w:type="spellStart"/>
      <w:r w:rsidRPr="00AD3E5F">
        <w:rPr>
          <w:rFonts w:ascii="Times New Roman" w:hAnsi="Times New Roman" w:cs="Times New Roman"/>
          <w:sz w:val="24"/>
        </w:rPr>
        <w:t>Hayn</w:t>
      </w:r>
      <w:proofErr w:type="spellEnd"/>
      <w:r w:rsidRPr="00AD3E5F">
        <w:rPr>
          <w:rFonts w:ascii="Times New Roman" w:hAnsi="Times New Roman" w:cs="Times New Roman"/>
          <w:sz w:val="24"/>
        </w:rPr>
        <w:t xml:space="preserve">, C.K. and Katz, S.P. (2010), “Does public ownership of equity improve earnings quality?”, </w:t>
      </w:r>
      <w:r w:rsidRPr="00AD3E5F">
        <w:rPr>
          <w:rFonts w:ascii="Times New Roman" w:hAnsi="Times New Roman" w:cs="Times New Roman"/>
          <w:i/>
          <w:iCs/>
          <w:sz w:val="24"/>
        </w:rPr>
        <w:t>The Accounting Review</w:t>
      </w:r>
      <w:r w:rsidRPr="00AD3E5F">
        <w:rPr>
          <w:rFonts w:ascii="Times New Roman" w:hAnsi="Times New Roman" w:cs="Times New Roman"/>
          <w:sz w:val="24"/>
        </w:rPr>
        <w:t>, Vol. 85 No. 1, pp. 195–225.</w:t>
      </w:r>
    </w:p>
    <w:p w:rsidR="00AD3E5F" w:rsidRPr="00AD3E5F" w:rsidRDefault="00AD3E5F" w:rsidP="00AD3E5F">
      <w:pPr>
        <w:pStyle w:val="Bibliography"/>
        <w:spacing w:line="360" w:lineRule="auto"/>
        <w:rPr>
          <w:rFonts w:ascii="Times New Roman" w:hAnsi="Times New Roman" w:cs="Times New Roman"/>
          <w:sz w:val="24"/>
        </w:rPr>
      </w:pPr>
      <w:r w:rsidRPr="00AD3E5F">
        <w:rPr>
          <w:rFonts w:ascii="Times New Roman" w:hAnsi="Times New Roman" w:cs="Times New Roman"/>
          <w:sz w:val="24"/>
        </w:rPr>
        <w:t xml:space="preserve">McNichols, M.F. (2002), “The Quality of Accruals and Earnings: The Role of Accrual Estimation Errors: Discussion”, </w:t>
      </w:r>
      <w:r w:rsidRPr="00AD3E5F">
        <w:rPr>
          <w:rFonts w:ascii="Times New Roman" w:hAnsi="Times New Roman" w:cs="Times New Roman"/>
          <w:i/>
          <w:iCs/>
          <w:sz w:val="24"/>
        </w:rPr>
        <w:t>The Accounting Review</w:t>
      </w:r>
      <w:r w:rsidRPr="00AD3E5F">
        <w:rPr>
          <w:rFonts w:ascii="Times New Roman" w:hAnsi="Times New Roman" w:cs="Times New Roman"/>
          <w:sz w:val="24"/>
        </w:rPr>
        <w:t>, Vol. 77, pp. 61–69.</w:t>
      </w:r>
    </w:p>
    <w:p w:rsidR="00AD3E5F" w:rsidRPr="00AD3E5F" w:rsidRDefault="00AD3E5F" w:rsidP="00AD3E5F">
      <w:pPr>
        <w:pStyle w:val="Bibliography"/>
        <w:spacing w:line="360" w:lineRule="auto"/>
        <w:rPr>
          <w:rFonts w:ascii="Times New Roman" w:hAnsi="Times New Roman" w:cs="Times New Roman"/>
          <w:sz w:val="24"/>
        </w:rPr>
      </w:pPr>
      <w:r w:rsidRPr="00AD3E5F">
        <w:rPr>
          <w:rFonts w:ascii="Times New Roman" w:hAnsi="Times New Roman" w:cs="Times New Roman"/>
          <w:sz w:val="24"/>
        </w:rPr>
        <w:t xml:space="preserve">McNichols, M.F. and </w:t>
      </w:r>
      <w:proofErr w:type="spellStart"/>
      <w:r w:rsidRPr="00AD3E5F">
        <w:rPr>
          <w:rFonts w:ascii="Times New Roman" w:hAnsi="Times New Roman" w:cs="Times New Roman"/>
          <w:sz w:val="24"/>
        </w:rPr>
        <w:t>Stubben</w:t>
      </w:r>
      <w:proofErr w:type="spellEnd"/>
      <w:r w:rsidRPr="00AD3E5F">
        <w:rPr>
          <w:rFonts w:ascii="Times New Roman" w:hAnsi="Times New Roman" w:cs="Times New Roman"/>
          <w:sz w:val="24"/>
        </w:rPr>
        <w:t xml:space="preserve">, S.R. (2008), “Does earnings management affect firms’ investment decisions?”, </w:t>
      </w:r>
      <w:r w:rsidRPr="00AD3E5F">
        <w:rPr>
          <w:rFonts w:ascii="Times New Roman" w:hAnsi="Times New Roman" w:cs="Times New Roman"/>
          <w:i/>
          <w:iCs/>
          <w:sz w:val="24"/>
        </w:rPr>
        <w:t>The Accounting Review</w:t>
      </w:r>
      <w:r w:rsidRPr="00AD3E5F">
        <w:rPr>
          <w:rFonts w:ascii="Times New Roman" w:hAnsi="Times New Roman" w:cs="Times New Roman"/>
          <w:sz w:val="24"/>
        </w:rPr>
        <w:t>, Vol. 83 No. 6, pp. 1571–1603.</w:t>
      </w:r>
    </w:p>
    <w:p w:rsidR="00AD3E5F" w:rsidRPr="00AD3E5F" w:rsidRDefault="00AD3E5F" w:rsidP="00AD3E5F">
      <w:pPr>
        <w:pStyle w:val="Bibliography"/>
        <w:spacing w:line="360" w:lineRule="auto"/>
        <w:rPr>
          <w:rFonts w:ascii="Times New Roman" w:hAnsi="Times New Roman" w:cs="Times New Roman"/>
          <w:sz w:val="24"/>
        </w:rPr>
      </w:pPr>
      <w:proofErr w:type="spellStart"/>
      <w:r w:rsidRPr="00AD3E5F">
        <w:rPr>
          <w:rFonts w:ascii="Times New Roman" w:hAnsi="Times New Roman" w:cs="Times New Roman"/>
          <w:sz w:val="24"/>
        </w:rPr>
        <w:t>Stubben</w:t>
      </w:r>
      <w:proofErr w:type="spellEnd"/>
      <w:r w:rsidRPr="00AD3E5F">
        <w:rPr>
          <w:rFonts w:ascii="Times New Roman" w:hAnsi="Times New Roman" w:cs="Times New Roman"/>
          <w:sz w:val="24"/>
        </w:rPr>
        <w:t xml:space="preserve">, S.R. (2010), “Discretionary revenues as a measure of earnings management”, </w:t>
      </w:r>
      <w:r w:rsidRPr="00AD3E5F">
        <w:rPr>
          <w:rFonts w:ascii="Times New Roman" w:hAnsi="Times New Roman" w:cs="Times New Roman"/>
          <w:i/>
          <w:iCs/>
          <w:sz w:val="24"/>
        </w:rPr>
        <w:t>The Accounting Review</w:t>
      </w:r>
      <w:r w:rsidRPr="00AD3E5F">
        <w:rPr>
          <w:rFonts w:ascii="Times New Roman" w:hAnsi="Times New Roman" w:cs="Times New Roman"/>
          <w:sz w:val="24"/>
        </w:rPr>
        <w:t>, Vol. 85 No. 2, pp. 695–717.</w:t>
      </w:r>
    </w:p>
    <w:p w:rsidR="00AD3E5F" w:rsidRPr="003C61C2" w:rsidRDefault="00AD3E5F" w:rsidP="00AD3E5F">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C61C2" w:rsidRPr="003C61C2" w:rsidRDefault="003C61C2" w:rsidP="003E4FBE">
      <w:pPr>
        <w:widowControl w:val="0"/>
        <w:autoSpaceDE w:val="0"/>
        <w:autoSpaceDN w:val="0"/>
        <w:adjustRightInd w:val="0"/>
        <w:spacing w:after="0" w:line="240" w:lineRule="auto"/>
        <w:jc w:val="both"/>
        <w:rPr>
          <w:rFonts w:ascii="Times New Roman" w:hAnsi="Times New Roman" w:cs="Times New Roman"/>
          <w:sz w:val="24"/>
          <w:szCs w:val="24"/>
        </w:rPr>
      </w:pPr>
    </w:p>
    <w:sectPr w:rsidR="003C61C2" w:rsidRPr="003C61C2">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48E" w:rsidRDefault="0028248E" w:rsidP="00AD3E5F">
      <w:pPr>
        <w:spacing w:after="0" w:line="240" w:lineRule="auto"/>
      </w:pPr>
      <w:r>
        <w:separator/>
      </w:r>
    </w:p>
  </w:endnote>
  <w:endnote w:type="continuationSeparator" w:id="0">
    <w:p w:rsidR="0028248E" w:rsidRDefault="0028248E" w:rsidP="00AD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90658"/>
      <w:docPartObj>
        <w:docPartGallery w:val="Page Numbers (Bottom of Page)"/>
        <w:docPartUnique/>
      </w:docPartObj>
    </w:sdtPr>
    <w:sdtEndPr/>
    <w:sdtContent>
      <w:sdt>
        <w:sdtPr>
          <w:id w:val="1728636285"/>
          <w:docPartObj>
            <w:docPartGallery w:val="Page Numbers (Top of Page)"/>
            <w:docPartUnique/>
          </w:docPartObj>
        </w:sdtPr>
        <w:sdtEndPr/>
        <w:sdtContent>
          <w:p w:rsidR="00AD3E5F" w:rsidRDefault="00AD3E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D3E5F" w:rsidRDefault="00AD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48E" w:rsidRDefault="0028248E" w:rsidP="00AD3E5F">
      <w:pPr>
        <w:spacing w:after="0" w:line="240" w:lineRule="auto"/>
      </w:pPr>
      <w:r>
        <w:separator/>
      </w:r>
    </w:p>
  </w:footnote>
  <w:footnote w:type="continuationSeparator" w:id="0">
    <w:p w:rsidR="0028248E" w:rsidRDefault="0028248E" w:rsidP="00AD3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6"/>
    <w:rsid w:val="001B7980"/>
    <w:rsid w:val="0028248E"/>
    <w:rsid w:val="00323C28"/>
    <w:rsid w:val="003C61C2"/>
    <w:rsid w:val="003E4FBE"/>
    <w:rsid w:val="0058349C"/>
    <w:rsid w:val="005E0096"/>
    <w:rsid w:val="00695EAE"/>
    <w:rsid w:val="00940865"/>
    <w:rsid w:val="00AD3E5F"/>
    <w:rsid w:val="00B07BD6"/>
    <w:rsid w:val="00D71C84"/>
    <w:rsid w:val="00F50F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FA6A6"/>
  <w14:defaultImageDpi w14:val="0"/>
  <w15:docId w15:val="{448B11FA-37BD-4C59-B433-FAE5E91E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C61C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C61C2"/>
    <w:rPr>
      <w:rFonts w:ascii="TimesNewRomanPSMT" w:hAnsi="TimesNewRomanPSMT" w:hint="default"/>
      <w:b w:val="0"/>
      <w:bCs w:val="0"/>
      <w:i w:val="0"/>
      <w:iCs w:val="0"/>
      <w:color w:val="000000"/>
      <w:sz w:val="24"/>
      <w:szCs w:val="24"/>
    </w:rPr>
  </w:style>
  <w:style w:type="character" w:customStyle="1" w:styleId="Heading3Char">
    <w:name w:val="Heading 3 Char"/>
    <w:basedOn w:val="DefaultParagraphFont"/>
    <w:link w:val="Heading3"/>
    <w:uiPriority w:val="9"/>
    <w:rsid w:val="003C61C2"/>
    <w:rPr>
      <w:rFonts w:asciiTheme="majorHAnsi" w:eastAsiaTheme="majorEastAsia" w:hAnsiTheme="majorHAnsi" w:cstheme="majorBidi"/>
      <w:color w:val="1F3763" w:themeColor="accent1" w:themeShade="7F"/>
      <w:sz w:val="24"/>
      <w:szCs w:val="24"/>
      <w:lang w:eastAsia="en-US" w:bidi="ta-IN"/>
    </w:rPr>
  </w:style>
  <w:style w:type="paragraph" w:styleId="Header">
    <w:name w:val="header"/>
    <w:basedOn w:val="Normal"/>
    <w:link w:val="HeaderChar"/>
    <w:uiPriority w:val="99"/>
    <w:unhideWhenUsed/>
    <w:rsid w:val="00AD3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E5F"/>
  </w:style>
  <w:style w:type="paragraph" w:styleId="Footer">
    <w:name w:val="footer"/>
    <w:basedOn w:val="Normal"/>
    <w:link w:val="FooterChar"/>
    <w:uiPriority w:val="99"/>
    <w:unhideWhenUsed/>
    <w:rsid w:val="00AD3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E5F"/>
  </w:style>
  <w:style w:type="paragraph" w:styleId="Bibliography">
    <w:name w:val="Bibliography"/>
    <w:basedOn w:val="Normal"/>
    <w:next w:val="Normal"/>
    <w:uiPriority w:val="37"/>
    <w:unhideWhenUsed/>
    <w:rsid w:val="00AD3E5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6</cp:revision>
  <dcterms:created xsi:type="dcterms:W3CDTF">2024-02-06T08:45:00Z</dcterms:created>
  <dcterms:modified xsi:type="dcterms:W3CDTF">2024-02-26T09:42:00Z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id="5FCyv1Ls"/&gt;&lt;style id="http://www.zotero.org/styles/emerald-harvard"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