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02" w:rsidRDefault="002E0202" w:rsidP="002E0202">
      <w:pPr>
        <w:rPr>
          <w:rFonts w:ascii="Times New Roman" w:hAnsi="Times New Roman" w:cs="Times New Roman"/>
          <w:b/>
          <w:bCs/>
        </w:rPr>
      </w:pPr>
    </w:p>
    <w:p w:rsidR="002E0202" w:rsidRDefault="002E0202" w:rsidP="002E0202">
      <w:pPr>
        <w:rPr>
          <w:rFonts w:ascii="Times New Roman" w:hAnsi="Times New Roman" w:cs="Times New Roman"/>
          <w:b/>
          <w:bCs/>
        </w:rPr>
      </w:pPr>
    </w:p>
    <w:p w:rsidR="002E0202" w:rsidRDefault="002E0202" w:rsidP="002E0202">
      <w:pPr>
        <w:rPr>
          <w:rFonts w:ascii="Times New Roman" w:hAnsi="Times New Roman" w:cs="Times New Roman"/>
          <w:b/>
          <w:bCs/>
        </w:rPr>
      </w:pPr>
    </w:p>
    <w:p w:rsidR="002E0202" w:rsidRDefault="002E0202" w:rsidP="002E0202">
      <w:pPr>
        <w:rPr>
          <w:rFonts w:ascii="Times New Roman" w:hAnsi="Times New Roman" w:cs="Times New Roman"/>
          <w:b/>
          <w:bCs/>
        </w:rPr>
      </w:pPr>
    </w:p>
    <w:p w:rsidR="002E0202" w:rsidRDefault="002E0202" w:rsidP="002E0202">
      <w:pPr>
        <w:rPr>
          <w:rFonts w:ascii="Times New Roman" w:hAnsi="Times New Roman" w:cs="Times New Roman"/>
          <w:b/>
          <w:bCs/>
        </w:rPr>
      </w:pPr>
      <w:r>
        <w:rPr>
          <w:rFonts w:ascii="Times New Roman" w:hAnsi="Times New Roman" w:cs="Times New Roman"/>
          <w:b/>
          <w:bCs/>
        </w:rPr>
        <w:t>Appendix 1 Grading sheet for the disclosure quality assessment by the Shenzhen Stock Exchange</w:t>
      </w:r>
    </w:p>
    <w:tbl>
      <w:tblPr>
        <w:tblW w:w="5000" w:type="pct"/>
        <w:tblLook w:val="04A0" w:firstRow="1" w:lastRow="0" w:firstColumn="1" w:lastColumn="0" w:noHBand="0" w:noVBand="1"/>
      </w:tblPr>
      <w:tblGrid>
        <w:gridCol w:w="1372"/>
        <w:gridCol w:w="1344"/>
        <w:gridCol w:w="4599"/>
        <w:gridCol w:w="1927"/>
      </w:tblGrid>
      <w:tr w:rsidR="002E0202" w:rsidRPr="00CD4B1A" w:rsidTr="00A3745B">
        <w:trPr>
          <w:trHeight w:val="280"/>
        </w:trPr>
        <w:tc>
          <w:tcPr>
            <w:tcW w:w="901" w:type="pct"/>
            <w:tcBorders>
              <w:top w:val="single" w:sz="4" w:space="0" w:color="auto"/>
              <w:left w:val="single" w:sz="4" w:space="0" w:color="auto"/>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b/>
                <w:bCs/>
                <w:color w:val="000000"/>
                <w:kern w:val="0"/>
                <w:sz w:val="20"/>
                <w:szCs w:val="20"/>
                <w14:ligatures w14:val="none"/>
              </w:rPr>
            </w:pPr>
            <w:r w:rsidRPr="00CD4B1A">
              <w:rPr>
                <w:rFonts w:ascii="Times New Roman" w:eastAsia="Times New Roman" w:hAnsi="Times New Roman" w:cs="Times New Roman"/>
                <w:b/>
                <w:bCs/>
                <w:color w:val="000000"/>
                <w:kern w:val="0"/>
                <w:sz w:val="20"/>
                <w:szCs w:val="20"/>
                <w14:ligatures w14:val="none"/>
              </w:rPr>
              <w:t>Classification</w:t>
            </w:r>
          </w:p>
        </w:tc>
        <w:tc>
          <w:tcPr>
            <w:tcW w:w="544" w:type="pct"/>
            <w:tcBorders>
              <w:top w:val="single" w:sz="4" w:space="0" w:color="auto"/>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b/>
                <w:bCs/>
                <w:color w:val="000000"/>
                <w:kern w:val="0"/>
                <w:sz w:val="20"/>
                <w:szCs w:val="20"/>
                <w14:ligatures w14:val="none"/>
              </w:rPr>
            </w:pPr>
            <w:r w:rsidRPr="00CD4B1A">
              <w:rPr>
                <w:rFonts w:ascii="Times New Roman" w:eastAsia="Times New Roman" w:hAnsi="Times New Roman" w:cs="Times New Roman"/>
                <w:b/>
                <w:bCs/>
                <w:color w:val="000000"/>
                <w:kern w:val="0"/>
                <w:sz w:val="20"/>
                <w:szCs w:val="20"/>
                <w14:ligatures w14:val="none"/>
              </w:rPr>
              <w:t>Item number</w:t>
            </w:r>
          </w:p>
        </w:tc>
        <w:tc>
          <w:tcPr>
            <w:tcW w:w="2776" w:type="pct"/>
            <w:tcBorders>
              <w:top w:val="single" w:sz="4" w:space="0" w:color="auto"/>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b/>
                <w:bCs/>
                <w:color w:val="000000"/>
                <w:kern w:val="0"/>
                <w:sz w:val="20"/>
                <w:szCs w:val="20"/>
                <w14:ligatures w14:val="none"/>
              </w:rPr>
            </w:pPr>
            <w:r w:rsidRPr="00CD4B1A">
              <w:rPr>
                <w:rFonts w:ascii="Times New Roman" w:eastAsia="Times New Roman" w:hAnsi="Times New Roman" w:cs="Times New Roman"/>
                <w:b/>
                <w:bCs/>
                <w:color w:val="000000"/>
                <w:kern w:val="0"/>
                <w:sz w:val="20"/>
                <w:szCs w:val="20"/>
                <w14:ligatures w14:val="none"/>
              </w:rPr>
              <w:t>Item for adding (deducting) points</w:t>
            </w:r>
          </w:p>
        </w:tc>
        <w:tc>
          <w:tcPr>
            <w:tcW w:w="779" w:type="pct"/>
            <w:tcBorders>
              <w:top w:val="single" w:sz="4" w:space="0" w:color="auto"/>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b/>
                <w:bCs/>
                <w:color w:val="000000"/>
                <w:kern w:val="0"/>
                <w:sz w:val="20"/>
                <w:szCs w:val="20"/>
                <w14:ligatures w14:val="none"/>
              </w:rPr>
            </w:pPr>
            <w:r w:rsidRPr="00CD4B1A">
              <w:rPr>
                <w:rFonts w:ascii="Times New Roman" w:eastAsia="Times New Roman" w:hAnsi="Times New Roman" w:cs="Times New Roman"/>
                <w:b/>
                <w:bCs/>
                <w:color w:val="000000"/>
                <w:kern w:val="0"/>
                <w:sz w:val="20"/>
                <w:szCs w:val="20"/>
                <w14:ligatures w14:val="none"/>
              </w:rPr>
              <w:t>Add (deduct) points</w:t>
            </w:r>
          </w:p>
        </w:tc>
      </w:tr>
      <w:tr w:rsidR="002E0202" w:rsidRPr="00CD4B1A" w:rsidTr="00A3745B">
        <w:trPr>
          <w:trHeight w:val="791"/>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Compliance with</w:t>
            </w:r>
            <w:r>
              <w:rPr>
                <w:rFonts w:ascii="Times New Roman" w:eastAsia="Times New Roman" w:hAnsi="Times New Roman" w:cs="Times New Roman"/>
                <w:color w:val="000000"/>
                <w:kern w:val="0"/>
                <w:sz w:val="20"/>
                <w:szCs w:val="20"/>
                <w14:ligatures w14:val="none"/>
              </w:rPr>
              <w:t xml:space="preserve"> </w:t>
            </w:r>
            <w:r w:rsidRPr="00CD4B1A">
              <w:rPr>
                <w:rFonts w:ascii="Times New Roman" w:eastAsia="Times New Roman" w:hAnsi="Times New Roman" w:cs="Times New Roman"/>
                <w:color w:val="000000"/>
                <w:kern w:val="0"/>
                <w:sz w:val="20"/>
                <w:szCs w:val="20"/>
                <w14:ligatures w14:val="none"/>
              </w:rPr>
              <w:t>disclosure rules</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1.1</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xml:space="preserve">Disclosures focus on specific events of the firm, warn investors of uncertainty and risk in detail in a timely manner, and use plain language. </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56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1.2</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Disclosures are investor-oriented and help investors evaluate the firm and make investment decisions.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two points</w:t>
            </w:r>
          </w:p>
        </w:tc>
      </w:tr>
      <w:tr w:rsidR="002E0202" w:rsidRPr="00CD4B1A" w:rsidTr="00A3745B">
        <w:trPr>
          <w:trHeight w:val="56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1.3</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Other than mandatory industry disclosures required by the stock exchange, the firm voluntarily provides industry disclosures in periodic reports or ad-hoc filings.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112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1.4</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In periodic reports, the firm voluntarily offers in-depth analysis of industry development trends, business models, core competitiveness, business plans, or other industry and operational information according to industry regulations and changing market conditions.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84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1.5</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Voluntary disclosures follow the fair disclosure principle, are complete, continuous, and consistent, and do not contradict mandatory disclosures. The firm does not selectively disclose and mislead investors.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84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1.6</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When the firm provides voluntary forward-looking disclosures, it clearly includes risk warning language, details risk factors, and alerts investors to uncertainties and risks.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84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1.7</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Accurately identify filing types, do not omit, or choose the wrong filing types, and do not use "disclosure express" when filings need to be previewed by the stock exchange.</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1.8</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Completely and accurately identify event parameters related to a filing.</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280"/>
        </w:trPr>
        <w:tc>
          <w:tcPr>
            <w:tcW w:w="901" w:type="pct"/>
            <w:tcBorders>
              <w:top w:val="nil"/>
              <w:left w:val="single" w:sz="4" w:space="0" w:color="auto"/>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1.9</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No fraudulent, misleading, and omitted disclosures.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Investor relations</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2.1</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Voluntarily hold investor briefings to discuss financial results or material events.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84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2.2</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Effectively answer investors' questions on "e Interactive" platform (i.e., online communication platform between firms and investors hosted by the stock exchange), and address matters of interest to investors through filings.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280"/>
        </w:trPr>
        <w:tc>
          <w:tcPr>
            <w:tcW w:w="901" w:type="pct"/>
            <w:tcBorders>
              <w:top w:val="nil"/>
              <w:left w:val="single" w:sz="4" w:space="0" w:color="auto"/>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2.3</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Actively increase investor returns through cash dividends.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two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CSR or ESG disclosures</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3.1</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Voluntarily provide CSR reports, and reports are concrete and complete.</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3.2</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Voluntarily provide ESG reports, and reports are concrete and complete.</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560"/>
        </w:trPr>
        <w:tc>
          <w:tcPr>
            <w:tcW w:w="901" w:type="pct"/>
            <w:tcBorders>
              <w:top w:val="nil"/>
              <w:left w:val="single" w:sz="4" w:space="0" w:color="auto"/>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3.3</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xml:space="preserve">Voluntarily disclose activities that fulfil national strategic plans, such as poverty alleviation and pandemic prevention and control. </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56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lastRenderedPageBreak/>
              <w:t>Cooperation with the stock exchange</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4.1</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xml:space="preserve">Actively participate in setting and revising the stock exchange's disclosure rules and provide policy suggestions. </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two points</w:t>
            </w:r>
          </w:p>
        </w:tc>
      </w:tr>
      <w:tr w:rsidR="002E0202" w:rsidRPr="00CD4B1A" w:rsidTr="00A3745B">
        <w:trPr>
          <w:trHeight w:val="560"/>
        </w:trPr>
        <w:tc>
          <w:tcPr>
            <w:tcW w:w="901" w:type="pct"/>
            <w:tcBorders>
              <w:top w:val="nil"/>
              <w:left w:val="single" w:sz="4" w:space="0" w:color="auto"/>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4.2</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Actively facilitate the stock exchange's monitoring activities, information collection, and surveys.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Add one point</w:t>
            </w:r>
          </w:p>
        </w:tc>
      </w:tr>
      <w:tr w:rsidR="002E0202" w:rsidRPr="00CD4B1A" w:rsidTr="00A3745B">
        <w:trPr>
          <w:trHeight w:val="112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Material negative events</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5.1</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Fail to</w:t>
            </w:r>
            <w:r w:rsidRPr="00CD4B1A">
              <w:rPr>
                <w:rFonts w:ascii="Times New Roman" w:eastAsia="Times New Roman" w:hAnsi="Times New Roman" w:cs="Times New Roman"/>
                <w:color w:val="000000"/>
                <w:kern w:val="0"/>
                <w:sz w:val="20"/>
                <w:szCs w:val="20"/>
                <w14:ligatures w14:val="none"/>
              </w:rPr>
              <w:t xml:space="preserve"> disclose material investment losses or acquisition targets' failure to meet performance targets in a timely and complete manner. </w:t>
            </w:r>
            <w:r>
              <w:rPr>
                <w:rFonts w:ascii="Times New Roman" w:eastAsia="Times New Roman" w:hAnsi="Times New Roman" w:cs="Times New Roman"/>
                <w:color w:val="000000"/>
                <w:kern w:val="0"/>
                <w:sz w:val="20"/>
                <w:szCs w:val="20"/>
                <w14:ligatures w14:val="none"/>
              </w:rPr>
              <w:t xml:space="preserve">Fail to </w:t>
            </w:r>
            <w:r w:rsidRPr="00CD4B1A">
              <w:rPr>
                <w:rFonts w:ascii="Times New Roman" w:eastAsia="Times New Roman" w:hAnsi="Times New Roman" w:cs="Times New Roman"/>
                <w:color w:val="000000"/>
                <w:kern w:val="0"/>
                <w:sz w:val="20"/>
                <w:szCs w:val="20"/>
                <w14:ligatures w14:val="none"/>
              </w:rPr>
              <w:t>actively use litigation to protect its own interest in</w:t>
            </w:r>
            <w:r>
              <w:rPr>
                <w:rFonts w:ascii="Times New Roman" w:eastAsia="Times New Roman" w:hAnsi="Times New Roman" w:cs="Times New Roman"/>
                <w:color w:val="000000"/>
                <w:kern w:val="0"/>
                <w:sz w:val="20"/>
                <w:szCs w:val="20"/>
                <w14:ligatures w14:val="none"/>
              </w:rPr>
              <w:t xml:space="preserve"> </w:t>
            </w:r>
            <w:r w:rsidRPr="00CD4B1A">
              <w:rPr>
                <w:rFonts w:ascii="Times New Roman" w:eastAsia="Times New Roman" w:hAnsi="Times New Roman" w:cs="Times New Roman"/>
                <w:color w:val="000000"/>
                <w:kern w:val="0"/>
                <w:sz w:val="20"/>
                <w:szCs w:val="20"/>
                <w14:ligatures w14:val="none"/>
              </w:rPr>
              <w:t>cases of material investment losses or acquisition targets' failure to meet performance targets.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five points</w:t>
            </w:r>
          </w:p>
        </w:tc>
      </w:tr>
      <w:tr w:rsidR="002E0202" w:rsidRPr="00CD4B1A" w:rsidTr="00A3745B">
        <w:trPr>
          <w:trHeight w:val="1120"/>
        </w:trPr>
        <w:tc>
          <w:tcPr>
            <w:tcW w:w="901" w:type="pct"/>
            <w:tcBorders>
              <w:top w:val="nil"/>
              <w:left w:val="single" w:sz="4" w:space="0" w:color="auto"/>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5.2</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Fail to disclose o</w:t>
            </w:r>
            <w:r w:rsidRPr="00CD4B1A">
              <w:rPr>
                <w:rFonts w:ascii="Times New Roman" w:eastAsia="Times New Roman" w:hAnsi="Times New Roman" w:cs="Times New Roman"/>
                <w:color w:val="000000"/>
                <w:kern w:val="0"/>
                <w:sz w:val="20"/>
                <w:szCs w:val="20"/>
                <w14:ligatures w14:val="none"/>
              </w:rPr>
              <w:t xml:space="preserve">ther material negative events, such as the receipt of reasonable investor complaints. </w:t>
            </w:r>
            <w:r>
              <w:rPr>
                <w:rFonts w:ascii="Times New Roman" w:eastAsia="Times New Roman" w:hAnsi="Times New Roman" w:cs="Times New Roman"/>
                <w:color w:val="000000"/>
                <w:kern w:val="0"/>
                <w:sz w:val="20"/>
                <w:szCs w:val="20"/>
                <w14:ligatures w14:val="none"/>
              </w:rPr>
              <w:t>Fail to</w:t>
            </w:r>
            <w:r w:rsidRPr="00CD4B1A">
              <w:rPr>
                <w:rFonts w:ascii="Times New Roman" w:eastAsia="Times New Roman" w:hAnsi="Times New Roman" w:cs="Times New Roman"/>
                <w:color w:val="000000"/>
                <w:kern w:val="0"/>
                <w:sz w:val="20"/>
                <w:szCs w:val="20"/>
                <w14:ligatures w14:val="none"/>
              </w:rPr>
              <w:t xml:space="preserve"> disclose margin calls faced by controlling shareholders in a timely and complete manner</w:t>
            </w:r>
            <w:r>
              <w:rPr>
                <w:rFonts w:ascii="Times New Roman" w:eastAsia="Times New Roman" w:hAnsi="Times New Roman" w:cs="Times New Roman"/>
                <w:color w:val="000000"/>
                <w:kern w:val="0"/>
                <w:sz w:val="20"/>
                <w:szCs w:val="20"/>
                <w14:ligatures w14:val="none"/>
              </w:rPr>
              <w:t>. Fail to</w:t>
            </w:r>
            <w:r w:rsidRPr="00CD4B1A">
              <w:rPr>
                <w:rFonts w:ascii="Times New Roman" w:eastAsia="Times New Roman" w:hAnsi="Times New Roman" w:cs="Times New Roman"/>
                <w:color w:val="000000"/>
                <w:kern w:val="0"/>
                <w:sz w:val="20"/>
                <w:szCs w:val="20"/>
                <w14:ligatures w14:val="none"/>
              </w:rPr>
              <w:t xml:space="preserve"> cooperate with the stock exchange's monitoring activities.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four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Supervisory</w:t>
            </w:r>
            <w:r w:rsidRPr="00CD4B1A">
              <w:rPr>
                <w:rFonts w:ascii="Times New Roman" w:eastAsia="Times New Roman" w:hAnsi="Times New Roman" w:cs="Times New Roman"/>
                <w:color w:val="000000"/>
                <w:kern w:val="0"/>
                <w:sz w:val="20"/>
                <w:szCs w:val="20"/>
                <w14:ligatures w14:val="none"/>
              </w:rPr>
              <w:t xml:space="preserve"> measures</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6.1</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Oral warnings (directors, executives, controlling shareholders, and ultimate owner)</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one point</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6.2</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Oral warnings (firm)</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two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6.3</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Written warnings</w:t>
            </w:r>
            <w:r w:rsidRPr="00CD4B1A">
              <w:rPr>
                <w:rFonts w:ascii="Times New Roman" w:eastAsia="Times New Roman" w:hAnsi="Times New Roman" w:cs="Times New Roman"/>
                <w:color w:val="000000"/>
                <w:kern w:val="0"/>
                <w:sz w:val="20"/>
                <w:szCs w:val="20"/>
                <w14:ligatures w14:val="none"/>
              </w:rPr>
              <w:t xml:space="preserve"> (directors, executives, controlling shareholders, and ultimate owner)</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two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6.4</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Written warnings</w:t>
            </w:r>
            <w:r w:rsidRPr="00CD4B1A">
              <w:rPr>
                <w:rFonts w:ascii="Times New Roman" w:eastAsia="Times New Roman" w:hAnsi="Times New Roman" w:cs="Times New Roman"/>
                <w:color w:val="000000"/>
                <w:kern w:val="0"/>
                <w:sz w:val="20"/>
                <w:szCs w:val="20"/>
                <w14:ligatures w14:val="none"/>
              </w:rPr>
              <w:t xml:space="preserve"> (firm)</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four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6.5</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Regulatory talks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three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6.6</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xml:space="preserve">Orders to rectify </w:t>
            </w:r>
            <w:r>
              <w:rPr>
                <w:rFonts w:ascii="Times New Roman" w:eastAsia="Times New Roman" w:hAnsi="Times New Roman" w:cs="Times New Roman"/>
                <w:color w:val="000000"/>
                <w:kern w:val="0"/>
                <w:sz w:val="20"/>
                <w:szCs w:val="20"/>
                <w14:ligatures w14:val="none"/>
              </w:rPr>
              <w:t xml:space="preserve">actions </w:t>
            </w:r>
            <w:r w:rsidRPr="00CD4B1A">
              <w:rPr>
                <w:rFonts w:ascii="Times New Roman" w:eastAsia="Times New Roman" w:hAnsi="Times New Roman" w:cs="Times New Roman"/>
                <w:color w:val="000000"/>
                <w:kern w:val="0"/>
                <w:sz w:val="20"/>
                <w:szCs w:val="20"/>
                <w14:ligatures w14:val="none"/>
              </w:rPr>
              <w:t>within a prescribed time limit</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three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6.7</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Orders to hold investor briefings within a prescribed time limit</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three points</w:t>
            </w:r>
          </w:p>
        </w:tc>
      </w:tr>
      <w:tr w:rsidR="002E0202" w:rsidRPr="00CD4B1A" w:rsidTr="00A3745B">
        <w:trPr>
          <w:trHeight w:val="280"/>
        </w:trPr>
        <w:tc>
          <w:tcPr>
            <w:tcW w:w="901" w:type="pct"/>
            <w:tcBorders>
              <w:top w:val="nil"/>
              <w:left w:val="single" w:sz="4" w:space="0" w:color="auto"/>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6.8</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Orders to publicly correct or clarify disclosures or explain events.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six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Disciplinary actions</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7.1</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Public c</w:t>
            </w:r>
            <w:r w:rsidRPr="00CD4B1A">
              <w:rPr>
                <w:rFonts w:ascii="Times New Roman" w:eastAsia="Times New Roman" w:hAnsi="Times New Roman" w:cs="Times New Roman"/>
                <w:color w:val="000000"/>
                <w:kern w:val="0"/>
                <w:sz w:val="20"/>
                <w:szCs w:val="20"/>
                <w14:ligatures w14:val="none"/>
              </w:rPr>
              <w:t>riticisms (directors, executives, controlling shareholders, and ultimate owner)</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six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7.2</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Public c</w:t>
            </w:r>
            <w:r w:rsidRPr="00CD4B1A">
              <w:rPr>
                <w:rFonts w:ascii="Times New Roman" w:eastAsia="Times New Roman" w:hAnsi="Times New Roman" w:cs="Times New Roman"/>
                <w:color w:val="000000"/>
                <w:kern w:val="0"/>
                <w:sz w:val="20"/>
                <w:szCs w:val="20"/>
                <w14:ligatures w14:val="none"/>
              </w:rPr>
              <w:t>riticisms (firm)</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ten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7.3</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Condemnations (directors, executives, controlling shareholders, and ultimate owner)</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ten points</w:t>
            </w:r>
          </w:p>
        </w:tc>
      </w:tr>
      <w:tr w:rsidR="002E0202" w:rsidRPr="00CD4B1A" w:rsidTr="00A3745B">
        <w:trPr>
          <w:trHeight w:val="280"/>
        </w:trPr>
        <w:tc>
          <w:tcPr>
            <w:tcW w:w="901" w:type="pct"/>
            <w:tcBorders>
              <w:top w:val="nil"/>
              <w:left w:val="single" w:sz="4" w:space="0" w:color="auto"/>
              <w:bottom w:val="nil"/>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7.4</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Condemnations (firm)</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twenty points</w:t>
            </w:r>
          </w:p>
        </w:tc>
      </w:tr>
      <w:tr w:rsidR="002E0202" w:rsidRPr="00CD4B1A" w:rsidTr="00A3745B">
        <w:trPr>
          <w:trHeight w:val="560"/>
        </w:trPr>
        <w:tc>
          <w:tcPr>
            <w:tcW w:w="901" w:type="pct"/>
            <w:tcBorders>
              <w:top w:val="nil"/>
              <w:left w:val="single" w:sz="4" w:space="0" w:color="auto"/>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 </w:t>
            </w:r>
          </w:p>
        </w:tc>
        <w:tc>
          <w:tcPr>
            <w:tcW w:w="544"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7.5</w:t>
            </w:r>
          </w:p>
        </w:tc>
        <w:tc>
          <w:tcPr>
            <w:tcW w:w="2776" w:type="pct"/>
            <w:tcBorders>
              <w:top w:val="nil"/>
              <w:left w:val="nil"/>
              <w:bottom w:val="single" w:sz="4" w:space="0" w:color="auto"/>
              <w:right w:val="single" w:sz="4" w:space="0" w:color="auto"/>
            </w:tcBorders>
            <w:shd w:val="clear" w:color="auto" w:fill="auto"/>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Declarations of certain individuals' unsuitability to serve as public firms' directors or executives</w:t>
            </w:r>
          </w:p>
        </w:tc>
        <w:tc>
          <w:tcPr>
            <w:tcW w:w="779" w:type="pct"/>
            <w:tcBorders>
              <w:top w:val="nil"/>
              <w:left w:val="nil"/>
              <w:bottom w:val="single" w:sz="4" w:space="0" w:color="auto"/>
              <w:right w:val="single" w:sz="4" w:space="0" w:color="auto"/>
            </w:tcBorders>
            <w:shd w:val="clear" w:color="auto" w:fill="auto"/>
            <w:noWrap/>
            <w:hideMark/>
          </w:tcPr>
          <w:p w:rsidR="002E0202" w:rsidRPr="00CD4B1A"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CD4B1A">
              <w:rPr>
                <w:rFonts w:ascii="Times New Roman" w:eastAsia="Times New Roman" w:hAnsi="Times New Roman" w:cs="Times New Roman"/>
                <w:color w:val="000000"/>
                <w:kern w:val="0"/>
                <w:sz w:val="20"/>
                <w:szCs w:val="20"/>
                <w14:ligatures w14:val="none"/>
              </w:rPr>
              <w:t>Deduct twenty points</w:t>
            </w:r>
          </w:p>
        </w:tc>
      </w:tr>
    </w:tbl>
    <w:p w:rsidR="002E0202" w:rsidRPr="00443864" w:rsidRDefault="002E0202" w:rsidP="002E0202">
      <w:pPr>
        <w:rPr>
          <w:rFonts w:ascii="Times New Roman" w:hAnsi="Times New Roman" w:cs="Times New Roman"/>
          <w:sz w:val="18"/>
          <w:szCs w:val="18"/>
        </w:rPr>
      </w:pPr>
      <w:r w:rsidRPr="00443864">
        <w:rPr>
          <w:rFonts w:ascii="Times New Roman" w:hAnsi="Times New Roman" w:cs="Times New Roman"/>
          <w:sz w:val="18"/>
          <w:szCs w:val="18"/>
        </w:rPr>
        <w:t xml:space="preserve">Notes: </w:t>
      </w:r>
    </w:p>
    <w:p w:rsidR="002E0202" w:rsidRPr="00443864" w:rsidRDefault="002E0202" w:rsidP="002E0202">
      <w:pPr>
        <w:rPr>
          <w:rFonts w:ascii="Times New Roman" w:hAnsi="Times New Roman" w:cs="Times New Roman"/>
          <w:sz w:val="18"/>
          <w:szCs w:val="18"/>
        </w:rPr>
      </w:pPr>
      <w:r w:rsidRPr="00443864">
        <w:rPr>
          <w:rFonts w:ascii="Times New Roman" w:hAnsi="Times New Roman" w:cs="Times New Roman"/>
          <w:sz w:val="18"/>
          <w:szCs w:val="18"/>
        </w:rPr>
        <w:t xml:space="preserve">1. The base grade is 100, and disclosure quality ratings are classified into A, B, C, and D in the descending order of quality. The proportion of </w:t>
      </w:r>
      <w:proofErr w:type="gramStart"/>
      <w:r w:rsidRPr="00443864">
        <w:rPr>
          <w:rFonts w:ascii="Times New Roman" w:hAnsi="Times New Roman" w:cs="Times New Roman"/>
          <w:sz w:val="18"/>
          <w:szCs w:val="18"/>
        </w:rPr>
        <w:t>A</w:t>
      </w:r>
      <w:proofErr w:type="gramEnd"/>
      <w:r w:rsidRPr="00443864">
        <w:rPr>
          <w:rFonts w:ascii="Times New Roman" w:hAnsi="Times New Roman" w:cs="Times New Roman"/>
          <w:sz w:val="18"/>
          <w:szCs w:val="18"/>
        </w:rPr>
        <w:t xml:space="preserve"> ratings does not exceed 25%.</w:t>
      </w:r>
    </w:p>
    <w:p w:rsidR="002E0202" w:rsidRPr="00443864" w:rsidRDefault="002E0202" w:rsidP="002E0202">
      <w:pPr>
        <w:rPr>
          <w:rFonts w:ascii="Times New Roman" w:hAnsi="Times New Roman" w:cs="Times New Roman"/>
          <w:sz w:val="18"/>
          <w:szCs w:val="18"/>
        </w:rPr>
      </w:pPr>
      <w:r w:rsidRPr="00443864">
        <w:rPr>
          <w:rFonts w:ascii="Times New Roman" w:hAnsi="Times New Roman" w:cs="Times New Roman"/>
          <w:sz w:val="18"/>
          <w:szCs w:val="18"/>
        </w:rPr>
        <w:t>2. The firm must provide detailed reasons if it applies for point additions. No application, application without detailed reasons, or reasons that do not meet criteria for point additions do not result in point additions.</w:t>
      </w:r>
    </w:p>
    <w:p w:rsidR="002E0202" w:rsidRPr="00443864" w:rsidRDefault="002E0202" w:rsidP="002E0202">
      <w:pPr>
        <w:rPr>
          <w:rFonts w:ascii="Times New Roman" w:hAnsi="Times New Roman" w:cs="Times New Roman"/>
          <w:sz w:val="18"/>
          <w:szCs w:val="18"/>
        </w:rPr>
      </w:pPr>
      <w:r w:rsidRPr="00443864">
        <w:rPr>
          <w:rFonts w:ascii="Times New Roman" w:hAnsi="Times New Roman" w:cs="Times New Roman"/>
          <w:sz w:val="18"/>
          <w:szCs w:val="18"/>
        </w:rPr>
        <w:t>There will not be point additions if the firm only complies with disclosure rules. Under the same classification, if some items warrant point additions but other items are not compliant with disclosure rules, there will not be any point addition. If one item warrants point addition under multiple classifications, there will not be duplicate point additions and the largest point addition is applied.</w:t>
      </w:r>
    </w:p>
    <w:p w:rsidR="002E0202" w:rsidRPr="00443864" w:rsidRDefault="002E0202" w:rsidP="002E0202">
      <w:pPr>
        <w:rPr>
          <w:rFonts w:ascii="Times New Roman" w:hAnsi="Times New Roman" w:cs="Times New Roman"/>
          <w:sz w:val="18"/>
          <w:szCs w:val="18"/>
        </w:rPr>
      </w:pPr>
      <w:r w:rsidRPr="00443864">
        <w:rPr>
          <w:rFonts w:ascii="Times New Roman" w:hAnsi="Times New Roman" w:cs="Times New Roman"/>
          <w:sz w:val="18"/>
          <w:szCs w:val="18"/>
        </w:rPr>
        <w:t>3. The firm should truthfully report items for point deductions. If one item deserves point reductions under multiple classifications, there will not be duplicate point reductions and the largest point reduction is applied. If supervisory measures and disciplinary actions are taken regarding the same violation, there will not be duplicate point reductions and the largest point reduction is applied, except for follow-up supervisory measures and disciplinary actions due to unsatisfactory rectification within a prescribed time limit.</w:t>
      </w:r>
    </w:p>
    <w:p w:rsidR="002E0202" w:rsidRPr="00443864" w:rsidRDefault="002E0202" w:rsidP="002E0202">
      <w:pPr>
        <w:rPr>
          <w:rFonts w:ascii="Times New Roman" w:hAnsi="Times New Roman" w:cs="Times New Roman"/>
          <w:b/>
          <w:bCs/>
          <w:sz w:val="18"/>
          <w:szCs w:val="18"/>
        </w:rPr>
      </w:pPr>
      <w:r w:rsidRPr="00443864">
        <w:rPr>
          <w:rFonts w:ascii="Times New Roman" w:hAnsi="Times New Roman" w:cs="Times New Roman"/>
          <w:b/>
          <w:bCs/>
          <w:sz w:val="18"/>
          <w:szCs w:val="18"/>
          <w:highlight w:val="yellow"/>
        </w:rPr>
        <w:t xml:space="preserve">Source(s): </w:t>
      </w:r>
      <w:r w:rsidRPr="00443864">
        <w:rPr>
          <w:rFonts w:ascii="Times New Roman" w:hAnsi="Times New Roman" w:cs="Times New Roman"/>
          <w:sz w:val="18"/>
          <w:szCs w:val="18"/>
          <w:highlight w:val="yellow"/>
        </w:rPr>
        <w:t xml:space="preserve">Table publicly available on the website of the Shenzhen Stock Exchange (at </w:t>
      </w:r>
      <w:hyperlink r:id="rId5" w:history="1">
        <w:r w:rsidRPr="00443864">
          <w:rPr>
            <w:rStyle w:val="Hyperlink"/>
            <w:rFonts w:ascii="Times New Roman" w:hAnsi="Times New Roman" w:cs="Times New Roman"/>
            <w:sz w:val="18"/>
            <w:szCs w:val="18"/>
            <w:highlight w:val="yellow"/>
          </w:rPr>
          <w:t>https://docs.static.szse.cn/www/lawrules/rule/repeal/rules/W020250314648835009630.pdf</w:t>
        </w:r>
      </w:hyperlink>
      <w:r w:rsidRPr="00443864">
        <w:rPr>
          <w:rFonts w:ascii="Times New Roman" w:hAnsi="Times New Roman" w:cs="Times New Roman"/>
          <w:sz w:val="18"/>
          <w:szCs w:val="18"/>
          <w:highlight w:val="yellow"/>
        </w:rPr>
        <w:t>) and translated by authors.</w:t>
      </w:r>
    </w:p>
    <w:p w:rsidR="002E0202" w:rsidRPr="00810702" w:rsidRDefault="002E0202" w:rsidP="002E0202">
      <w:pPr>
        <w:rPr>
          <w:rFonts w:ascii="Times New Roman" w:hAnsi="Times New Roman" w:cs="Times New Roman"/>
          <w:b/>
          <w:bCs/>
        </w:rPr>
      </w:pPr>
      <w:r w:rsidRPr="00810702">
        <w:rPr>
          <w:rFonts w:ascii="Times New Roman" w:hAnsi="Times New Roman" w:cs="Times New Roman"/>
          <w:b/>
          <w:bCs/>
        </w:rPr>
        <w:lastRenderedPageBreak/>
        <w:t xml:space="preserve">Appendix </w:t>
      </w:r>
      <w:r>
        <w:rPr>
          <w:rFonts w:ascii="Times New Roman" w:hAnsi="Times New Roman" w:cs="Times New Roman"/>
          <w:b/>
          <w:bCs/>
        </w:rPr>
        <w:t>2</w:t>
      </w:r>
      <w:r w:rsidRPr="00810702">
        <w:rPr>
          <w:rFonts w:ascii="Times New Roman" w:hAnsi="Times New Roman" w:cs="Times New Roman"/>
          <w:b/>
          <w:bCs/>
        </w:rPr>
        <w:t xml:space="preserve"> Variable definitions</w:t>
      </w:r>
    </w:p>
    <w:tbl>
      <w:tblPr>
        <w:tblW w:w="5000" w:type="pct"/>
        <w:tblLook w:val="04A0" w:firstRow="1" w:lastRow="0" w:firstColumn="1" w:lastColumn="0" w:noHBand="0" w:noVBand="1"/>
      </w:tblPr>
      <w:tblGrid>
        <w:gridCol w:w="1506"/>
        <w:gridCol w:w="1297"/>
        <w:gridCol w:w="6439"/>
      </w:tblGrid>
      <w:tr w:rsidR="002E0202" w:rsidRPr="003D1DE2" w:rsidTr="00A3745B">
        <w:trPr>
          <w:trHeight w:val="290"/>
        </w:trPr>
        <w:tc>
          <w:tcPr>
            <w:tcW w:w="719" w:type="pct"/>
            <w:tcBorders>
              <w:top w:val="single" w:sz="4" w:space="0" w:color="auto"/>
              <w:left w:val="single" w:sz="4" w:space="0" w:color="auto"/>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b/>
                <w:bCs/>
                <w:color w:val="000000"/>
                <w:kern w:val="0"/>
                <w:sz w:val="20"/>
                <w:szCs w:val="20"/>
                <w14:ligatures w14:val="none"/>
              </w:rPr>
            </w:pPr>
            <w:r w:rsidRPr="00923EC2">
              <w:rPr>
                <w:rFonts w:ascii="Times New Roman" w:eastAsia="Times New Roman" w:hAnsi="Times New Roman" w:cs="Times New Roman"/>
                <w:b/>
                <w:bCs/>
                <w:color w:val="000000"/>
                <w:kern w:val="0"/>
                <w:sz w:val="20"/>
                <w:szCs w:val="20"/>
                <w14:ligatures w14:val="none"/>
              </w:rPr>
              <w:t>Variable group</w:t>
            </w:r>
          </w:p>
        </w:tc>
        <w:tc>
          <w:tcPr>
            <w:tcW w:w="902" w:type="pct"/>
            <w:tcBorders>
              <w:top w:val="single" w:sz="4" w:space="0" w:color="auto"/>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b/>
                <w:bCs/>
                <w:color w:val="000000"/>
                <w:kern w:val="0"/>
                <w:sz w:val="20"/>
                <w:szCs w:val="20"/>
                <w14:ligatures w14:val="none"/>
              </w:rPr>
            </w:pPr>
            <w:r w:rsidRPr="00923EC2">
              <w:rPr>
                <w:rFonts w:ascii="Times New Roman" w:eastAsia="Times New Roman" w:hAnsi="Times New Roman" w:cs="Times New Roman"/>
                <w:b/>
                <w:bCs/>
                <w:color w:val="000000"/>
                <w:kern w:val="0"/>
                <w:sz w:val="20"/>
                <w:szCs w:val="20"/>
                <w14:ligatures w14:val="none"/>
              </w:rPr>
              <w:t>Variable</w:t>
            </w:r>
          </w:p>
        </w:tc>
        <w:tc>
          <w:tcPr>
            <w:tcW w:w="3379" w:type="pct"/>
            <w:tcBorders>
              <w:top w:val="single" w:sz="4" w:space="0" w:color="auto"/>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b/>
                <w:bCs/>
                <w:color w:val="000000"/>
                <w:kern w:val="0"/>
                <w:sz w:val="20"/>
                <w:szCs w:val="20"/>
                <w14:ligatures w14:val="none"/>
              </w:rPr>
            </w:pPr>
            <w:r w:rsidRPr="00923EC2">
              <w:rPr>
                <w:rFonts w:ascii="Times New Roman" w:eastAsia="Times New Roman" w:hAnsi="Times New Roman" w:cs="Times New Roman"/>
                <w:b/>
                <w:bCs/>
                <w:color w:val="000000"/>
                <w:kern w:val="0"/>
                <w:sz w:val="20"/>
                <w:szCs w:val="20"/>
                <w14:ligatures w14:val="none"/>
              </w:rPr>
              <w:t>Definition</w:t>
            </w:r>
          </w:p>
        </w:tc>
      </w:tr>
      <w:tr w:rsidR="002E0202" w:rsidRPr="003D1DE2" w:rsidTr="00A3745B">
        <w:trPr>
          <w:trHeight w:val="870"/>
        </w:trPr>
        <w:tc>
          <w:tcPr>
            <w:tcW w:w="719" w:type="pct"/>
            <w:vMerge w:val="restart"/>
            <w:tcBorders>
              <w:top w:val="nil"/>
              <w:left w:val="single" w:sz="4" w:space="0" w:color="auto"/>
              <w:bottom w:val="single" w:sz="4" w:space="0" w:color="000000"/>
              <w:right w:val="single" w:sz="4" w:space="0" w:color="auto"/>
            </w:tcBorders>
            <w:shd w:val="clear" w:color="auto" w:fill="auto"/>
            <w:vAlign w:val="center"/>
            <w:hideMark/>
          </w:tcPr>
          <w:p w:rsidR="002E0202" w:rsidRPr="00923EC2" w:rsidRDefault="002E0202" w:rsidP="00A3745B">
            <w:pPr>
              <w:spacing w:after="0" w:line="240" w:lineRule="auto"/>
              <w:jc w:val="center"/>
              <w:rPr>
                <w:rFonts w:ascii="Times New Roman" w:eastAsia="Times New Roman" w:hAnsi="Times New Roman" w:cs="Times New Roman"/>
                <w:color w:val="000000"/>
                <w:kern w:val="0"/>
                <w:sz w:val="18"/>
                <w:szCs w:val="18"/>
                <w14:ligatures w14:val="none"/>
              </w:rPr>
            </w:pPr>
            <w:r w:rsidRPr="00923EC2">
              <w:rPr>
                <w:rFonts w:ascii="Times New Roman" w:eastAsia="Times New Roman" w:hAnsi="Times New Roman" w:cs="Times New Roman"/>
                <w:color w:val="000000"/>
                <w:kern w:val="0"/>
                <w:sz w:val="18"/>
                <w:szCs w:val="18"/>
                <w14:ligatures w14:val="none"/>
              </w:rPr>
              <w:t>Rating-related variables</w:t>
            </w: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RATING</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Disclosure quality rating that equals 4, 3, 2, or 1 (corresponding to A, B, C, or D) in the order of descending quality. The assessment period is from May 1 to April 30 of next year (July 1 to June 30 of next year) for firms listed in Shenzhen (Shanghai).</w:t>
            </w:r>
          </w:p>
        </w:tc>
      </w:tr>
      <w:tr w:rsidR="002E0202" w:rsidRPr="003D1DE2" w:rsidTr="00A3745B">
        <w:trPr>
          <w:trHeight w:val="580"/>
        </w:trPr>
        <w:tc>
          <w:tcPr>
            <w:tcW w:w="719" w:type="pct"/>
            <w:vMerge/>
            <w:tcBorders>
              <w:top w:val="nil"/>
              <w:left w:val="single" w:sz="4" w:space="0" w:color="auto"/>
              <w:bottom w:val="single" w:sz="4" w:space="0" w:color="000000"/>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INFO</w:t>
            </w:r>
            <w:bookmarkStart w:id="0" w:name="_GoBack"/>
            <w:bookmarkEnd w:id="0"/>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Excess disclosure quality rating, calculated as the residual from regressing RATING on public signals of disclosure quality and firm characteristics.</w:t>
            </w:r>
          </w:p>
        </w:tc>
      </w:tr>
      <w:tr w:rsidR="002E0202" w:rsidRPr="003D1DE2" w:rsidTr="00A3745B">
        <w:trPr>
          <w:trHeight w:val="870"/>
        </w:trPr>
        <w:tc>
          <w:tcPr>
            <w:tcW w:w="719" w:type="pct"/>
            <w:vMerge/>
            <w:tcBorders>
              <w:top w:val="nil"/>
              <w:left w:val="single" w:sz="4" w:space="0" w:color="auto"/>
              <w:bottom w:val="single" w:sz="4" w:space="0" w:color="000000"/>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INFO_FE</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Another version of excess disclosure quality rating, calculated as the residual from regressing RATING on public signals of disclosure quality, firm characteristics, and firm fixed effects.</w:t>
            </w:r>
          </w:p>
        </w:tc>
      </w:tr>
      <w:tr w:rsidR="002E0202" w:rsidRPr="003D1DE2" w:rsidTr="00A3745B">
        <w:trPr>
          <w:trHeight w:val="290"/>
        </w:trPr>
        <w:tc>
          <w:tcPr>
            <w:tcW w:w="719" w:type="pct"/>
            <w:vMerge/>
            <w:tcBorders>
              <w:top w:val="nil"/>
              <w:left w:val="single" w:sz="4" w:space="0" w:color="auto"/>
              <w:bottom w:val="single" w:sz="4" w:space="0" w:color="000000"/>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QUALITY</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Estimated firm fixed effects from the regression to calculate INFO_FE.</w:t>
            </w:r>
          </w:p>
        </w:tc>
      </w:tr>
      <w:tr w:rsidR="002E0202" w:rsidRPr="003D1DE2" w:rsidTr="00A3745B">
        <w:trPr>
          <w:trHeight w:val="870"/>
        </w:trPr>
        <w:tc>
          <w:tcPr>
            <w:tcW w:w="719" w:type="pct"/>
            <w:vMerge/>
            <w:tcBorders>
              <w:top w:val="nil"/>
              <w:left w:val="single" w:sz="4" w:space="0" w:color="auto"/>
              <w:bottom w:val="single" w:sz="4" w:space="0" w:color="000000"/>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INFO_ROUND</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Another version of excess disclosure quality rating in discrete value, calculated as the real rating minus the rounded value of predicted rating based on the regression used for INFO.</w:t>
            </w:r>
          </w:p>
        </w:tc>
      </w:tr>
      <w:tr w:rsidR="002E0202" w:rsidRPr="003D1DE2" w:rsidTr="00A3745B">
        <w:trPr>
          <w:trHeight w:val="580"/>
        </w:trPr>
        <w:tc>
          <w:tcPr>
            <w:tcW w:w="719" w:type="pct"/>
            <w:vMerge w:val="restart"/>
            <w:tcBorders>
              <w:top w:val="nil"/>
              <w:left w:val="single" w:sz="4" w:space="0" w:color="auto"/>
              <w:bottom w:val="single" w:sz="4" w:space="0" w:color="auto"/>
              <w:right w:val="single" w:sz="4" w:space="0" w:color="auto"/>
            </w:tcBorders>
            <w:shd w:val="clear" w:color="auto" w:fill="auto"/>
            <w:vAlign w:val="center"/>
            <w:hideMark/>
          </w:tcPr>
          <w:p w:rsidR="002E0202" w:rsidRPr="00923EC2" w:rsidRDefault="002E0202" w:rsidP="00A3745B">
            <w:pPr>
              <w:spacing w:after="0" w:line="240" w:lineRule="auto"/>
              <w:jc w:val="center"/>
              <w:rPr>
                <w:rFonts w:ascii="Times New Roman" w:eastAsia="Times New Roman" w:hAnsi="Times New Roman" w:cs="Times New Roman"/>
                <w:color w:val="000000"/>
                <w:kern w:val="0"/>
                <w:sz w:val="18"/>
                <w:szCs w:val="18"/>
                <w14:ligatures w14:val="none"/>
              </w:rPr>
            </w:pPr>
            <w:r w:rsidRPr="00923EC2">
              <w:rPr>
                <w:rFonts w:ascii="Times New Roman" w:eastAsia="Times New Roman" w:hAnsi="Times New Roman" w:cs="Times New Roman"/>
                <w:color w:val="000000"/>
                <w:kern w:val="0"/>
                <w:sz w:val="18"/>
                <w:szCs w:val="18"/>
                <w14:ligatures w14:val="none"/>
              </w:rPr>
              <w:t>Determinants of disclosure quality ratings</w:t>
            </w: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EXCH</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receives a disciplinary action from its stock exchange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CSRC</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receives an enforcement action from the CSRC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ST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has "special treatment" status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ANNLETT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receives a comment letter on its annual report from its stock exchange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OTHLETTS</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ad-hoc comment letters on non-period filings received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MALETTS</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comment letters on merger and acquisition filings received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QUALIFIED</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receives a qualified (i.e., non-standard) audit opinion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AMEND</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amends any annual report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ICWEAK</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reports material internal control weaknesses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LATE</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does not provide its annual report on time (i.e., before April 30)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SHORTFALL</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firm's earnings are below 80% of its forecast earnings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ESGREPORT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provides an environmental, social and governance (ESG) or corporate social report (CSR) report during the assessment period.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DIVS</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times a firm pays cash dividends during the assessment period.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BRIEFINGS</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times a firm holds investor briefings during the assessment period.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AGE</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months from the listing date to the end of the assessment period.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SH</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(0) if a firm is listed in Shanghai (Shenzhen).</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LN_AT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Natural log of total assets.</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LEV</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Leverage calculated as total liabilities to total assets.</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ROA</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Return on assets calculated as net income to total assets.</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LOSS</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net income is negative.</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ACCRUALS</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Accruals (i.e., net income minus operating cash flow) divided by total assets.</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MB</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Market-to-book ratio calculated as market value of equity to book value of equity.</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RET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Buy-and-hold returns of a firm minus buy-and-hold market returns during the assessment period.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VOL</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Standard deviation of daily returns during the assessment period.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NUMSUSP</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times a firm suspends its stock trading during the assessment period.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ISSUE</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issues equity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RESTRUCT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attempts a restructuring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BIGAUD</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hires a big auditor. Big auditors are the top five accounting firms that audit the most public firms in a year.</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DUALITY</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firm's CEO and chairman of the board are the same person.</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BDSIZE</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directors on a firm's board.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BDINDIE</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Percentage of independent directors.</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SOE</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if a firm is a state-owned enterprise (i.e., largest shareholder is the state) during the assessment period.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CROSS</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that equals 1 a firm is cross-listed outside Mainland China during the assessment period.</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INST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Institutional ownership.</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ANA</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analysts following a firm.</w:t>
            </w:r>
          </w:p>
        </w:tc>
      </w:tr>
      <w:tr w:rsidR="002E0202" w:rsidRPr="003D1DE2" w:rsidTr="00A3745B">
        <w:trPr>
          <w:trHeight w:val="580"/>
        </w:trPr>
        <w:tc>
          <w:tcPr>
            <w:tcW w:w="719" w:type="pct"/>
            <w:tcBorders>
              <w:top w:val="nil"/>
              <w:left w:val="single" w:sz="4" w:space="0" w:color="auto"/>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r w:rsidRPr="00923EC2">
              <w:rPr>
                <w:rFonts w:ascii="Times New Roman" w:eastAsia="Times New Roman" w:hAnsi="Times New Roman" w:cs="Times New Roman"/>
                <w:color w:val="000000"/>
                <w:kern w:val="0"/>
                <w:sz w:val="18"/>
                <w:szCs w:val="18"/>
                <w14:ligatures w14:val="none"/>
              </w:rPr>
              <w:t> </w:t>
            </w: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CAR</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Three-day cumulative market-adjusted returns centered on the announcement of disclosure quality ratings.</w:t>
            </w:r>
          </w:p>
        </w:tc>
      </w:tr>
      <w:tr w:rsidR="002E0202" w:rsidRPr="003D1DE2" w:rsidTr="00A3745B">
        <w:trPr>
          <w:trHeight w:val="580"/>
        </w:trPr>
        <w:tc>
          <w:tcPr>
            <w:tcW w:w="719" w:type="pct"/>
            <w:vMerge w:val="restart"/>
            <w:tcBorders>
              <w:top w:val="nil"/>
              <w:left w:val="single" w:sz="4" w:space="0" w:color="auto"/>
              <w:bottom w:val="single" w:sz="4" w:space="0" w:color="auto"/>
              <w:right w:val="single" w:sz="4" w:space="0" w:color="auto"/>
            </w:tcBorders>
            <w:shd w:val="clear" w:color="auto" w:fill="auto"/>
            <w:vAlign w:val="center"/>
            <w:hideMark/>
          </w:tcPr>
          <w:p w:rsidR="002E0202" w:rsidRPr="00923EC2" w:rsidRDefault="002E0202" w:rsidP="00A3745B">
            <w:pPr>
              <w:spacing w:after="0" w:line="240" w:lineRule="auto"/>
              <w:jc w:val="center"/>
              <w:rPr>
                <w:rFonts w:ascii="Times New Roman" w:eastAsia="Times New Roman" w:hAnsi="Times New Roman" w:cs="Times New Roman"/>
                <w:color w:val="000000"/>
                <w:kern w:val="0"/>
                <w:sz w:val="18"/>
                <w:szCs w:val="18"/>
                <w14:ligatures w14:val="none"/>
              </w:rPr>
            </w:pPr>
            <w:r w:rsidRPr="00923EC2">
              <w:rPr>
                <w:rFonts w:ascii="Times New Roman" w:eastAsia="Times New Roman" w:hAnsi="Times New Roman" w:cs="Times New Roman"/>
                <w:color w:val="000000"/>
                <w:kern w:val="0"/>
                <w:sz w:val="18"/>
                <w:szCs w:val="18"/>
                <w14:ligatures w14:val="none"/>
              </w:rPr>
              <w:t>Market-based information quality measures</w:t>
            </w: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ZERORET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Number of zero</w:t>
            </w:r>
            <w:r>
              <w:rPr>
                <w:rFonts w:ascii="Times New Roman" w:eastAsia="Times New Roman" w:hAnsi="Times New Roman" w:cs="Times New Roman"/>
                <w:color w:val="000000"/>
                <w:kern w:val="0"/>
                <w:sz w:val="20"/>
                <w:szCs w:val="20"/>
                <w14:ligatures w14:val="none"/>
              </w:rPr>
              <w:t>-</w:t>
            </w:r>
            <w:r w:rsidRPr="00923EC2">
              <w:rPr>
                <w:rFonts w:ascii="Times New Roman" w:eastAsia="Times New Roman" w:hAnsi="Times New Roman" w:cs="Times New Roman"/>
                <w:color w:val="000000"/>
                <w:kern w:val="0"/>
                <w:sz w:val="20"/>
                <w:szCs w:val="20"/>
                <w14:ligatures w14:val="none"/>
              </w:rPr>
              <w:t>return days to number of total trading days during the assessment period.</w:t>
            </w:r>
          </w:p>
        </w:tc>
      </w:tr>
      <w:tr w:rsidR="002E0202" w:rsidRPr="003D1DE2" w:rsidTr="00A3745B">
        <w:trPr>
          <w:trHeight w:val="87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ILLIQ</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Average daily price impact of a trade during the assessment period. Daily price impact of a trade is measured as the absolute value of returns relative to the daily value traded (in billions of RMB).</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NCSKEW</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 </w:t>
            </w:r>
            <w:r w:rsidRPr="003D1DE2">
              <w:rPr>
                <w:rFonts w:ascii="Times New Roman" w:eastAsia="Times New Roman" w:hAnsi="Times New Roman" w:cs="Times New Roman"/>
                <w:color w:val="000000"/>
                <w:kern w:val="0"/>
                <w:sz w:val="20"/>
                <w:szCs w:val="20"/>
                <w14:ligatures w14:val="none"/>
              </w:rPr>
              <w:t xml:space="preserve">Negative coefficient of </w:t>
            </w:r>
            <w:proofErr w:type="spellStart"/>
            <w:r w:rsidRPr="003D1DE2">
              <w:rPr>
                <w:rFonts w:ascii="Times New Roman" w:eastAsia="Times New Roman" w:hAnsi="Times New Roman" w:cs="Times New Roman"/>
                <w:color w:val="000000"/>
                <w:kern w:val="0"/>
                <w:sz w:val="20"/>
                <w:szCs w:val="20"/>
                <w14:ligatures w14:val="none"/>
              </w:rPr>
              <w:t>skewness</w:t>
            </w:r>
            <w:proofErr w:type="spellEnd"/>
            <w:r w:rsidRPr="003D1DE2">
              <w:rPr>
                <w:rFonts w:ascii="Times New Roman" w:eastAsia="Times New Roman" w:hAnsi="Times New Roman" w:cs="Times New Roman"/>
                <w:color w:val="000000"/>
                <w:kern w:val="0"/>
                <w:sz w:val="20"/>
                <w:szCs w:val="20"/>
                <w14:ligatures w14:val="none"/>
              </w:rPr>
              <w:t xml:space="preserve">, </w:t>
            </w:r>
            <w:proofErr w:type="gramStart"/>
            <w:r w:rsidRPr="003D1DE2">
              <w:rPr>
                <w:rFonts w:ascii="Times New Roman" w:eastAsia="Times New Roman" w:hAnsi="Times New Roman" w:cs="Times New Roman"/>
                <w:color w:val="000000"/>
                <w:kern w:val="0"/>
                <w:sz w:val="20"/>
                <w:szCs w:val="20"/>
                <w14:ligatures w14:val="none"/>
              </w:rPr>
              <w:t xml:space="preserve">or </w:t>
            </w:r>
            <w:r w:rsidRPr="003D1DE2">
              <w:rPr>
                <w:rFonts w:ascii="Times New Roman" w:eastAsia="Times New Roman" w:hAnsi="Times New Roman" w:cs="Times New Roman"/>
                <w:color w:val="000000"/>
                <w:kern w:val="0"/>
                <w:position w:val="-42"/>
                <w:sz w:val="20"/>
                <w:szCs w:val="20"/>
                <w14:ligatures w14:val="none"/>
              </w:rPr>
              <w:object w:dxaOrig="256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5pt;height:45.25pt" o:ole="">
                  <v:imagedata r:id="rId6" o:title=""/>
                </v:shape>
                <o:OLEObject Type="Embed" ProgID="Equation.DSMT4" ShapeID="_x0000_i1025" DrawAspect="Content" ObjectID="_1805095062" r:id="rId7"/>
              </w:object>
            </w:r>
            <w:r w:rsidRPr="003D1DE2">
              <w:rPr>
                <w:rFonts w:ascii="Times New Roman" w:eastAsia="Times New Roman" w:hAnsi="Times New Roman" w:cs="Times New Roman"/>
                <w:color w:val="000000"/>
                <w:kern w:val="0"/>
                <w:sz w:val="20"/>
                <w:szCs w:val="20"/>
                <w14:ligatures w14:val="none"/>
              </w:rPr>
              <w:t xml:space="preserve"> , where </w:t>
            </w:r>
            <w:r w:rsidRPr="003D1DE2">
              <w:rPr>
                <w:rFonts w:ascii="Times New Roman" w:eastAsia="Times New Roman" w:hAnsi="Times New Roman" w:cs="Times New Roman"/>
                <w:color w:val="000000"/>
                <w:kern w:val="0"/>
                <w:position w:val="-16"/>
                <w:sz w:val="20"/>
                <w:szCs w:val="20"/>
                <w14:ligatures w14:val="none"/>
              </w:rPr>
              <w:object w:dxaOrig="1700" w:dyaOrig="440">
                <v:shape id="_x0000_i1026" type="#_x0000_t75" style="width:85.35pt;height:21.6pt" o:ole="">
                  <v:imagedata r:id="rId8" o:title=""/>
                </v:shape>
                <o:OLEObject Type="Embed" ProgID="Equation.DSMT4" ShapeID="_x0000_i1026" DrawAspect="Content" ObjectID="_1805095063" r:id="rId9"/>
              </w:object>
            </w:r>
            <w:r w:rsidRPr="003D1DE2">
              <w:rPr>
                <w:rFonts w:ascii="Times New Roman" w:eastAsia="Times New Roman" w:hAnsi="Times New Roman" w:cs="Times New Roman"/>
                <w:color w:val="000000"/>
                <w:kern w:val="0"/>
                <w:sz w:val="20"/>
                <w:szCs w:val="20"/>
                <w14:ligatures w14:val="none"/>
              </w:rPr>
              <w:t xml:space="preserve"> , and </w:t>
            </w:r>
            <w:r w:rsidRPr="003D1DE2">
              <w:rPr>
                <w:rFonts w:ascii="Times New Roman" w:hAnsi="Times New Roman" w:cs="Times New Roman"/>
                <w:position w:val="-14"/>
                <w:sz w:val="20"/>
                <w:szCs w:val="20"/>
              </w:rPr>
              <w:object w:dxaOrig="360" w:dyaOrig="380">
                <v:shape id="_x0000_i1027" type="#_x0000_t75" style="width:18.5pt;height:18.5pt" o:ole="">
                  <v:imagedata r:id="rId10" o:title=""/>
                </v:shape>
                <o:OLEObject Type="Embed" ProgID="Equation.DSMT4" ShapeID="_x0000_i1027" DrawAspect="Content" ObjectID="_1805095064" r:id="rId11"/>
              </w:object>
            </w:r>
            <w:r w:rsidRPr="003D1DE2">
              <w:rPr>
                <w:rFonts w:ascii="Times New Roman" w:eastAsia="Times New Roman" w:hAnsi="Times New Roman" w:cs="Times New Roman"/>
                <w:color w:val="000000"/>
                <w:kern w:val="0"/>
                <w:sz w:val="20"/>
                <w:szCs w:val="20"/>
                <w14:ligatures w14:val="none"/>
              </w:rPr>
              <w:t xml:space="preserve">is from the regression </w:t>
            </w:r>
            <w:r w:rsidRPr="003D1DE2">
              <w:rPr>
                <w:rFonts w:ascii="Times New Roman" w:eastAsia="Times New Roman" w:hAnsi="Times New Roman" w:cs="Times New Roman"/>
                <w:color w:val="000000"/>
                <w:kern w:val="0"/>
                <w:position w:val="-14"/>
                <w:sz w:val="20"/>
                <w:szCs w:val="20"/>
                <w14:ligatures w14:val="none"/>
              </w:rPr>
              <w:object w:dxaOrig="6300" w:dyaOrig="380">
                <v:shape id="_x0000_i1028" type="#_x0000_t75" style="width:314.75pt;height:18.5pt" o:ole="">
                  <v:imagedata r:id="rId12" o:title=""/>
                </v:shape>
                <o:OLEObject Type="Embed" ProgID="Equation.DSMT4" ShapeID="_x0000_i1028" DrawAspect="Content" ObjectID="_1805095065" r:id="rId13"/>
              </w:object>
            </w:r>
            <w:r w:rsidRPr="003D1DE2">
              <w:rPr>
                <w:rFonts w:ascii="Times New Roman" w:eastAsia="Times New Roman" w:hAnsi="Times New Roman" w:cs="Times New Roman"/>
                <w:color w:val="000000"/>
                <w:kern w:val="0"/>
                <w:sz w:val="20"/>
                <w:szCs w:val="20"/>
                <w14:ligatures w14:val="none"/>
              </w:rPr>
              <w:t xml:space="preserve"> during the assessment period. </w:t>
            </w:r>
            <w:r w:rsidRPr="003D1DE2">
              <w:rPr>
                <w:rFonts w:ascii="Times New Roman" w:hAnsi="Times New Roman" w:cs="Times New Roman"/>
                <w:position w:val="-14"/>
                <w:sz w:val="20"/>
                <w:szCs w:val="20"/>
              </w:rPr>
              <w:object w:dxaOrig="320" w:dyaOrig="380">
                <v:shape id="_x0000_i1029" type="#_x0000_t75" style="width:16.45pt;height:18.5pt" o:ole="">
                  <v:imagedata r:id="rId14" o:title=""/>
                </v:shape>
                <o:OLEObject Type="Embed" ProgID="Equation.DSMT4" ShapeID="_x0000_i1029" DrawAspect="Content" ObjectID="_1805095066" r:id="rId15"/>
              </w:object>
            </w:r>
            <w:r w:rsidRPr="003D1DE2">
              <w:rPr>
                <w:rFonts w:ascii="Times New Roman" w:eastAsia="Times New Roman" w:hAnsi="Times New Roman" w:cs="Times New Roman"/>
                <w:color w:val="000000"/>
                <w:kern w:val="0"/>
                <w:sz w:val="20"/>
                <w:szCs w:val="20"/>
                <w14:ligatures w14:val="none"/>
              </w:rPr>
              <w:t xml:space="preserve"> is a firm’s daily return on day d, and </w:t>
            </w:r>
            <w:r w:rsidRPr="003D1DE2">
              <w:rPr>
                <w:rFonts w:ascii="Times New Roman" w:hAnsi="Times New Roman" w:cs="Times New Roman"/>
                <w:position w:val="-14"/>
                <w:sz w:val="20"/>
                <w:szCs w:val="20"/>
              </w:rPr>
              <w:object w:dxaOrig="380" w:dyaOrig="380">
                <v:shape id="_x0000_i1030" type="#_x0000_t75" style="width:18.5pt;height:18.5pt" o:ole="">
                  <v:imagedata r:id="rId16" o:title=""/>
                </v:shape>
                <o:OLEObject Type="Embed" ProgID="Equation.DSMT4" ShapeID="_x0000_i1030" DrawAspect="Content" ObjectID="_1805095067" r:id="rId17"/>
              </w:object>
            </w:r>
            <w:r w:rsidRPr="003D1DE2">
              <w:rPr>
                <w:rFonts w:ascii="Times New Roman" w:eastAsia="Times New Roman" w:hAnsi="Times New Roman" w:cs="Times New Roman"/>
                <w:color w:val="000000"/>
                <w:kern w:val="0"/>
                <w:sz w:val="20"/>
                <w:szCs w:val="20"/>
                <w14:ligatures w14:val="none"/>
              </w:rPr>
              <w:t>is market return on day d.</w:t>
            </w:r>
          </w:p>
        </w:tc>
      </w:tr>
      <w:tr w:rsidR="002E0202" w:rsidRPr="003D1DE2" w:rsidTr="00A3745B">
        <w:trPr>
          <w:trHeight w:val="870"/>
        </w:trPr>
        <w:tc>
          <w:tcPr>
            <w:tcW w:w="719" w:type="pct"/>
            <w:vMerge w:val="restart"/>
            <w:tcBorders>
              <w:top w:val="nil"/>
              <w:left w:val="single" w:sz="4" w:space="0" w:color="auto"/>
              <w:bottom w:val="single" w:sz="4" w:space="0" w:color="auto"/>
              <w:right w:val="single" w:sz="4" w:space="0" w:color="auto"/>
            </w:tcBorders>
            <w:shd w:val="clear" w:color="auto" w:fill="auto"/>
            <w:vAlign w:val="center"/>
            <w:hideMark/>
          </w:tcPr>
          <w:p w:rsidR="002E0202" w:rsidRPr="00923EC2" w:rsidRDefault="002E0202" w:rsidP="00A3745B">
            <w:pPr>
              <w:spacing w:after="0" w:line="240" w:lineRule="auto"/>
              <w:jc w:val="center"/>
              <w:rPr>
                <w:rFonts w:ascii="Times New Roman" w:eastAsia="Times New Roman" w:hAnsi="Times New Roman" w:cs="Times New Roman"/>
                <w:color w:val="000000"/>
                <w:kern w:val="0"/>
                <w:sz w:val="18"/>
                <w:szCs w:val="18"/>
                <w14:ligatures w14:val="none"/>
              </w:rPr>
            </w:pPr>
            <w:r w:rsidRPr="00923EC2">
              <w:rPr>
                <w:rFonts w:ascii="Times New Roman" w:eastAsia="Times New Roman" w:hAnsi="Times New Roman" w:cs="Times New Roman"/>
                <w:color w:val="000000"/>
                <w:kern w:val="0"/>
                <w:sz w:val="18"/>
                <w:szCs w:val="18"/>
                <w14:ligatures w14:val="none"/>
              </w:rPr>
              <w:t>Accounting-based information quality measures</w:t>
            </w: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CONSERV</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Coefficient on the interaction between the return and the indicator of negative return plus the coefficient on the return, divided by the coefficient on the return, from the same regression used to calculate TIMELINESS.</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PERSIST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Coefficient on lagged net income from the regression of net income on lagged net income over a firm's previous ten years.</w:t>
            </w:r>
          </w:p>
        </w:tc>
      </w:tr>
      <w:tr w:rsidR="002E0202" w:rsidRPr="003D1DE2" w:rsidTr="00A3745B">
        <w:trPr>
          <w:trHeight w:val="1573"/>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18"/>
                <w:szCs w:val="18"/>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DD</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 xml:space="preserve">Accruals quality following the methodology in </w:t>
            </w:r>
            <w:proofErr w:type="spellStart"/>
            <w:r w:rsidRPr="00923EC2">
              <w:rPr>
                <w:rFonts w:ascii="Times New Roman" w:eastAsia="Times New Roman" w:hAnsi="Times New Roman" w:cs="Times New Roman"/>
                <w:color w:val="000000"/>
                <w:kern w:val="0"/>
                <w:sz w:val="20"/>
                <w:szCs w:val="20"/>
                <w14:ligatures w14:val="none"/>
              </w:rPr>
              <w:t>Dechow</w:t>
            </w:r>
            <w:proofErr w:type="spellEnd"/>
            <w:r w:rsidRPr="00923EC2">
              <w:rPr>
                <w:rFonts w:ascii="Times New Roman" w:eastAsia="Times New Roman" w:hAnsi="Times New Roman" w:cs="Times New Roman"/>
                <w:color w:val="000000"/>
                <w:kern w:val="0"/>
                <w:sz w:val="20"/>
                <w:szCs w:val="20"/>
                <w14:ligatures w14:val="none"/>
              </w:rPr>
              <w:t xml:space="preserve"> and </w:t>
            </w:r>
            <w:proofErr w:type="spellStart"/>
            <w:r w:rsidRPr="00923EC2">
              <w:rPr>
                <w:rFonts w:ascii="Times New Roman" w:eastAsia="Times New Roman" w:hAnsi="Times New Roman" w:cs="Times New Roman"/>
                <w:color w:val="000000"/>
                <w:kern w:val="0"/>
                <w:sz w:val="20"/>
                <w:szCs w:val="20"/>
                <w14:ligatures w14:val="none"/>
              </w:rPr>
              <w:t>Dichev</w:t>
            </w:r>
            <w:proofErr w:type="spellEnd"/>
            <w:r w:rsidRPr="00923EC2">
              <w:rPr>
                <w:rFonts w:ascii="Times New Roman" w:eastAsia="Times New Roman" w:hAnsi="Times New Roman" w:cs="Times New Roman"/>
                <w:color w:val="000000"/>
                <w:kern w:val="0"/>
                <w:sz w:val="20"/>
                <w:szCs w:val="20"/>
                <w14:ligatures w14:val="none"/>
              </w:rPr>
              <w:t xml:space="preserve"> (2002), measured as the standard deviation of residuals from the regression of total current accruals on lagged, current, and future operating cash flows (all scaled by total assets) over a firm's previous ten years. Total current accruals are total accruals (i.e., net income minus operating cash flow) plus depreciation and amortization expense.</w:t>
            </w:r>
          </w:p>
        </w:tc>
      </w:tr>
      <w:tr w:rsidR="002E0202" w:rsidRPr="003D1DE2" w:rsidTr="00A3745B">
        <w:trPr>
          <w:trHeight w:val="290"/>
        </w:trPr>
        <w:tc>
          <w:tcPr>
            <w:tcW w:w="719" w:type="pct"/>
            <w:vMerge w:val="restart"/>
            <w:tcBorders>
              <w:top w:val="nil"/>
              <w:left w:val="single" w:sz="4" w:space="0" w:color="auto"/>
              <w:bottom w:val="single" w:sz="4" w:space="0" w:color="auto"/>
              <w:right w:val="single" w:sz="4" w:space="0" w:color="auto"/>
            </w:tcBorders>
            <w:shd w:val="clear" w:color="auto" w:fill="auto"/>
            <w:vAlign w:val="center"/>
            <w:hideMark/>
          </w:tcPr>
          <w:p w:rsidR="002E0202" w:rsidRPr="00923EC2" w:rsidRDefault="002E0202" w:rsidP="00A3745B">
            <w:pPr>
              <w:spacing w:after="0" w:line="240" w:lineRule="auto"/>
              <w:jc w:val="center"/>
              <w:rPr>
                <w:rFonts w:ascii="Times New Roman" w:eastAsia="Times New Roman" w:hAnsi="Times New Roman" w:cs="Times New Roman"/>
                <w:color w:val="000000"/>
                <w:kern w:val="0"/>
                <w:sz w:val="18"/>
                <w:szCs w:val="18"/>
                <w14:ligatures w14:val="none"/>
              </w:rPr>
            </w:pPr>
            <w:r w:rsidRPr="00923EC2">
              <w:rPr>
                <w:rFonts w:ascii="Times New Roman" w:eastAsia="Times New Roman" w:hAnsi="Times New Roman" w:cs="Times New Roman"/>
                <w:color w:val="000000"/>
                <w:kern w:val="0"/>
                <w:sz w:val="18"/>
                <w:szCs w:val="18"/>
                <w14:ligatures w14:val="none"/>
              </w:rPr>
              <w:t>Future outcomes</w:t>
            </w: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F_INST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Institutional ownership in the year following a disclosure quality rating.</w:t>
            </w:r>
          </w:p>
        </w:tc>
      </w:tr>
      <w:tr w:rsidR="002E0202" w:rsidRPr="003D1DE2" w:rsidTr="00A3745B">
        <w:trPr>
          <w:trHeight w:val="29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F_ANA</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Analyst coverage in the year following a disclosure quality rating.</w:t>
            </w:r>
          </w:p>
        </w:tc>
      </w:tr>
      <w:tr w:rsidR="002E0202" w:rsidRPr="003D1DE2" w:rsidTr="00A3745B">
        <w:trPr>
          <w:trHeight w:val="116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F_FERRORS</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Analyst forecast errors in the year following a disclosure quality rating. Analyst forecast errors are calculated as the absolute value of actual EPS minus analyst consensus (i.e., the median value of the latest analyst EPS forecasts) to stock price at the fiscal year end.</w:t>
            </w:r>
          </w:p>
        </w:tc>
      </w:tr>
      <w:tr w:rsidR="002E0202" w:rsidRPr="003D1DE2" w:rsidTr="00A3745B">
        <w:trPr>
          <w:trHeight w:val="87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F_DISPERSION</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 xml:space="preserve">Analyst forecast dispersion in the year following a disclosure quality rating. Analyst forecast dispersion is the standard deviation of </w:t>
            </w:r>
            <w:proofErr w:type="gramStart"/>
            <w:r w:rsidRPr="00923EC2">
              <w:rPr>
                <w:rFonts w:ascii="Times New Roman" w:eastAsia="Times New Roman" w:hAnsi="Times New Roman" w:cs="Times New Roman"/>
                <w:color w:val="000000"/>
                <w:kern w:val="0"/>
                <w:sz w:val="20"/>
                <w:szCs w:val="20"/>
                <w14:ligatures w14:val="none"/>
              </w:rPr>
              <w:t xml:space="preserve">the </w:t>
            </w:r>
            <w:proofErr w:type="spellStart"/>
            <w:r w:rsidRPr="00923EC2">
              <w:rPr>
                <w:rFonts w:ascii="Times New Roman" w:eastAsia="Times New Roman" w:hAnsi="Times New Roman" w:cs="Times New Roman"/>
                <w:color w:val="000000"/>
                <w:kern w:val="0"/>
                <w:sz w:val="20"/>
                <w:szCs w:val="20"/>
                <w14:ligatures w14:val="none"/>
              </w:rPr>
              <w:t>lastest</w:t>
            </w:r>
            <w:proofErr w:type="spellEnd"/>
            <w:proofErr w:type="gramEnd"/>
            <w:r w:rsidRPr="00923EC2">
              <w:rPr>
                <w:rFonts w:ascii="Times New Roman" w:eastAsia="Times New Roman" w:hAnsi="Times New Roman" w:cs="Times New Roman"/>
                <w:color w:val="000000"/>
                <w:kern w:val="0"/>
                <w:sz w:val="20"/>
                <w:szCs w:val="20"/>
                <w14:ligatures w14:val="none"/>
              </w:rPr>
              <w:t xml:space="preserve"> analyst EPS forecasts to stock price at the fiscal year end.</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F_ENFORCE</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of a CSRC enforcement action or a disciplinary action from the stock exchange in the year following a disclosure quality rating.</w:t>
            </w:r>
          </w:p>
        </w:tc>
      </w:tr>
      <w:tr w:rsidR="002E0202" w:rsidRPr="003D1DE2" w:rsidTr="00A3745B">
        <w:trPr>
          <w:trHeight w:val="580"/>
        </w:trPr>
        <w:tc>
          <w:tcPr>
            <w:tcW w:w="719" w:type="pct"/>
            <w:vMerge/>
            <w:tcBorders>
              <w:top w:val="nil"/>
              <w:left w:val="single" w:sz="4" w:space="0" w:color="auto"/>
              <w:bottom w:val="single" w:sz="4" w:space="0" w:color="auto"/>
              <w:right w:val="single" w:sz="4" w:space="0" w:color="auto"/>
            </w:tcBorders>
            <w:vAlign w:val="center"/>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p>
        </w:tc>
        <w:tc>
          <w:tcPr>
            <w:tcW w:w="902" w:type="pct"/>
            <w:tcBorders>
              <w:top w:val="nil"/>
              <w:left w:val="nil"/>
              <w:bottom w:val="single" w:sz="4" w:space="0" w:color="auto"/>
              <w:right w:val="single" w:sz="4" w:space="0" w:color="auto"/>
            </w:tcBorders>
            <w:shd w:val="clear" w:color="auto" w:fill="auto"/>
            <w:noWrap/>
            <w:hideMark/>
          </w:tcPr>
          <w:p w:rsidR="002E0202" w:rsidRPr="00923EC2" w:rsidRDefault="002E0202" w:rsidP="00A3745B">
            <w:pPr>
              <w:spacing w:after="0" w:line="240" w:lineRule="auto"/>
              <w:rPr>
                <w:rFonts w:ascii="Times New Roman" w:eastAsia="Times New Roman" w:hAnsi="Times New Roman" w:cs="Times New Roman"/>
                <w:color w:val="000000"/>
                <w:kern w:val="0"/>
                <w:sz w:val="16"/>
                <w:szCs w:val="16"/>
                <w14:ligatures w14:val="none"/>
              </w:rPr>
            </w:pPr>
            <w:r w:rsidRPr="00923EC2">
              <w:rPr>
                <w:rFonts w:ascii="Times New Roman" w:eastAsia="Times New Roman" w:hAnsi="Times New Roman" w:cs="Times New Roman"/>
                <w:color w:val="000000"/>
                <w:kern w:val="0"/>
                <w:sz w:val="16"/>
                <w:szCs w:val="16"/>
                <w14:ligatures w14:val="none"/>
              </w:rPr>
              <w:t>F_ANNLETT</w:t>
            </w:r>
          </w:p>
        </w:tc>
        <w:tc>
          <w:tcPr>
            <w:tcW w:w="3379" w:type="pct"/>
            <w:tcBorders>
              <w:top w:val="nil"/>
              <w:left w:val="nil"/>
              <w:bottom w:val="single" w:sz="4" w:space="0" w:color="auto"/>
              <w:right w:val="single" w:sz="4" w:space="0" w:color="auto"/>
            </w:tcBorders>
            <w:shd w:val="clear" w:color="auto" w:fill="auto"/>
            <w:hideMark/>
          </w:tcPr>
          <w:p w:rsidR="002E0202" w:rsidRPr="00923EC2" w:rsidRDefault="002E0202" w:rsidP="00A3745B">
            <w:pPr>
              <w:spacing w:after="0" w:line="240" w:lineRule="auto"/>
              <w:rPr>
                <w:rFonts w:ascii="Times New Roman" w:eastAsia="Times New Roman" w:hAnsi="Times New Roman" w:cs="Times New Roman"/>
                <w:color w:val="000000"/>
                <w:kern w:val="0"/>
                <w:sz w:val="20"/>
                <w:szCs w:val="20"/>
                <w14:ligatures w14:val="none"/>
              </w:rPr>
            </w:pPr>
            <w:r w:rsidRPr="00923EC2">
              <w:rPr>
                <w:rFonts w:ascii="Times New Roman" w:eastAsia="Times New Roman" w:hAnsi="Times New Roman" w:cs="Times New Roman"/>
                <w:color w:val="000000"/>
                <w:kern w:val="0"/>
                <w:sz w:val="20"/>
                <w:szCs w:val="20"/>
                <w14:ligatures w14:val="none"/>
              </w:rPr>
              <w:t>Indicator of a comment letter on the annual report in the year following a disclosure quality rating.</w:t>
            </w:r>
          </w:p>
        </w:tc>
      </w:tr>
    </w:tbl>
    <w:p w:rsidR="002E0202" w:rsidRDefault="002E0202" w:rsidP="002E0202">
      <w:pPr>
        <w:rPr>
          <w:rFonts w:ascii="Times New Roman" w:hAnsi="Times New Roman" w:cs="Times New Roman"/>
          <w:b/>
          <w:bCs/>
        </w:rPr>
      </w:pPr>
    </w:p>
    <w:p w:rsidR="002E0202" w:rsidRPr="0073595B" w:rsidRDefault="002E0202" w:rsidP="002E0202">
      <w:pPr>
        <w:rPr>
          <w:rFonts w:ascii="Times New Roman" w:hAnsi="Times New Roman" w:cs="Times New Roman"/>
          <w:b/>
          <w:bCs/>
          <w:sz w:val="20"/>
          <w:szCs w:val="20"/>
        </w:rPr>
      </w:pPr>
      <w:r w:rsidRPr="0073595B">
        <w:rPr>
          <w:rFonts w:ascii="Times New Roman" w:hAnsi="Times New Roman" w:cs="Times New Roman"/>
          <w:b/>
          <w:bCs/>
          <w:sz w:val="20"/>
          <w:szCs w:val="20"/>
          <w:highlight w:val="yellow"/>
        </w:rPr>
        <w:t>Source(s): Table created by authors.</w:t>
      </w:r>
    </w:p>
    <w:p w:rsidR="002E0202" w:rsidRDefault="002E0202" w:rsidP="002E0202">
      <w:pPr>
        <w:rPr>
          <w:rFonts w:ascii="Times New Roman" w:hAnsi="Times New Roman" w:cs="Times New Roman"/>
          <w:b/>
          <w:bCs/>
        </w:rPr>
      </w:pPr>
    </w:p>
    <w:p w:rsidR="00F74CF1" w:rsidRDefault="002E0202"/>
    <w:sectPr w:rsidR="00F74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02"/>
    <w:rsid w:val="00161295"/>
    <w:rsid w:val="002E0202"/>
    <w:rsid w:val="007A32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202"/>
    <w:pPr>
      <w:spacing w:after="160" w:line="278" w:lineRule="auto"/>
    </w:pPr>
    <w:rPr>
      <w:rFonts w:eastAsiaTheme="minorEastAsia"/>
      <w:kern w:val="2"/>
      <w:sz w:val="24"/>
      <w:szCs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2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202"/>
    <w:pPr>
      <w:spacing w:after="160" w:line="278" w:lineRule="auto"/>
    </w:pPr>
    <w:rPr>
      <w:rFonts w:eastAsiaTheme="minorEastAsia"/>
      <w:kern w:val="2"/>
      <w:sz w:val="24"/>
      <w:szCs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s://docs.static.szse.cn/www/lawrules/rule/repeal/rules/W020250314648835009630.pdf" TargetMode="Externa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1978</Words>
  <Characters>11279</Characters>
  <Application>Microsoft Office Word</Application>
  <DocSecurity>0</DocSecurity>
  <Lines>93</Lines>
  <Paragraphs>26</Paragraphs>
  <ScaleCrop>false</ScaleCrop>
  <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 K M.</dc:creator>
  <cp:lastModifiedBy>Subha K M.</cp:lastModifiedBy>
  <cp:revision>1</cp:revision>
  <dcterms:created xsi:type="dcterms:W3CDTF">2025-04-02T04:52:00Z</dcterms:created>
  <dcterms:modified xsi:type="dcterms:W3CDTF">2025-04-02T04:52:00Z</dcterms:modified>
</cp:coreProperties>
</file>