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0CF" w:rsidRDefault="000D72BB">
      <w:pPr>
        <w:jc w:val="center"/>
        <w:rPr>
          <w:rFonts w:ascii="Times New Roman" w:hAnsi="Times New Roman" w:cs="Times New Roman"/>
          <w:b/>
          <w:bCs/>
          <w:sz w:val="24"/>
          <w:szCs w:val="24"/>
        </w:rPr>
      </w:pPr>
      <w:r>
        <w:rPr>
          <w:rFonts w:ascii="Times New Roman" w:hAnsi="Times New Roman" w:cs="Times New Roman"/>
          <w:b/>
          <w:bCs/>
          <w:sz w:val="24"/>
          <w:szCs w:val="24"/>
        </w:rPr>
        <w:t>Appendix</w:t>
      </w:r>
    </w:p>
    <w:p w:rsidR="000710CF" w:rsidRDefault="000D72BB">
      <w:pPr>
        <w:jc w:val="center"/>
        <w:rPr>
          <w:rFonts w:ascii="Times New Roman" w:hAnsi="Times New Roman" w:cs="Times New Roman"/>
          <w:b/>
          <w:bCs/>
          <w:sz w:val="24"/>
          <w:szCs w:val="24"/>
        </w:rPr>
      </w:pPr>
      <w:r>
        <w:rPr>
          <w:rFonts w:ascii="Times New Roman" w:hAnsi="Times New Roman" w:cs="Times New Roman"/>
          <w:b/>
          <w:bCs/>
          <w:sz w:val="24"/>
          <w:szCs w:val="24"/>
        </w:rPr>
        <w:t>Table A1: Variable Definitions</w:t>
      </w:r>
    </w:p>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2"/>
        <w:gridCol w:w="7497"/>
      </w:tblGrid>
      <w:tr w:rsidR="000710CF">
        <w:trPr>
          <w:jc w:val="center"/>
        </w:trPr>
        <w:tc>
          <w:tcPr>
            <w:tcW w:w="2142" w:type="dxa"/>
            <w:tcBorders>
              <w:top w:val="single" w:sz="4" w:space="0" w:color="auto"/>
              <w:bottom w:val="single" w:sz="4" w:space="0" w:color="auto"/>
            </w:tcBorders>
          </w:tcPr>
          <w:p w:rsidR="000710CF" w:rsidRDefault="000D72BB">
            <w:pPr>
              <w:spacing w:after="0" w:line="240" w:lineRule="auto"/>
              <w:rPr>
                <w:rFonts w:ascii="Times New Roman" w:eastAsia="Calibri" w:hAnsi="Times New Roman" w:cs="Times New Roman"/>
                <w:b/>
                <w:bCs/>
                <w:i/>
                <w:iCs/>
                <w:sz w:val="20"/>
                <w:szCs w:val="20"/>
              </w:rPr>
            </w:pPr>
            <w:r>
              <w:rPr>
                <w:rFonts w:ascii="Times New Roman" w:eastAsia="Calibri" w:hAnsi="Times New Roman" w:cs="Times New Roman"/>
                <w:b/>
                <w:bCs/>
                <w:i/>
                <w:iCs/>
                <w:sz w:val="20"/>
                <w:szCs w:val="20"/>
              </w:rPr>
              <w:t>Variables</w:t>
            </w:r>
          </w:p>
        </w:tc>
        <w:tc>
          <w:tcPr>
            <w:tcW w:w="7497" w:type="dxa"/>
            <w:tcBorders>
              <w:top w:val="single" w:sz="4" w:space="0" w:color="auto"/>
              <w:bottom w:val="single" w:sz="4" w:space="0" w:color="auto"/>
            </w:tcBorders>
          </w:tcPr>
          <w:p w:rsidR="000710CF" w:rsidRDefault="000D72BB">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Definitions</w:t>
            </w:r>
          </w:p>
        </w:tc>
      </w:tr>
      <w:tr w:rsidR="000710CF">
        <w:trPr>
          <w:jc w:val="center"/>
        </w:trPr>
        <w:tc>
          <w:tcPr>
            <w:tcW w:w="2142" w:type="dxa"/>
            <w:tcBorders>
              <w:top w:val="single" w:sz="4" w:space="0" w:color="auto"/>
            </w:tcBorders>
          </w:tcPr>
          <w:p w:rsidR="000710CF" w:rsidRDefault="000D72BB">
            <w:pPr>
              <w:spacing w:after="0" w:line="240" w:lineRule="auto"/>
              <w:rPr>
                <w:rFonts w:ascii="Times New Roman" w:hAnsi="Times New Roman" w:cs="Times New Roman"/>
                <w:i/>
                <w:iCs/>
                <w:sz w:val="20"/>
                <w:szCs w:val="20"/>
              </w:rPr>
            </w:pPr>
            <w:r>
              <w:rPr>
                <w:rFonts w:ascii="Times New Roman" w:eastAsia="Calibri" w:hAnsi="Times New Roman" w:cs="Times New Roman"/>
                <w:i/>
                <w:iCs/>
                <w:sz w:val="20"/>
                <w:szCs w:val="20"/>
              </w:rPr>
              <w:t>CAR(-1,+1)</w:t>
            </w:r>
          </w:p>
        </w:tc>
        <w:tc>
          <w:tcPr>
            <w:tcW w:w="7497" w:type="dxa"/>
            <w:tcBorders>
              <w:top w:val="single" w:sz="4" w:space="0" w:color="auto"/>
            </w:tcBorders>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Cumulative Abnormal Returns (CARs) are the sum of daily abnormal returns over the three-day event window [-1,+1]. </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TP∆/P</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i/>
                <w:iCs/>
                <w:sz w:val="20"/>
                <w:szCs w:val="20"/>
              </w:rPr>
              <w:t>TP∆/P</w:t>
            </w:r>
            <w:r>
              <w:rPr>
                <w:rFonts w:ascii="Times New Roman" w:eastAsia="Calibri" w:hAnsi="Times New Roman" w:cs="Times New Roman"/>
                <w:sz w:val="20"/>
                <w:szCs w:val="20"/>
              </w:rPr>
              <w:t xml:space="preserve"> is the new target price minus the previous target price outstanding by the same analyst divided by the pre-announcement stock price.</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LT (%)</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Four-quarter average proportion of outstanding shares held by long-term investors.</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LT Indexer (%)</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Four-quarter average proportion of outstanding shares held by long-term indexers. </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LT Non-Indexer (%)</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Four-quarter average proportion of outstanding shares held by long-term non-indexers.</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Dedicated (%)</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Four-quarter average proportion of outstanding share</w:t>
            </w:r>
            <w:r>
              <w:rPr>
                <w:rFonts w:ascii="Times New Roman" w:eastAsia="Calibri" w:hAnsi="Times New Roman" w:cs="Times New Roman"/>
                <w:sz w:val="20"/>
                <w:szCs w:val="20"/>
              </w:rPr>
              <w:t>s held by dedicated institutional investors.</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Transient (%)</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Four-quarter average proportion of outstanding shares held by transient institutional investors.</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LT Motivated (%)</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Four-quarter average proportion of outstanding shares held by long-term motivated investors. </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LT Non-Motivated (%)</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Four-quarter average proportion of outstanding shares held by long-term non-motivated investors.</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vertAlign w:val="subscript"/>
              </w:rPr>
            </w:pPr>
            <w:r>
              <w:rPr>
                <w:rFonts w:ascii="Times New Roman" w:eastAsia="Calibri" w:hAnsi="Times New Roman" w:cs="Times New Roman"/>
                <w:i/>
                <w:iCs/>
                <w:sz w:val="20"/>
                <w:szCs w:val="20"/>
              </w:rPr>
              <w:t>Treat</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An indicator variable equal to 1 if </w:t>
            </w:r>
            <w:r>
              <w:rPr>
                <w:rFonts w:ascii="Times New Roman" w:eastAsia="Calibri" w:hAnsi="Times New Roman" w:cs="Times New Roman"/>
                <w:sz w:val="20"/>
                <w:szCs w:val="20"/>
              </w:rPr>
              <w:t>the firm is a treatment firm and 0 otherwise for a control firm. A treatment firm is defined as blockheld by one of the merging institutions during the quarter immediately before the merger announcement date, and at least one of its same industry rivals is</w:t>
            </w:r>
            <w:r>
              <w:rPr>
                <w:rFonts w:ascii="Times New Roman" w:eastAsia="Calibri" w:hAnsi="Times New Roman" w:cs="Times New Roman"/>
                <w:sz w:val="20"/>
                <w:szCs w:val="20"/>
              </w:rPr>
              <w:t xml:space="preserve"> blockheld by the other party to the merger during the same pre-merger quarter. A control firm is defined as blockheld by the same merging institution (blockholding the treatment firm) during the quarter immediately before the merger announcement date, and</w:t>
            </w:r>
            <w:r>
              <w:rPr>
                <w:rFonts w:ascii="Times New Roman" w:eastAsia="Calibri" w:hAnsi="Times New Roman" w:cs="Times New Roman"/>
                <w:sz w:val="20"/>
                <w:szCs w:val="20"/>
              </w:rPr>
              <w:t xml:space="preserve"> one of its same industry rivals is not blockheld by the other party to the merger during the same pre-merger quarter (He &amp; Huang, 2017).</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vertAlign w:val="subscript"/>
              </w:rPr>
            </w:pPr>
            <w:r>
              <w:rPr>
                <w:rFonts w:ascii="Times New Roman" w:eastAsia="Calibri" w:hAnsi="Times New Roman" w:cs="Times New Roman"/>
                <w:i/>
                <w:iCs/>
                <w:sz w:val="20"/>
                <w:szCs w:val="20"/>
              </w:rPr>
              <w:t>Post</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An indicator variable equal to 1 for the post-event period and 0 otherwise.</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S&amp;P 500</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An indicator variable equal</w:t>
            </w:r>
            <w:r>
              <w:rPr>
                <w:rFonts w:ascii="Times New Roman" w:eastAsia="Calibri" w:hAnsi="Times New Roman" w:cs="Times New Roman"/>
                <w:sz w:val="20"/>
                <w:szCs w:val="20"/>
              </w:rPr>
              <w:t xml:space="preserve"> to 1 if a firm is included in the S&amp;P 500 index and 0 otherwise.</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IO</w:t>
            </w:r>
          </w:p>
        </w:tc>
        <w:tc>
          <w:tcPr>
            <w:tcW w:w="7497" w:type="dxa"/>
          </w:tcPr>
          <w:p w:rsidR="000710CF" w:rsidRDefault="000D72BB">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sz w:val="20"/>
                <w:szCs w:val="20"/>
              </w:rPr>
              <w:t>Institutional ownership is the fraction of the outstanding shares owned by institutional investors and calculated at the end of the calendar quarter.</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Ext Fin</w:t>
            </w:r>
          </w:p>
        </w:tc>
        <w:tc>
          <w:tcPr>
            <w:tcW w:w="7497" w:type="dxa"/>
          </w:tcPr>
          <w:p w:rsidR="000710CF" w:rsidRDefault="000D72BB">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sz w:val="20"/>
                <w:szCs w:val="20"/>
              </w:rPr>
              <w:t>External financing activity</w:t>
            </w:r>
            <w:r>
              <w:rPr>
                <w:rFonts w:ascii="Times New Roman" w:eastAsia="Calibri" w:hAnsi="Times New Roman" w:cs="Times New Roman"/>
                <w:sz w:val="20"/>
                <w:szCs w:val="20"/>
              </w:rPr>
              <w:t xml:space="preserve"> of a firm based on the most recent fiscal year (Bradshaw et al., 2006).</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Coverage</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Natural logarithm of the number of analysts covering a specific firm in the previous calendar year. </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Dispersion</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Standard deviation of quarterly forecasts making up the final consensus scaled by the absolute value of the mean estimate.   </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Size</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Natural logarithm of the market capitalization of common equity at the end of last June. </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Broker Size</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Natural logarithm of </w:t>
            </w:r>
            <w:r>
              <w:rPr>
                <w:rFonts w:ascii="Times New Roman" w:eastAsia="Calibri" w:hAnsi="Times New Roman" w:cs="Times New Roman"/>
                <w:sz w:val="20"/>
                <w:szCs w:val="20"/>
              </w:rPr>
              <w:t xml:space="preserve">the number of analysts listed under a particular brokerage as per the I/B/E/S “detail file” in the previous calendar year. </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B/M</w:t>
            </w:r>
          </w:p>
        </w:tc>
        <w:tc>
          <w:tcPr>
            <w:tcW w:w="7497" w:type="dxa"/>
          </w:tcPr>
          <w:p w:rsidR="000710CF" w:rsidRDefault="000D72BB">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sz w:val="20"/>
                <w:szCs w:val="20"/>
              </w:rPr>
              <w:t>Book value to the market value of common equity at the end of last June.</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Experience</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The number of quarters elapsed for each analyst since the first quarter they were listed on the I/B/E/S. </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Leverage</w:t>
            </w:r>
          </w:p>
        </w:tc>
        <w:tc>
          <w:tcPr>
            <w:tcW w:w="7497" w:type="dxa"/>
          </w:tcPr>
          <w:p w:rsidR="000710CF" w:rsidRDefault="000D72BB">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sz w:val="20"/>
                <w:szCs w:val="20"/>
              </w:rPr>
              <w:t xml:space="preserve">Total debt to total assets for the most recent quarter. </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w:t>
            </w:r>
            <w:r>
              <w:rPr>
                <w:rFonts w:ascii="Times New Roman" w:eastAsia="Calibri" w:hAnsi="Times New Roman" w:cs="Times New Roman"/>
                <w:i/>
                <w:iCs/>
                <w:sz w:val="20"/>
                <w:szCs w:val="20"/>
              </w:rPr>
              <w:t>VIX</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Change in the VIX index over the event window. </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EPS Frsct</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An indicator varia</w:t>
            </w:r>
            <w:r>
              <w:rPr>
                <w:rFonts w:ascii="Times New Roman" w:eastAsia="Calibri" w:hAnsi="Times New Roman" w:cs="Times New Roman"/>
                <w:sz w:val="20"/>
                <w:szCs w:val="20"/>
              </w:rPr>
              <w:t xml:space="preserve">ble equal to 1 if the target price forecast was accompanied by an EPS forecast and 0 otherwise. </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Recession</w:t>
            </w:r>
          </w:p>
        </w:tc>
        <w:tc>
          <w:tcPr>
            <w:tcW w:w="7497" w:type="dxa"/>
          </w:tcPr>
          <w:p w:rsidR="000710CF" w:rsidRDefault="000D72BB">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sz w:val="20"/>
                <w:szCs w:val="20"/>
              </w:rPr>
              <w:t>An indicator variable equal to 1 if the target price forecast was issued in a recessionary period as per the NBER and 0 otherwise.</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SIR</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The number o</w:t>
            </w:r>
            <w:r>
              <w:rPr>
                <w:rFonts w:ascii="Times New Roman" w:eastAsia="Calibri" w:hAnsi="Times New Roman" w:cs="Times New Roman"/>
                <w:sz w:val="20"/>
                <w:szCs w:val="20"/>
              </w:rPr>
              <w:t xml:space="preserve">f shares shorted divided by outstanding shares at the end of last June. </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Momentum</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Momentum is the month t-12 to t-2 buy-and-hold return.</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High Experience</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An indicator variable equal to 1 if the analyst experience in quarters is placed in the top tercile </w:t>
            </w:r>
            <w:r>
              <w:rPr>
                <w:rFonts w:ascii="Times New Roman" w:eastAsia="Calibri" w:hAnsi="Times New Roman" w:cs="Times New Roman"/>
                <w:sz w:val="20"/>
                <w:szCs w:val="20"/>
              </w:rPr>
              <w:t>and 0 otherwise.</w:t>
            </w:r>
          </w:p>
        </w:tc>
      </w:tr>
      <w:tr w:rsidR="000710CF">
        <w:trPr>
          <w:jc w:val="center"/>
        </w:trPr>
        <w:tc>
          <w:tcPr>
            <w:tcW w:w="2142" w:type="dxa"/>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Large Broker</w:t>
            </w:r>
          </w:p>
        </w:tc>
        <w:tc>
          <w:tcPr>
            <w:tcW w:w="7497" w:type="dxa"/>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An indicator variable equal to 1 if the brokerage size is in the top tercile and 0 otherwise.</w:t>
            </w:r>
          </w:p>
        </w:tc>
      </w:tr>
      <w:tr w:rsidR="000710CF">
        <w:trPr>
          <w:jc w:val="center"/>
        </w:trPr>
        <w:tc>
          <w:tcPr>
            <w:tcW w:w="2142" w:type="dxa"/>
            <w:tcBorders>
              <w:bottom w:val="single" w:sz="4" w:space="0" w:color="auto"/>
            </w:tcBorders>
          </w:tcPr>
          <w:p w:rsidR="000710CF" w:rsidRDefault="000D72BB">
            <w:pPr>
              <w:spacing w:after="0" w:line="240" w:lineRule="auto"/>
              <w:rPr>
                <w:rFonts w:ascii="Times New Roman" w:eastAsia="Calibri" w:hAnsi="Times New Roman" w:cs="Times New Roman"/>
                <w:i/>
                <w:iCs/>
                <w:sz w:val="20"/>
                <w:szCs w:val="20"/>
              </w:rPr>
            </w:pPr>
            <w:r>
              <w:rPr>
                <w:rFonts w:ascii="Times New Roman" w:eastAsia="Calibri" w:hAnsi="Times New Roman" w:cs="Times New Roman"/>
                <w:i/>
                <w:iCs/>
                <w:sz w:val="20"/>
                <w:szCs w:val="20"/>
              </w:rPr>
              <w:t>High Past Accuracy</w:t>
            </w:r>
          </w:p>
        </w:tc>
        <w:tc>
          <w:tcPr>
            <w:tcW w:w="7497" w:type="dxa"/>
            <w:tcBorders>
              <w:bottom w:val="single" w:sz="4" w:space="0" w:color="auto"/>
            </w:tcBorders>
          </w:tcPr>
          <w:p w:rsidR="000710CF" w:rsidRDefault="000D72B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An indicator variable equal to 1 if the relative accuracy is placed in the top tercile and 0 otherwise. The relative earnings accuracy is measured according to Hong et al. (2000) for an analyst during time </w:t>
            </w:r>
            <w:r>
              <w:rPr>
                <w:rFonts w:ascii="Times New Roman" w:eastAsia="Calibri" w:hAnsi="Times New Roman" w:cs="Times New Roman"/>
                <w:i/>
                <w:iCs/>
                <w:sz w:val="20"/>
                <w:szCs w:val="20"/>
              </w:rPr>
              <w:t>t</w:t>
            </w:r>
            <w:r>
              <w:rPr>
                <w:rFonts w:ascii="Times New Roman" w:eastAsia="Calibri" w:hAnsi="Times New Roman" w:cs="Times New Roman"/>
                <w:sz w:val="20"/>
                <w:szCs w:val="20"/>
              </w:rPr>
              <w:t>.</w:t>
            </w:r>
          </w:p>
        </w:tc>
      </w:tr>
    </w:tbl>
    <w:p w:rsidR="000710CF" w:rsidRDefault="000710CF">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rsidR="000710CF" w:rsidRDefault="000710CF">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rsidR="000710CF" w:rsidRDefault="000D72BB">
      <w:pPr>
        <w:widowControl w:val="0"/>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Table A2: Quasi-Natural Experiment and Long-term Institutional Shareholdings </w:t>
      </w:r>
    </w:p>
    <w:p w:rsidR="000710CF" w:rsidRDefault="000710CF">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rsidR="000710CF" w:rsidRDefault="000D72BB">
      <w:pPr>
        <w:widowControl w:val="0"/>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0"/>
          <w:szCs w:val="20"/>
        </w:rPr>
        <w:t>This table estimates the effect of the merger of two financial institutions (Column (1)) and the inclusion of a firm in the S&amp;P 500 index (Column (2)) on long-term institutional</w:t>
      </w:r>
      <w:r>
        <w:rPr>
          <w:rFonts w:ascii="Times New Roman" w:eastAsia="Times New Roman" w:hAnsi="Times New Roman" w:cs="Times New Roman"/>
          <w:sz w:val="20"/>
          <w:szCs w:val="20"/>
        </w:rPr>
        <w:t xml:space="preserve"> shareholdings (LT (%)) and the sensitivity of long-term institutional shareholdings to target price revisions (</w:t>
      </w:r>
      <w:r>
        <w:rPr>
          <w:rFonts w:ascii="Times New Roman" w:eastAsiaTheme="minorEastAsia" w:hAnsi="Times New Roman" w:cs="Times New Roman"/>
          <w:sz w:val="20"/>
          <w:szCs w:val="20"/>
        </w:rPr>
        <w:t>LT (%) × TP∆/P)</w:t>
      </w:r>
      <w:r>
        <w:rPr>
          <w:rFonts w:ascii="Times New Roman" w:eastAsia="Times New Roman" w:hAnsi="Times New Roman" w:cs="Times New Roman"/>
          <w:sz w:val="20"/>
          <w:szCs w:val="20"/>
        </w:rPr>
        <w:t>. All the variables are defined in the Appendix. The t-statistics are reported in parentheses. Standard errors are clustered at t</w:t>
      </w:r>
      <w:r>
        <w:rPr>
          <w:rFonts w:ascii="Times New Roman" w:eastAsia="Times New Roman" w:hAnsi="Times New Roman" w:cs="Times New Roman"/>
          <w:sz w:val="20"/>
          <w:szCs w:val="20"/>
        </w:rPr>
        <w:t>he firm level. *, ** and *** denote statistical significance for the coefficients at 10%, 5% and 1% respectively.</w:t>
      </w:r>
      <w:r>
        <w:rPr>
          <w:rFonts w:ascii="Times New Roman" w:eastAsia="Times New Roman" w:hAnsi="Times New Roman" w:cs="Times New Roman"/>
          <w:b/>
          <w:bCs/>
          <w:sz w:val="24"/>
          <w:szCs w:val="24"/>
        </w:rPr>
        <w:t xml:space="preserve"> </w:t>
      </w:r>
    </w:p>
    <w:p w:rsidR="000710CF" w:rsidRDefault="000710CF">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tbl>
      <w:tblPr>
        <w:tblStyle w:val="TableGrid"/>
        <w:tblW w:w="949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29"/>
        <w:gridCol w:w="2362"/>
        <w:gridCol w:w="1700"/>
        <w:gridCol w:w="1700"/>
        <w:gridCol w:w="1701"/>
      </w:tblGrid>
      <w:tr w:rsidR="000710CF">
        <w:trPr>
          <w:trHeight w:val="228"/>
          <w:jc w:val="center"/>
        </w:trPr>
        <w:tc>
          <w:tcPr>
            <w:tcW w:w="2029" w:type="dxa"/>
            <w:tcBorders>
              <w:top w:val="single" w:sz="4" w:space="0" w:color="auto"/>
              <w:bottom w:val="single" w:sz="4" w:space="0" w:color="auto"/>
            </w:tcBorders>
          </w:tcPr>
          <w:p w:rsidR="000710CF" w:rsidRDefault="000710CF">
            <w:pPr>
              <w:widowControl w:val="0"/>
              <w:autoSpaceDE w:val="0"/>
              <w:autoSpaceDN w:val="0"/>
              <w:adjustRightInd w:val="0"/>
              <w:spacing w:after="0" w:line="240" w:lineRule="auto"/>
              <w:rPr>
                <w:rFonts w:ascii="Times New Roman" w:hAnsi="Times New Roman" w:cs="Times New Roman"/>
                <w:b/>
                <w:bCs/>
                <w:sz w:val="20"/>
                <w:szCs w:val="20"/>
              </w:rPr>
            </w:pPr>
            <w:bookmarkStart w:id="0" w:name="_Hlk181967049"/>
          </w:p>
        </w:tc>
        <w:tc>
          <w:tcPr>
            <w:tcW w:w="4062" w:type="dxa"/>
            <w:gridSpan w:val="2"/>
            <w:tcBorders>
              <w:top w:val="single" w:sz="4" w:space="0" w:color="auto"/>
              <w:bottom w:val="single" w:sz="4" w:space="0" w:color="auto"/>
            </w:tcBorders>
          </w:tcPr>
          <w:p w:rsidR="000710CF" w:rsidRDefault="000D72BB">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w:t>
            </w:r>
          </w:p>
        </w:tc>
        <w:tc>
          <w:tcPr>
            <w:tcW w:w="3401" w:type="dxa"/>
            <w:gridSpan w:val="2"/>
            <w:tcBorders>
              <w:top w:val="single" w:sz="4" w:space="0" w:color="auto"/>
              <w:bottom w:val="single" w:sz="4" w:space="0" w:color="auto"/>
            </w:tcBorders>
          </w:tcPr>
          <w:p w:rsidR="000710CF" w:rsidRDefault="000D72BB">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w:t>
            </w:r>
          </w:p>
        </w:tc>
      </w:tr>
      <w:tr w:rsidR="000710CF">
        <w:trPr>
          <w:trHeight w:val="177"/>
          <w:jc w:val="center"/>
        </w:trPr>
        <w:tc>
          <w:tcPr>
            <w:tcW w:w="2029" w:type="dxa"/>
            <w:tcBorders>
              <w:top w:val="single" w:sz="4" w:space="0" w:color="auto"/>
              <w:bottom w:val="single" w:sz="4" w:space="0" w:color="auto"/>
            </w:tcBorders>
          </w:tcPr>
          <w:p w:rsidR="000710CF" w:rsidRDefault="000D72BB">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Variables</w:t>
            </w:r>
          </w:p>
        </w:tc>
        <w:tc>
          <w:tcPr>
            <w:tcW w:w="2362" w:type="dxa"/>
            <w:tcBorders>
              <w:top w:val="single" w:sz="4" w:space="0" w:color="auto"/>
              <w:bottom w:val="single" w:sz="4" w:space="0" w:color="auto"/>
            </w:tcBorders>
          </w:tcPr>
          <w:p w:rsidR="000710CF" w:rsidRDefault="000D72BB">
            <w:pPr>
              <w:widowControl w:val="0"/>
              <w:autoSpaceDE w:val="0"/>
              <w:autoSpaceDN w:val="0"/>
              <w:adjustRightInd w:val="0"/>
              <w:spacing w:after="0" w:line="240" w:lineRule="auto"/>
              <w:jc w:val="center"/>
              <w:rPr>
                <w:rFonts w:ascii="Times New Roman" w:eastAsiaTheme="minorEastAsia" w:hAnsi="Times New Roman" w:cs="Times New Roman"/>
                <w:b/>
                <w:bCs/>
                <w:sz w:val="20"/>
                <w:szCs w:val="20"/>
              </w:rPr>
            </w:pPr>
            <w:r>
              <w:rPr>
                <w:rFonts w:ascii="Times New Roman" w:eastAsiaTheme="minorEastAsia" w:hAnsi="Times New Roman" w:cs="Times New Roman"/>
                <w:b/>
                <w:bCs/>
                <w:sz w:val="20"/>
                <w:szCs w:val="20"/>
              </w:rPr>
              <w:t>LT (%)</w:t>
            </w:r>
          </w:p>
        </w:tc>
        <w:tc>
          <w:tcPr>
            <w:tcW w:w="1700" w:type="dxa"/>
            <w:tcBorders>
              <w:top w:val="single" w:sz="4" w:space="0" w:color="auto"/>
              <w:bottom w:val="single" w:sz="4" w:space="0" w:color="auto"/>
            </w:tcBorders>
          </w:tcPr>
          <w:p w:rsidR="000710CF" w:rsidRDefault="000D72BB">
            <w:pPr>
              <w:widowControl w:val="0"/>
              <w:autoSpaceDE w:val="0"/>
              <w:autoSpaceDN w:val="0"/>
              <w:adjustRightInd w:val="0"/>
              <w:spacing w:after="0" w:line="240" w:lineRule="auto"/>
              <w:jc w:val="center"/>
              <w:rPr>
                <w:rFonts w:ascii="Times New Roman" w:eastAsiaTheme="minorEastAsia" w:hAnsi="Times New Roman" w:cs="Times New Roman"/>
                <w:b/>
                <w:bCs/>
                <w:sz w:val="20"/>
                <w:szCs w:val="20"/>
              </w:rPr>
            </w:pPr>
            <w:r>
              <w:rPr>
                <w:rFonts w:ascii="Times New Roman" w:eastAsiaTheme="minorEastAsia" w:hAnsi="Times New Roman" w:cs="Times New Roman"/>
                <w:b/>
                <w:bCs/>
                <w:sz w:val="20"/>
                <w:szCs w:val="20"/>
              </w:rPr>
              <w:t>LT (%) × TP∆/P</w:t>
            </w:r>
          </w:p>
        </w:tc>
        <w:tc>
          <w:tcPr>
            <w:tcW w:w="1700" w:type="dxa"/>
            <w:tcBorders>
              <w:top w:val="single" w:sz="4" w:space="0" w:color="auto"/>
              <w:bottom w:val="single" w:sz="4" w:space="0" w:color="auto"/>
            </w:tcBorders>
          </w:tcPr>
          <w:p w:rsidR="000710CF" w:rsidRDefault="000D72BB">
            <w:pPr>
              <w:widowControl w:val="0"/>
              <w:autoSpaceDE w:val="0"/>
              <w:autoSpaceDN w:val="0"/>
              <w:adjustRightInd w:val="0"/>
              <w:spacing w:after="0" w:line="240" w:lineRule="auto"/>
              <w:jc w:val="center"/>
              <w:rPr>
                <w:rFonts w:ascii="Times New Roman" w:eastAsiaTheme="minorEastAsia" w:hAnsi="Times New Roman" w:cs="Times New Roman"/>
                <w:b/>
                <w:bCs/>
                <w:sz w:val="20"/>
                <w:szCs w:val="20"/>
              </w:rPr>
            </w:pPr>
            <w:r>
              <w:rPr>
                <w:rFonts w:ascii="Times New Roman" w:eastAsiaTheme="minorEastAsia" w:hAnsi="Times New Roman" w:cs="Times New Roman"/>
                <w:b/>
                <w:bCs/>
                <w:sz w:val="20"/>
                <w:szCs w:val="20"/>
              </w:rPr>
              <w:t>LT (%)</w:t>
            </w:r>
          </w:p>
        </w:tc>
        <w:tc>
          <w:tcPr>
            <w:tcW w:w="1700" w:type="dxa"/>
            <w:tcBorders>
              <w:top w:val="single" w:sz="4" w:space="0" w:color="auto"/>
              <w:bottom w:val="single" w:sz="4" w:space="0" w:color="auto"/>
            </w:tcBorders>
          </w:tcPr>
          <w:p w:rsidR="000710CF" w:rsidRDefault="000D72BB">
            <w:pPr>
              <w:widowControl w:val="0"/>
              <w:autoSpaceDE w:val="0"/>
              <w:autoSpaceDN w:val="0"/>
              <w:adjustRightInd w:val="0"/>
              <w:spacing w:after="0" w:line="240" w:lineRule="auto"/>
              <w:jc w:val="center"/>
              <w:rPr>
                <w:rFonts w:ascii="Times New Roman" w:eastAsiaTheme="minorEastAsia" w:hAnsi="Times New Roman" w:cs="Times New Roman"/>
                <w:b/>
                <w:bCs/>
                <w:sz w:val="20"/>
                <w:szCs w:val="20"/>
              </w:rPr>
            </w:pPr>
            <w:r>
              <w:rPr>
                <w:rFonts w:ascii="Times New Roman" w:eastAsiaTheme="minorEastAsia" w:hAnsi="Times New Roman" w:cs="Times New Roman"/>
                <w:b/>
                <w:bCs/>
                <w:sz w:val="20"/>
                <w:szCs w:val="20"/>
              </w:rPr>
              <w:t>LT (%) × TP∆/P</w:t>
            </w:r>
          </w:p>
        </w:tc>
      </w:tr>
      <w:tr w:rsidR="000710CF">
        <w:trPr>
          <w:trHeight w:val="472"/>
          <w:jc w:val="center"/>
        </w:trPr>
        <w:tc>
          <w:tcPr>
            <w:tcW w:w="2029" w:type="dxa"/>
            <w:tcBorders>
              <w:top w:val="single" w:sz="4" w:space="0" w:color="auto"/>
            </w:tcBorders>
          </w:tcPr>
          <w:p w:rsidR="000710CF" w:rsidRDefault="000D72BB">
            <w:pPr>
              <w:widowControl w:val="0"/>
              <w:autoSpaceDE w:val="0"/>
              <w:autoSpaceDN w:val="0"/>
              <w:adjustRightInd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Treat</w:t>
            </w:r>
          </w:p>
        </w:tc>
        <w:tc>
          <w:tcPr>
            <w:tcW w:w="2362" w:type="dxa"/>
            <w:tcBorders>
              <w:top w:val="single" w:sz="4" w:space="0" w:color="auto"/>
            </w:tcBorders>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vertAlign w:val="superscript"/>
              </w:rPr>
            </w:pPr>
            <w:r>
              <w:rPr>
                <w:rFonts w:ascii="Times New Roman" w:hAnsi="Times New Roman" w:cs="Times New Roman"/>
                <w:sz w:val="20"/>
                <w:szCs w:val="20"/>
              </w:rPr>
              <w:t>0.0005</w:t>
            </w:r>
          </w:p>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(0.19)</w:t>
            </w:r>
          </w:p>
        </w:tc>
        <w:tc>
          <w:tcPr>
            <w:tcW w:w="1700" w:type="dxa"/>
            <w:tcBorders>
              <w:top w:val="single" w:sz="4" w:space="0" w:color="auto"/>
            </w:tcBorders>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vertAlign w:val="superscript"/>
              </w:rPr>
            </w:pPr>
            <w:r>
              <w:rPr>
                <w:rFonts w:ascii="Times New Roman" w:hAnsi="Times New Roman" w:cs="Times New Roman"/>
                <w:sz w:val="20"/>
                <w:szCs w:val="20"/>
              </w:rPr>
              <w:t>-0.000</w:t>
            </w:r>
            <w:r>
              <w:rPr>
                <w:rFonts w:ascii="Times New Roman" w:hAnsi="Times New Roman" w:cs="Times New Roman"/>
                <w:sz w:val="20"/>
                <w:szCs w:val="20"/>
                <w:vertAlign w:val="superscript"/>
              </w:rPr>
              <w:t>**</w:t>
            </w:r>
          </w:p>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(-2.32)</w:t>
            </w:r>
          </w:p>
        </w:tc>
        <w:tc>
          <w:tcPr>
            <w:tcW w:w="1700" w:type="dxa"/>
            <w:tcBorders>
              <w:top w:val="single" w:sz="4" w:space="0" w:color="auto"/>
            </w:tcBorders>
          </w:tcPr>
          <w:p w:rsidR="000710CF" w:rsidRDefault="000710CF">
            <w:pPr>
              <w:widowControl w:val="0"/>
              <w:autoSpaceDE w:val="0"/>
              <w:autoSpaceDN w:val="0"/>
              <w:adjustRightInd w:val="0"/>
              <w:spacing w:after="0" w:line="240" w:lineRule="auto"/>
              <w:jc w:val="center"/>
              <w:rPr>
                <w:rFonts w:ascii="Times New Roman" w:hAnsi="Times New Roman" w:cs="Times New Roman"/>
                <w:sz w:val="20"/>
                <w:szCs w:val="20"/>
              </w:rPr>
            </w:pPr>
          </w:p>
        </w:tc>
        <w:tc>
          <w:tcPr>
            <w:tcW w:w="1700" w:type="dxa"/>
            <w:tcBorders>
              <w:top w:val="single" w:sz="4" w:space="0" w:color="auto"/>
            </w:tcBorders>
          </w:tcPr>
          <w:p w:rsidR="000710CF" w:rsidRDefault="000710CF">
            <w:pPr>
              <w:widowControl w:val="0"/>
              <w:autoSpaceDE w:val="0"/>
              <w:autoSpaceDN w:val="0"/>
              <w:adjustRightInd w:val="0"/>
              <w:spacing w:after="0" w:line="240" w:lineRule="auto"/>
              <w:jc w:val="center"/>
              <w:rPr>
                <w:rFonts w:ascii="Times New Roman" w:hAnsi="Times New Roman" w:cs="Times New Roman"/>
                <w:sz w:val="20"/>
                <w:szCs w:val="20"/>
              </w:rPr>
            </w:pPr>
          </w:p>
        </w:tc>
      </w:tr>
      <w:tr w:rsidR="000710CF">
        <w:trPr>
          <w:trHeight w:val="228"/>
          <w:jc w:val="center"/>
        </w:trPr>
        <w:tc>
          <w:tcPr>
            <w:tcW w:w="2029" w:type="dxa"/>
          </w:tcPr>
          <w:p w:rsidR="000710CF" w:rsidRDefault="000D72BB">
            <w:pPr>
              <w:widowControl w:val="0"/>
              <w:autoSpaceDE w:val="0"/>
              <w:autoSpaceDN w:val="0"/>
              <w:adjustRightInd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Post</w:t>
            </w:r>
          </w:p>
        </w:tc>
        <w:tc>
          <w:tcPr>
            <w:tcW w:w="2362"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0.068</w:t>
            </w:r>
            <w:r>
              <w:rPr>
                <w:rFonts w:ascii="Times New Roman" w:hAnsi="Times New Roman" w:cs="Times New Roman"/>
                <w:sz w:val="20"/>
                <w:szCs w:val="20"/>
                <w:vertAlign w:val="superscript"/>
              </w:rPr>
              <w:t>***</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vertAlign w:val="superscript"/>
              </w:rPr>
            </w:pPr>
            <w:r>
              <w:rPr>
                <w:rFonts w:ascii="Times New Roman" w:hAnsi="Times New Roman" w:cs="Times New Roman"/>
                <w:sz w:val="20"/>
                <w:szCs w:val="20"/>
              </w:rPr>
              <w:t>0.002</w:t>
            </w:r>
            <w:r>
              <w:rPr>
                <w:rFonts w:ascii="Times New Roman" w:hAnsi="Times New Roman" w:cs="Times New Roman"/>
                <w:sz w:val="20"/>
                <w:szCs w:val="20"/>
                <w:vertAlign w:val="superscript"/>
              </w:rPr>
              <w:t>***</w:t>
            </w:r>
          </w:p>
        </w:tc>
        <w:tc>
          <w:tcPr>
            <w:tcW w:w="1700" w:type="dxa"/>
          </w:tcPr>
          <w:p w:rsidR="000710CF" w:rsidRDefault="000710CF">
            <w:pPr>
              <w:widowControl w:val="0"/>
              <w:autoSpaceDE w:val="0"/>
              <w:autoSpaceDN w:val="0"/>
              <w:adjustRightInd w:val="0"/>
              <w:spacing w:after="0" w:line="240" w:lineRule="auto"/>
              <w:jc w:val="center"/>
              <w:rPr>
                <w:rFonts w:ascii="Times New Roman" w:hAnsi="Times New Roman" w:cs="Times New Roman"/>
                <w:sz w:val="20"/>
                <w:szCs w:val="20"/>
              </w:rPr>
            </w:pPr>
          </w:p>
        </w:tc>
        <w:tc>
          <w:tcPr>
            <w:tcW w:w="1700" w:type="dxa"/>
          </w:tcPr>
          <w:p w:rsidR="000710CF" w:rsidRDefault="000710CF">
            <w:pPr>
              <w:widowControl w:val="0"/>
              <w:autoSpaceDE w:val="0"/>
              <w:autoSpaceDN w:val="0"/>
              <w:adjustRightInd w:val="0"/>
              <w:spacing w:after="0" w:line="240" w:lineRule="auto"/>
              <w:jc w:val="center"/>
              <w:rPr>
                <w:rFonts w:ascii="Times New Roman" w:hAnsi="Times New Roman" w:cs="Times New Roman"/>
                <w:sz w:val="20"/>
                <w:szCs w:val="20"/>
              </w:rPr>
            </w:pPr>
          </w:p>
        </w:tc>
      </w:tr>
      <w:tr w:rsidR="000710CF">
        <w:trPr>
          <w:trHeight w:val="228"/>
          <w:jc w:val="center"/>
        </w:trPr>
        <w:tc>
          <w:tcPr>
            <w:tcW w:w="2029" w:type="dxa"/>
          </w:tcPr>
          <w:p w:rsidR="000710CF" w:rsidRDefault="000710CF">
            <w:pPr>
              <w:widowControl w:val="0"/>
              <w:autoSpaceDE w:val="0"/>
              <w:autoSpaceDN w:val="0"/>
              <w:adjustRightInd w:val="0"/>
              <w:spacing w:after="0" w:line="240" w:lineRule="auto"/>
              <w:rPr>
                <w:rFonts w:ascii="Times New Roman" w:hAnsi="Times New Roman" w:cs="Times New Roman"/>
                <w:i/>
                <w:iCs/>
                <w:sz w:val="20"/>
                <w:szCs w:val="20"/>
              </w:rPr>
            </w:pPr>
          </w:p>
        </w:tc>
        <w:tc>
          <w:tcPr>
            <w:tcW w:w="2362"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(11.46)</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(4.75)</w:t>
            </w:r>
          </w:p>
        </w:tc>
        <w:tc>
          <w:tcPr>
            <w:tcW w:w="1700" w:type="dxa"/>
          </w:tcPr>
          <w:p w:rsidR="000710CF" w:rsidRDefault="000710CF">
            <w:pPr>
              <w:widowControl w:val="0"/>
              <w:autoSpaceDE w:val="0"/>
              <w:autoSpaceDN w:val="0"/>
              <w:adjustRightInd w:val="0"/>
              <w:spacing w:after="0" w:line="240" w:lineRule="auto"/>
              <w:jc w:val="center"/>
              <w:rPr>
                <w:rFonts w:ascii="Times New Roman" w:hAnsi="Times New Roman" w:cs="Times New Roman"/>
                <w:sz w:val="20"/>
                <w:szCs w:val="20"/>
              </w:rPr>
            </w:pPr>
          </w:p>
        </w:tc>
        <w:tc>
          <w:tcPr>
            <w:tcW w:w="1700" w:type="dxa"/>
          </w:tcPr>
          <w:p w:rsidR="000710CF" w:rsidRDefault="000710CF">
            <w:pPr>
              <w:widowControl w:val="0"/>
              <w:autoSpaceDE w:val="0"/>
              <w:autoSpaceDN w:val="0"/>
              <w:adjustRightInd w:val="0"/>
              <w:spacing w:after="0" w:line="240" w:lineRule="auto"/>
              <w:jc w:val="center"/>
              <w:rPr>
                <w:rFonts w:ascii="Times New Roman" w:hAnsi="Times New Roman" w:cs="Times New Roman"/>
                <w:sz w:val="20"/>
                <w:szCs w:val="20"/>
              </w:rPr>
            </w:pPr>
          </w:p>
        </w:tc>
      </w:tr>
      <w:tr w:rsidR="000710CF">
        <w:trPr>
          <w:trHeight w:val="244"/>
          <w:jc w:val="center"/>
        </w:trPr>
        <w:tc>
          <w:tcPr>
            <w:tcW w:w="2029" w:type="dxa"/>
          </w:tcPr>
          <w:p w:rsidR="000710CF" w:rsidRDefault="000D72BB">
            <w:pPr>
              <w:widowControl w:val="0"/>
              <w:autoSpaceDE w:val="0"/>
              <w:autoSpaceDN w:val="0"/>
              <w:adjustRightInd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Treat × Post</w:t>
            </w:r>
          </w:p>
        </w:tc>
        <w:tc>
          <w:tcPr>
            <w:tcW w:w="2362"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0.008</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0.002</w:t>
            </w:r>
            <w:r>
              <w:rPr>
                <w:rFonts w:ascii="Times New Roman" w:hAnsi="Times New Roman" w:cs="Times New Roman"/>
                <w:sz w:val="20"/>
                <w:szCs w:val="20"/>
                <w:vertAlign w:val="superscript"/>
              </w:rPr>
              <w:t>***</w:t>
            </w:r>
          </w:p>
        </w:tc>
        <w:tc>
          <w:tcPr>
            <w:tcW w:w="1700" w:type="dxa"/>
          </w:tcPr>
          <w:p w:rsidR="000710CF" w:rsidRDefault="000710CF">
            <w:pPr>
              <w:widowControl w:val="0"/>
              <w:autoSpaceDE w:val="0"/>
              <w:autoSpaceDN w:val="0"/>
              <w:adjustRightInd w:val="0"/>
              <w:spacing w:after="0" w:line="240" w:lineRule="auto"/>
              <w:jc w:val="center"/>
              <w:rPr>
                <w:rFonts w:ascii="Times New Roman" w:hAnsi="Times New Roman" w:cs="Times New Roman"/>
                <w:sz w:val="20"/>
                <w:szCs w:val="20"/>
              </w:rPr>
            </w:pPr>
          </w:p>
        </w:tc>
        <w:tc>
          <w:tcPr>
            <w:tcW w:w="1700" w:type="dxa"/>
          </w:tcPr>
          <w:p w:rsidR="000710CF" w:rsidRDefault="000710CF">
            <w:pPr>
              <w:widowControl w:val="0"/>
              <w:autoSpaceDE w:val="0"/>
              <w:autoSpaceDN w:val="0"/>
              <w:adjustRightInd w:val="0"/>
              <w:spacing w:after="0" w:line="240" w:lineRule="auto"/>
              <w:jc w:val="center"/>
              <w:rPr>
                <w:rFonts w:ascii="Times New Roman" w:hAnsi="Times New Roman" w:cs="Times New Roman"/>
                <w:sz w:val="20"/>
                <w:szCs w:val="20"/>
              </w:rPr>
            </w:pPr>
          </w:p>
        </w:tc>
      </w:tr>
      <w:tr w:rsidR="000710CF">
        <w:trPr>
          <w:trHeight w:val="228"/>
          <w:jc w:val="center"/>
        </w:trPr>
        <w:tc>
          <w:tcPr>
            <w:tcW w:w="2029" w:type="dxa"/>
          </w:tcPr>
          <w:p w:rsidR="000710CF" w:rsidRDefault="000710CF">
            <w:pPr>
              <w:widowControl w:val="0"/>
              <w:autoSpaceDE w:val="0"/>
              <w:autoSpaceDN w:val="0"/>
              <w:adjustRightInd w:val="0"/>
              <w:spacing w:after="0" w:line="240" w:lineRule="auto"/>
              <w:rPr>
                <w:rFonts w:ascii="Times New Roman" w:hAnsi="Times New Roman" w:cs="Times New Roman"/>
                <w:i/>
                <w:iCs/>
                <w:sz w:val="20"/>
                <w:szCs w:val="20"/>
              </w:rPr>
            </w:pPr>
          </w:p>
        </w:tc>
        <w:tc>
          <w:tcPr>
            <w:tcW w:w="2362"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(1.45)</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(3.06)</w:t>
            </w:r>
          </w:p>
        </w:tc>
        <w:tc>
          <w:tcPr>
            <w:tcW w:w="1700" w:type="dxa"/>
          </w:tcPr>
          <w:p w:rsidR="000710CF" w:rsidRDefault="000710CF">
            <w:pPr>
              <w:widowControl w:val="0"/>
              <w:autoSpaceDE w:val="0"/>
              <w:autoSpaceDN w:val="0"/>
              <w:adjustRightInd w:val="0"/>
              <w:spacing w:after="0" w:line="240" w:lineRule="auto"/>
              <w:jc w:val="center"/>
              <w:rPr>
                <w:rFonts w:ascii="Times New Roman" w:hAnsi="Times New Roman" w:cs="Times New Roman"/>
                <w:sz w:val="20"/>
                <w:szCs w:val="20"/>
              </w:rPr>
            </w:pPr>
          </w:p>
        </w:tc>
        <w:tc>
          <w:tcPr>
            <w:tcW w:w="1700" w:type="dxa"/>
          </w:tcPr>
          <w:p w:rsidR="000710CF" w:rsidRDefault="000710CF">
            <w:pPr>
              <w:widowControl w:val="0"/>
              <w:autoSpaceDE w:val="0"/>
              <w:autoSpaceDN w:val="0"/>
              <w:adjustRightInd w:val="0"/>
              <w:spacing w:after="0" w:line="240" w:lineRule="auto"/>
              <w:jc w:val="center"/>
              <w:rPr>
                <w:rFonts w:ascii="Times New Roman" w:hAnsi="Times New Roman" w:cs="Times New Roman"/>
                <w:sz w:val="20"/>
                <w:szCs w:val="20"/>
              </w:rPr>
            </w:pPr>
          </w:p>
        </w:tc>
      </w:tr>
      <w:tr w:rsidR="000710CF">
        <w:trPr>
          <w:trHeight w:val="472"/>
          <w:jc w:val="center"/>
        </w:trPr>
        <w:tc>
          <w:tcPr>
            <w:tcW w:w="2029" w:type="dxa"/>
          </w:tcPr>
          <w:p w:rsidR="000710CF" w:rsidRDefault="000D72BB">
            <w:pPr>
              <w:widowControl w:val="0"/>
              <w:autoSpaceDE w:val="0"/>
              <w:autoSpaceDN w:val="0"/>
              <w:adjustRightInd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S&amp;P 500</w:t>
            </w:r>
          </w:p>
        </w:tc>
        <w:tc>
          <w:tcPr>
            <w:tcW w:w="2362" w:type="dxa"/>
          </w:tcPr>
          <w:p w:rsidR="000710CF" w:rsidRDefault="000710CF">
            <w:pPr>
              <w:widowControl w:val="0"/>
              <w:autoSpaceDE w:val="0"/>
              <w:autoSpaceDN w:val="0"/>
              <w:adjustRightInd w:val="0"/>
              <w:spacing w:after="0" w:line="240" w:lineRule="auto"/>
              <w:jc w:val="center"/>
              <w:rPr>
                <w:rFonts w:ascii="Times New Roman" w:hAnsi="Times New Roman" w:cs="Times New Roman"/>
                <w:sz w:val="20"/>
                <w:szCs w:val="20"/>
              </w:rPr>
            </w:pPr>
          </w:p>
        </w:tc>
        <w:tc>
          <w:tcPr>
            <w:tcW w:w="1700" w:type="dxa"/>
          </w:tcPr>
          <w:p w:rsidR="000710CF" w:rsidRDefault="000710CF">
            <w:pPr>
              <w:widowControl w:val="0"/>
              <w:autoSpaceDE w:val="0"/>
              <w:autoSpaceDN w:val="0"/>
              <w:adjustRightInd w:val="0"/>
              <w:spacing w:after="0" w:line="240" w:lineRule="auto"/>
              <w:jc w:val="center"/>
              <w:rPr>
                <w:rFonts w:ascii="Times New Roman" w:hAnsi="Times New Roman" w:cs="Times New Roman"/>
                <w:sz w:val="20"/>
                <w:szCs w:val="20"/>
              </w:rPr>
            </w:pP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vertAlign w:val="superscript"/>
              </w:rPr>
            </w:pPr>
            <w:r>
              <w:rPr>
                <w:rFonts w:ascii="Times New Roman" w:hAnsi="Times New Roman" w:cs="Times New Roman"/>
                <w:sz w:val="20"/>
                <w:szCs w:val="20"/>
              </w:rPr>
              <w:t>0.081</w:t>
            </w:r>
            <w:r>
              <w:rPr>
                <w:rFonts w:ascii="Times New Roman" w:hAnsi="Times New Roman" w:cs="Times New Roman"/>
                <w:sz w:val="20"/>
                <w:szCs w:val="20"/>
                <w:vertAlign w:val="superscript"/>
              </w:rPr>
              <w:t>***</w:t>
            </w:r>
          </w:p>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(11.36)</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vertAlign w:val="superscript"/>
              </w:rPr>
            </w:pPr>
            <w:r>
              <w:rPr>
                <w:rFonts w:ascii="Times New Roman" w:hAnsi="Times New Roman" w:cs="Times New Roman"/>
                <w:sz w:val="20"/>
                <w:szCs w:val="20"/>
              </w:rPr>
              <w:t>0.0027</w:t>
            </w:r>
            <w:r>
              <w:rPr>
                <w:rFonts w:ascii="Times New Roman" w:hAnsi="Times New Roman" w:cs="Times New Roman"/>
                <w:sz w:val="20"/>
                <w:szCs w:val="20"/>
                <w:vertAlign w:val="superscript"/>
              </w:rPr>
              <w:t>***</w:t>
            </w:r>
          </w:p>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(2.78)</w:t>
            </w:r>
          </w:p>
        </w:tc>
      </w:tr>
      <w:tr w:rsidR="000710CF">
        <w:trPr>
          <w:trHeight w:val="457"/>
          <w:jc w:val="center"/>
        </w:trPr>
        <w:tc>
          <w:tcPr>
            <w:tcW w:w="2029" w:type="dxa"/>
          </w:tcPr>
          <w:p w:rsidR="000710CF" w:rsidRDefault="000D72BB">
            <w:pPr>
              <w:widowControl w:val="0"/>
              <w:autoSpaceDE w:val="0"/>
              <w:autoSpaceDN w:val="0"/>
              <w:adjustRightInd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TP∆/P</w:t>
            </w:r>
          </w:p>
        </w:tc>
        <w:tc>
          <w:tcPr>
            <w:tcW w:w="2362"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vertAlign w:val="superscript"/>
              </w:rPr>
            </w:pPr>
            <w:r>
              <w:rPr>
                <w:rFonts w:ascii="Times New Roman" w:hAnsi="Times New Roman" w:cs="Times New Roman"/>
                <w:sz w:val="20"/>
                <w:szCs w:val="20"/>
              </w:rPr>
              <w:t>0.003</w:t>
            </w:r>
          </w:p>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(0.12)</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vertAlign w:val="superscript"/>
              </w:rPr>
            </w:pPr>
            <w:r>
              <w:rPr>
                <w:rFonts w:ascii="Times New Roman" w:hAnsi="Times New Roman" w:cs="Times New Roman"/>
                <w:sz w:val="20"/>
                <w:szCs w:val="20"/>
              </w:rPr>
              <w:t>0.208</w:t>
            </w:r>
            <w:r>
              <w:rPr>
                <w:rFonts w:ascii="Times New Roman" w:hAnsi="Times New Roman" w:cs="Times New Roman"/>
                <w:sz w:val="20"/>
                <w:szCs w:val="20"/>
                <w:vertAlign w:val="superscript"/>
              </w:rPr>
              <w:t>***</w:t>
            </w:r>
          </w:p>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(10.49)</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0.0012</w:t>
            </w:r>
          </w:p>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(0.81)</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vertAlign w:val="superscript"/>
              </w:rPr>
            </w:pPr>
            <w:r>
              <w:rPr>
                <w:rFonts w:ascii="Times New Roman" w:hAnsi="Times New Roman" w:cs="Times New Roman"/>
                <w:sz w:val="20"/>
                <w:szCs w:val="20"/>
              </w:rPr>
              <w:t>0.1865</w:t>
            </w:r>
            <w:r>
              <w:rPr>
                <w:rFonts w:ascii="Times New Roman" w:hAnsi="Times New Roman" w:cs="Times New Roman"/>
                <w:sz w:val="20"/>
                <w:szCs w:val="20"/>
                <w:vertAlign w:val="superscript"/>
              </w:rPr>
              <w:t>***</w:t>
            </w:r>
          </w:p>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(32.26)</w:t>
            </w:r>
          </w:p>
        </w:tc>
      </w:tr>
      <w:tr w:rsidR="000710CF">
        <w:trPr>
          <w:trHeight w:val="244"/>
          <w:jc w:val="center"/>
        </w:trPr>
        <w:tc>
          <w:tcPr>
            <w:tcW w:w="2029" w:type="dxa"/>
          </w:tcPr>
          <w:p w:rsidR="000710CF" w:rsidRDefault="000710CF">
            <w:pPr>
              <w:widowControl w:val="0"/>
              <w:autoSpaceDE w:val="0"/>
              <w:autoSpaceDN w:val="0"/>
              <w:adjustRightInd w:val="0"/>
              <w:spacing w:after="0" w:line="240" w:lineRule="auto"/>
              <w:rPr>
                <w:rFonts w:ascii="Times New Roman" w:hAnsi="Times New Roman" w:cs="Times New Roman"/>
                <w:sz w:val="20"/>
                <w:szCs w:val="20"/>
              </w:rPr>
            </w:pPr>
          </w:p>
        </w:tc>
        <w:tc>
          <w:tcPr>
            <w:tcW w:w="2362" w:type="dxa"/>
          </w:tcPr>
          <w:p w:rsidR="000710CF" w:rsidRDefault="000710CF">
            <w:pPr>
              <w:widowControl w:val="0"/>
              <w:autoSpaceDE w:val="0"/>
              <w:autoSpaceDN w:val="0"/>
              <w:adjustRightInd w:val="0"/>
              <w:spacing w:after="0" w:line="240" w:lineRule="auto"/>
              <w:jc w:val="center"/>
              <w:rPr>
                <w:rFonts w:ascii="Times New Roman" w:hAnsi="Times New Roman" w:cs="Times New Roman"/>
                <w:sz w:val="20"/>
                <w:szCs w:val="20"/>
              </w:rPr>
            </w:pPr>
          </w:p>
        </w:tc>
        <w:tc>
          <w:tcPr>
            <w:tcW w:w="1700" w:type="dxa"/>
          </w:tcPr>
          <w:p w:rsidR="000710CF" w:rsidRDefault="000710CF">
            <w:pPr>
              <w:widowControl w:val="0"/>
              <w:autoSpaceDE w:val="0"/>
              <w:autoSpaceDN w:val="0"/>
              <w:adjustRightInd w:val="0"/>
              <w:spacing w:after="0" w:line="240" w:lineRule="auto"/>
              <w:jc w:val="center"/>
              <w:rPr>
                <w:rFonts w:ascii="Times New Roman" w:hAnsi="Times New Roman" w:cs="Times New Roman"/>
                <w:sz w:val="20"/>
                <w:szCs w:val="20"/>
              </w:rPr>
            </w:pPr>
          </w:p>
        </w:tc>
        <w:tc>
          <w:tcPr>
            <w:tcW w:w="1700" w:type="dxa"/>
          </w:tcPr>
          <w:p w:rsidR="000710CF" w:rsidRDefault="000710CF">
            <w:pPr>
              <w:widowControl w:val="0"/>
              <w:autoSpaceDE w:val="0"/>
              <w:autoSpaceDN w:val="0"/>
              <w:adjustRightInd w:val="0"/>
              <w:spacing w:after="0" w:line="240" w:lineRule="auto"/>
              <w:jc w:val="center"/>
              <w:rPr>
                <w:rFonts w:ascii="Times New Roman" w:hAnsi="Times New Roman" w:cs="Times New Roman"/>
                <w:sz w:val="20"/>
                <w:szCs w:val="20"/>
              </w:rPr>
            </w:pPr>
          </w:p>
        </w:tc>
        <w:tc>
          <w:tcPr>
            <w:tcW w:w="1700" w:type="dxa"/>
          </w:tcPr>
          <w:p w:rsidR="000710CF" w:rsidRDefault="000710CF">
            <w:pPr>
              <w:widowControl w:val="0"/>
              <w:autoSpaceDE w:val="0"/>
              <w:autoSpaceDN w:val="0"/>
              <w:adjustRightInd w:val="0"/>
              <w:spacing w:after="0" w:line="240" w:lineRule="auto"/>
              <w:jc w:val="center"/>
              <w:rPr>
                <w:rFonts w:ascii="Times New Roman" w:hAnsi="Times New Roman" w:cs="Times New Roman"/>
                <w:sz w:val="20"/>
                <w:szCs w:val="20"/>
              </w:rPr>
            </w:pPr>
          </w:p>
        </w:tc>
      </w:tr>
      <w:tr w:rsidR="000710CF">
        <w:trPr>
          <w:trHeight w:val="228"/>
          <w:jc w:val="center"/>
        </w:trPr>
        <w:tc>
          <w:tcPr>
            <w:tcW w:w="2029" w:type="dxa"/>
          </w:tcPr>
          <w:p w:rsidR="000710CF" w:rsidRDefault="000D72B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N</w:t>
            </w:r>
          </w:p>
        </w:tc>
        <w:tc>
          <w:tcPr>
            <w:tcW w:w="2362"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27,732</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27,732</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53,988</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53,988</w:t>
            </w:r>
          </w:p>
        </w:tc>
      </w:tr>
      <w:tr w:rsidR="000710CF">
        <w:trPr>
          <w:trHeight w:val="228"/>
          <w:jc w:val="center"/>
        </w:trPr>
        <w:tc>
          <w:tcPr>
            <w:tcW w:w="2029" w:type="dxa"/>
          </w:tcPr>
          <w:p w:rsidR="000710CF" w:rsidRDefault="000D72B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Merger FEs</w:t>
            </w:r>
          </w:p>
        </w:tc>
        <w:tc>
          <w:tcPr>
            <w:tcW w:w="2362"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Yes</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Yes</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No</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No</w:t>
            </w:r>
          </w:p>
        </w:tc>
      </w:tr>
      <w:tr w:rsidR="000710CF">
        <w:trPr>
          <w:trHeight w:val="244"/>
          <w:jc w:val="center"/>
        </w:trPr>
        <w:tc>
          <w:tcPr>
            <w:tcW w:w="2029" w:type="dxa"/>
          </w:tcPr>
          <w:p w:rsidR="000710CF" w:rsidRDefault="000D72B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Firm &amp; Year FEs</w:t>
            </w:r>
          </w:p>
        </w:tc>
        <w:tc>
          <w:tcPr>
            <w:tcW w:w="2362"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No</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No</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Yes</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Yes</w:t>
            </w:r>
          </w:p>
        </w:tc>
      </w:tr>
      <w:tr w:rsidR="000710CF">
        <w:trPr>
          <w:trHeight w:val="228"/>
          <w:jc w:val="center"/>
        </w:trPr>
        <w:tc>
          <w:tcPr>
            <w:tcW w:w="2029" w:type="dxa"/>
          </w:tcPr>
          <w:p w:rsidR="000710CF" w:rsidRDefault="000D72B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Adj. R</w:t>
            </w:r>
            <w:r>
              <w:rPr>
                <w:rFonts w:ascii="Times New Roman" w:hAnsi="Times New Roman" w:cs="Times New Roman"/>
                <w:sz w:val="20"/>
                <w:szCs w:val="20"/>
                <w:vertAlign w:val="superscript"/>
              </w:rPr>
              <w:t>2</w:t>
            </w:r>
          </w:p>
        </w:tc>
        <w:tc>
          <w:tcPr>
            <w:tcW w:w="2362"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0.58</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0.81</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0.79</w:t>
            </w:r>
          </w:p>
        </w:tc>
        <w:tc>
          <w:tcPr>
            <w:tcW w:w="1700" w:type="dxa"/>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0.74</w:t>
            </w:r>
          </w:p>
        </w:tc>
      </w:tr>
      <w:tr w:rsidR="000710CF">
        <w:trPr>
          <w:trHeight w:val="228"/>
          <w:jc w:val="center"/>
        </w:trPr>
        <w:tc>
          <w:tcPr>
            <w:tcW w:w="2029" w:type="dxa"/>
            <w:tcBorders>
              <w:bottom w:val="single" w:sz="4" w:space="0" w:color="auto"/>
            </w:tcBorders>
          </w:tcPr>
          <w:p w:rsidR="000710CF" w:rsidRDefault="000D72B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Controls</w:t>
            </w:r>
          </w:p>
        </w:tc>
        <w:tc>
          <w:tcPr>
            <w:tcW w:w="2362" w:type="dxa"/>
            <w:tcBorders>
              <w:bottom w:val="single" w:sz="4" w:space="0" w:color="auto"/>
            </w:tcBorders>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Yes</w:t>
            </w:r>
          </w:p>
        </w:tc>
        <w:tc>
          <w:tcPr>
            <w:tcW w:w="1700" w:type="dxa"/>
            <w:tcBorders>
              <w:bottom w:val="single" w:sz="4" w:space="0" w:color="auto"/>
            </w:tcBorders>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Yes</w:t>
            </w:r>
          </w:p>
        </w:tc>
        <w:tc>
          <w:tcPr>
            <w:tcW w:w="1700" w:type="dxa"/>
            <w:tcBorders>
              <w:bottom w:val="single" w:sz="4" w:space="0" w:color="auto"/>
            </w:tcBorders>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Yes</w:t>
            </w:r>
          </w:p>
        </w:tc>
        <w:tc>
          <w:tcPr>
            <w:tcW w:w="1700" w:type="dxa"/>
            <w:tcBorders>
              <w:bottom w:val="single" w:sz="4" w:space="0" w:color="auto"/>
            </w:tcBorders>
          </w:tcPr>
          <w:p w:rsidR="000710CF" w:rsidRDefault="000D72B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Yes</w:t>
            </w:r>
          </w:p>
        </w:tc>
      </w:tr>
      <w:bookmarkEnd w:id="0"/>
    </w:tbl>
    <w:p w:rsidR="000710CF" w:rsidRDefault="000710CF">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rsidR="000710CF" w:rsidRDefault="000710CF">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rsidR="000710CF" w:rsidRDefault="000710CF">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rsidR="000710CF" w:rsidRDefault="000710CF">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rsidR="000710CF" w:rsidRDefault="000710CF">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rsidR="000710CF" w:rsidRDefault="000710CF">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rsidR="000710CF" w:rsidRDefault="000710CF">
      <w:pPr>
        <w:rPr>
          <w:rFonts w:ascii="Calibri" w:eastAsia="Times New Roman" w:hAnsi="Calibri" w:cs="Times New Roman"/>
        </w:rPr>
      </w:pPr>
    </w:p>
    <w:p w:rsidR="000710CF" w:rsidRDefault="000710CF">
      <w:pPr>
        <w:rPr>
          <w:rFonts w:ascii="Calibri" w:eastAsia="Times New Roman" w:hAnsi="Calibri" w:cs="Times New Roman"/>
        </w:rPr>
      </w:pPr>
    </w:p>
    <w:p w:rsidR="000710CF" w:rsidRDefault="000710CF">
      <w:pPr>
        <w:rPr>
          <w:rFonts w:ascii="Calibri" w:eastAsia="Times New Roman" w:hAnsi="Calibri" w:cs="Times New Roman"/>
        </w:rPr>
      </w:pPr>
    </w:p>
    <w:p w:rsidR="000710CF" w:rsidRDefault="000710CF">
      <w:pPr>
        <w:rPr>
          <w:rFonts w:ascii="Calibri" w:eastAsia="Times New Roman" w:hAnsi="Calibri" w:cs="Times New Roman"/>
        </w:rPr>
      </w:pPr>
    </w:p>
    <w:p w:rsidR="000710CF" w:rsidRDefault="000710CF">
      <w:pPr>
        <w:rPr>
          <w:rFonts w:ascii="Calibri" w:eastAsia="Times New Roman" w:hAnsi="Calibri" w:cs="Times New Roman"/>
        </w:rPr>
      </w:pPr>
    </w:p>
    <w:p w:rsidR="000710CF" w:rsidRDefault="000710CF">
      <w:pPr>
        <w:rPr>
          <w:rFonts w:ascii="Calibri" w:eastAsia="Times New Roman" w:hAnsi="Calibri" w:cs="Times New Roman"/>
        </w:rPr>
      </w:pPr>
    </w:p>
    <w:p w:rsidR="000710CF" w:rsidRDefault="000710CF">
      <w:pPr>
        <w:rPr>
          <w:rFonts w:ascii="Calibri" w:eastAsia="Times New Roman" w:hAnsi="Calibri" w:cs="Times New Roman"/>
        </w:rPr>
      </w:pPr>
    </w:p>
    <w:p w:rsidR="000710CF" w:rsidRDefault="000710CF">
      <w:pPr>
        <w:rPr>
          <w:rFonts w:ascii="Calibri" w:eastAsia="Times New Roman" w:hAnsi="Calibri" w:cs="Times New Roman"/>
        </w:rPr>
      </w:pPr>
    </w:p>
    <w:p w:rsidR="000710CF" w:rsidRDefault="000710CF">
      <w:pPr>
        <w:rPr>
          <w:rFonts w:ascii="Calibri" w:eastAsia="Times New Roman" w:hAnsi="Calibri" w:cs="Times New Roman"/>
        </w:rPr>
      </w:pPr>
    </w:p>
    <w:p w:rsidR="000710CF" w:rsidRDefault="000710CF">
      <w:pPr>
        <w:rPr>
          <w:rFonts w:ascii="Calibri" w:eastAsia="Times New Roman" w:hAnsi="Calibri" w:cs="Times New Roman"/>
        </w:rPr>
      </w:pPr>
    </w:p>
    <w:p w:rsidR="000710CF" w:rsidRDefault="000710CF">
      <w:pPr>
        <w:rPr>
          <w:rFonts w:ascii="Calibri" w:eastAsia="Times New Roman" w:hAnsi="Calibri" w:cs="Times New Roman"/>
        </w:rPr>
      </w:pPr>
    </w:p>
    <w:p w:rsidR="000710CF" w:rsidRDefault="000710CF">
      <w:pPr>
        <w:rPr>
          <w:rFonts w:ascii="Calibri" w:eastAsia="Times New Roman" w:hAnsi="Calibri" w:cs="Times New Roman"/>
        </w:rPr>
      </w:pPr>
    </w:p>
    <w:p w:rsidR="000710CF" w:rsidRDefault="000710CF">
      <w:pPr>
        <w:rPr>
          <w:rFonts w:ascii="Calibri" w:eastAsia="Times New Roman" w:hAnsi="Calibri" w:cs="Times New Roman"/>
        </w:rPr>
      </w:pPr>
    </w:p>
    <w:p w:rsidR="000710CF" w:rsidRDefault="000710CF">
      <w:pPr>
        <w:rPr>
          <w:rFonts w:ascii="Calibri" w:eastAsia="Times New Roman" w:hAnsi="Calibri" w:cs="Times New Roman"/>
        </w:rPr>
      </w:pPr>
    </w:p>
    <w:p w:rsidR="000710CF" w:rsidRDefault="000710CF">
      <w:pPr>
        <w:rPr>
          <w:rFonts w:ascii="Calibri" w:eastAsia="Times New Roman" w:hAnsi="Calibri" w:cs="Times New Roman"/>
        </w:rPr>
      </w:pPr>
    </w:p>
    <w:p w:rsidR="000710CF" w:rsidRDefault="000710CF">
      <w:pPr>
        <w:rPr>
          <w:rFonts w:ascii="Calibri" w:eastAsia="Times New Roman" w:hAnsi="Calibri" w:cs="Times New Roman"/>
        </w:rPr>
      </w:pPr>
    </w:p>
    <w:p w:rsidR="000710CF" w:rsidRDefault="000710CF">
      <w:pPr>
        <w:rPr>
          <w:rFonts w:ascii="Calibri" w:eastAsia="Times New Roman" w:hAnsi="Calibri" w:cs="Times New Roman"/>
        </w:rPr>
      </w:pPr>
    </w:p>
    <w:p w:rsidR="000710CF" w:rsidRPr="000D72BB" w:rsidRDefault="000D72BB">
      <w:pPr>
        <w:widowControl w:val="0"/>
        <w:autoSpaceDE w:val="0"/>
        <w:autoSpaceDN w:val="0"/>
        <w:adjustRightInd w:val="0"/>
        <w:spacing w:after="0" w:line="240" w:lineRule="auto"/>
        <w:jc w:val="center"/>
        <w:rPr>
          <w:rFonts w:ascii="Times New Roman" w:eastAsia="Times New Roman" w:hAnsi="Times New Roman" w:cs="Times New Roman"/>
          <w:b/>
          <w:bCs/>
        </w:rPr>
      </w:pPr>
      <w:r w:rsidRPr="000D72BB">
        <w:rPr>
          <w:rFonts w:ascii="Times New Roman" w:eastAsia="Times New Roman" w:hAnsi="Times New Roman" w:cs="Times New Roman"/>
          <w:b/>
          <w:bCs/>
        </w:rPr>
        <w:t xml:space="preserve">Table A3: Quasi-Natural Experiment and Total Institutional Shareholdings </w:t>
      </w:r>
    </w:p>
    <w:p w:rsidR="000710CF" w:rsidRPr="000D72BB" w:rsidRDefault="000710CF">
      <w:pPr>
        <w:widowControl w:val="0"/>
        <w:autoSpaceDE w:val="0"/>
        <w:autoSpaceDN w:val="0"/>
        <w:adjustRightInd w:val="0"/>
        <w:spacing w:after="0" w:line="240" w:lineRule="auto"/>
        <w:jc w:val="center"/>
        <w:rPr>
          <w:rFonts w:ascii="Times New Roman" w:eastAsia="Times New Roman" w:hAnsi="Times New Roman" w:cs="Times New Roman"/>
          <w:b/>
          <w:bCs/>
        </w:rPr>
      </w:pPr>
    </w:p>
    <w:p w:rsidR="000710CF" w:rsidRPr="000D72BB" w:rsidRDefault="000D72BB">
      <w:pPr>
        <w:widowControl w:val="0"/>
        <w:autoSpaceDE w:val="0"/>
        <w:autoSpaceDN w:val="0"/>
        <w:adjustRightInd w:val="0"/>
        <w:spacing w:after="0" w:line="240" w:lineRule="auto"/>
        <w:jc w:val="both"/>
        <w:rPr>
          <w:rFonts w:ascii="Times New Roman" w:eastAsia="Times New Roman" w:hAnsi="Times New Roman" w:cs="Times New Roman"/>
          <w:b/>
          <w:bCs/>
        </w:rPr>
      </w:pPr>
      <w:r w:rsidRPr="000D72BB">
        <w:rPr>
          <w:rFonts w:ascii="Times New Roman" w:eastAsia="Times New Roman" w:hAnsi="Times New Roman" w:cs="Times New Roman"/>
          <w:sz w:val="20"/>
          <w:szCs w:val="20"/>
        </w:rPr>
        <w:t xml:space="preserve">This table estimates the effect of the merger of two financial institutions (Column (1)) </w:t>
      </w:r>
      <w:r w:rsidRPr="000D72BB">
        <w:rPr>
          <w:rFonts w:ascii="Times New Roman" w:eastAsia="Times New Roman" w:hAnsi="Times New Roman" w:cs="Times New Roman"/>
          <w:sz w:val="20"/>
          <w:szCs w:val="20"/>
        </w:rPr>
        <w:t>and the inclusion of a firm in the S&amp;P 500 index (Column (2)) on total institutional shareholdings (INS (%)) and the sensitivity of total institutional shareholdings to target price revisions (</w:t>
      </w:r>
      <w:r w:rsidRPr="000D72BB">
        <w:rPr>
          <w:rFonts w:ascii="Times New Roman" w:eastAsiaTheme="minorEastAsia" w:hAnsi="Times New Roman" w:cs="Times New Roman"/>
          <w:sz w:val="20"/>
          <w:szCs w:val="20"/>
        </w:rPr>
        <w:t>INS (%) × TP∆/P)</w:t>
      </w:r>
      <w:r w:rsidRPr="000D72BB">
        <w:rPr>
          <w:rFonts w:ascii="Times New Roman" w:eastAsia="Times New Roman" w:hAnsi="Times New Roman" w:cs="Times New Roman"/>
          <w:sz w:val="20"/>
          <w:szCs w:val="20"/>
        </w:rPr>
        <w:t>. All the variables are defined in the Appendix</w:t>
      </w:r>
      <w:r w:rsidRPr="000D72BB">
        <w:rPr>
          <w:rFonts w:ascii="Times New Roman" w:eastAsia="Times New Roman" w:hAnsi="Times New Roman" w:cs="Times New Roman"/>
          <w:sz w:val="20"/>
          <w:szCs w:val="20"/>
        </w:rPr>
        <w:t>. The                    t-statistics are reported in parentheses. Standard errors are clustered at the firm level. *, ** and *** denote statistical significance for the coefficients at 10%, 5% and 1% respectively.</w:t>
      </w:r>
      <w:r w:rsidRPr="000D72BB">
        <w:rPr>
          <w:rFonts w:ascii="Times New Roman" w:eastAsia="Times New Roman" w:hAnsi="Times New Roman" w:cs="Times New Roman"/>
          <w:b/>
          <w:bCs/>
        </w:rPr>
        <w:t xml:space="preserve"> </w:t>
      </w:r>
    </w:p>
    <w:p w:rsidR="000710CF" w:rsidRPr="000D72BB" w:rsidRDefault="000710CF">
      <w:pPr>
        <w:widowControl w:val="0"/>
        <w:autoSpaceDE w:val="0"/>
        <w:autoSpaceDN w:val="0"/>
        <w:adjustRightInd w:val="0"/>
        <w:spacing w:after="0" w:line="240" w:lineRule="auto"/>
        <w:jc w:val="both"/>
        <w:rPr>
          <w:rFonts w:ascii="Times New Roman" w:eastAsia="Times New Roman" w:hAnsi="Times New Roman" w:cs="Times New Roman"/>
          <w:b/>
          <w:bCs/>
        </w:rPr>
      </w:pPr>
    </w:p>
    <w:tbl>
      <w:tblPr>
        <w:tblStyle w:val="TableGrid"/>
        <w:tblW w:w="83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01"/>
        <w:gridCol w:w="1303"/>
        <w:gridCol w:w="1940"/>
        <w:gridCol w:w="1377"/>
        <w:gridCol w:w="1843"/>
      </w:tblGrid>
      <w:tr w:rsidR="000D72BB" w:rsidRPr="000D72BB">
        <w:trPr>
          <w:trHeight w:val="226"/>
          <w:jc w:val="center"/>
        </w:trPr>
        <w:tc>
          <w:tcPr>
            <w:tcW w:w="1901" w:type="dxa"/>
            <w:tcBorders>
              <w:top w:val="single" w:sz="4" w:space="0" w:color="auto"/>
              <w:bottom w:val="single" w:sz="4" w:space="0" w:color="auto"/>
            </w:tcBorders>
          </w:tcPr>
          <w:p w:rsidR="000710CF" w:rsidRPr="000D72BB" w:rsidRDefault="000710CF">
            <w:pPr>
              <w:widowControl w:val="0"/>
              <w:autoSpaceDE w:val="0"/>
              <w:autoSpaceDN w:val="0"/>
              <w:adjustRightInd w:val="0"/>
              <w:spacing w:after="0" w:line="240" w:lineRule="auto"/>
              <w:rPr>
                <w:rFonts w:ascii="Times New Roman" w:eastAsia="Calibri" w:hAnsi="Times New Roman" w:cs="Times New Roman"/>
                <w:b/>
                <w:bCs/>
                <w:sz w:val="20"/>
                <w:szCs w:val="20"/>
              </w:rPr>
            </w:pPr>
          </w:p>
        </w:tc>
        <w:tc>
          <w:tcPr>
            <w:tcW w:w="3243" w:type="dxa"/>
            <w:gridSpan w:val="2"/>
            <w:tcBorders>
              <w:top w:val="single" w:sz="4" w:space="0" w:color="auto"/>
              <w:bottom w:val="single" w:sz="4" w:space="0" w:color="auto"/>
            </w:tcBorders>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b/>
                <w:bCs/>
                <w:sz w:val="20"/>
                <w:szCs w:val="20"/>
              </w:rPr>
            </w:pPr>
            <w:r w:rsidRPr="000D72BB">
              <w:rPr>
                <w:rFonts w:ascii="Times New Roman" w:eastAsia="Calibri" w:hAnsi="Times New Roman" w:cs="Times New Roman"/>
                <w:b/>
                <w:bCs/>
                <w:sz w:val="20"/>
                <w:szCs w:val="20"/>
              </w:rPr>
              <w:t>(1)</w:t>
            </w:r>
          </w:p>
        </w:tc>
        <w:tc>
          <w:tcPr>
            <w:tcW w:w="3220" w:type="dxa"/>
            <w:gridSpan w:val="2"/>
            <w:tcBorders>
              <w:top w:val="single" w:sz="4" w:space="0" w:color="auto"/>
              <w:bottom w:val="single" w:sz="4" w:space="0" w:color="auto"/>
            </w:tcBorders>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b/>
                <w:bCs/>
                <w:sz w:val="20"/>
                <w:szCs w:val="20"/>
              </w:rPr>
            </w:pPr>
            <w:r w:rsidRPr="000D72BB">
              <w:rPr>
                <w:rFonts w:ascii="Times New Roman" w:eastAsia="Calibri" w:hAnsi="Times New Roman" w:cs="Times New Roman"/>
                <w:b/>
                <w:bCs/>
                <w:sz w:val="20"/>
                <w:szCs w:val="20"/>
              </w:rPr>
              <w:t>(2)</w:t>
            </w:r>
          </w:p>
        </w:tc>
      </w:tr>
      <w:tr w:rsidR="000D72BB" w:rsidRPr="000D72BB">
        <w:trPr>
          <w:trHeight w:val="175"/>
          <w:jc w:val="center"/>
        </w:trPr>
        <w:tc>
          <w:tcPr>
            <w:tcW w:w="1901" w:type="dxa"/>
            <w:tcBorders>
              <w:top w:val="single" w:sz="4" w:space="0" w:color="auto"/>
              <w:bottom w:val="single" w:sz="4" w:space="0" w:color="auto"/>
            </w:tcBorders>
          </w:tcPr>
          <w:p w:rsidR="000710CF" w:rsidRPr="000D72BB" w:rsidRDefault="000D72BB">
            <w:pPr>
              <w:widowControl w:val="0"/>
              <w:autoSpaceDE w:val="0"/>
              <w:autoSpaceDN w:val="0"/>
              <w:adjustRightInd w:val="0"/>
              <w:spacing w:after="0" w:line="240" w:lineRule="auto"/>
              <w:rPr>
                <w:rFonts w:ascii="Times New Roman" w:eastAsia="Calibri" w:hAnsi="Times New Roman" w:cs="Times New Roman"/>
                <w:b/>
                <w:bCs/>
                <w:sz w:val="20"/>
                <w:szCs w:val="20"/>
              </w:rPr>
            </w:pPr>
            <w:r w:rsidRPr="000D72BB">
              <w:rPr>
                <w:rFonts w:ascii="Times New Roman" w:eastAsia="Calibri" w:hAnsi="Times New Roman" w:cs="Times New Roman"/>
                <w:b/>
                <w:bCs/>
                <w:sz w:val="20"/>
                <w:szCs w:val="20"/>
              </w:rPr>
              <w:t>Variables</w:t>
            </w:r>
          </w:p>
        </w:tc>
        <w:tc>
          <w:tcPr>
            <w:tcW w:w="1303" w:type="dxa"/>
            <w:tcBorders>
              <w:top w:val="single" w:sz="4" w:space="0" w:color="auto"/>
              <w:bottom w:val="single" w:sz="4" w:space="0" w:color="auto"/>
            </w:tcBorders>
          </w:tcPr>
          <w:p w:rsidR="000710CF" w:rsidRPr="000D72BB" w:rsidRDefault="000D72BB">
            <w:pPr>
              <w:widowControl w:val="0"/>
              <w:autoSpaceDE w:val="0"/>
              <w:autoSpaceDN w:val="0"/>
              <w:adjustRightInd w:val="0"/>
              <w:spacing w:after="0" w:line="240" w:lineRule="auto"/>
              <w:jc w:val="center"/>
              <w:rPr>
                <w:rFonts w:ascii="Times New Roman" w:eastAsia="Times New Roman" w:hAnsi="Times New Roman" w:cs="Times New Roman"/>
                <w:b/>
                <w:bCs/>
                <w:sz w:val="20"/>
                <w:szCs w:val="20"/>
              </w:rPr>
            </w:pPr>
            <w:r w:rsidRPr="000D72BB">
              <w:rPr>
                <w:rFonts w:ascii="Times New Roman" w:eastAsia="Times New Roman" w:hAnsi="Times New Roman" w:cs="Times New Roman"/>
                <w:b/>
                <w:bCs/>
                <w:sz w:val="20"/>
                <w:szCs w:val="20"/>
              </w:rPr>
              <w:t>INS (%)</w:t>
            </w:r>
          </w:p>
        </w:tc>
        <w:tc>
          <w:tcPr>
            <w:tcW w:w="1940" w:type="dxa"/>
            <w:tcBorders>
              <w:top w:val="single" w:sz="4" w:space="0" w:color="auto"/>
              <w:bottom w:val="single" w:sz="4" w:space="0" w:color="auto"/>
            </w:tcBorders>
          </w:tcPr>
          <w:p w:rsidR="000710CF" w:rsidRPr="000D72BB" w:rsidRDefault="000D72BB">
            <w:pPr>
              <w:widowControl w:val="0"/>
              <w:autoSpaceDE w:val="0"/>
              <w:autoSpaceDN w:val="0"/>
              <w:adjustRightInd w:val="0"/>
              <w:spacing w:after="0" w:line="240" w:lineRule="auto"/>
              <w:jc w:val="center"/>
              <w:rPr>
                <w:rFonts w:ascii="Times New Roman" w:eastAsia="Times New Roman" w:hAnsi="Times New Roman" w:cs="Times New Roman"/>
                <w:b/>
                <w:bCs/>
                <w:sz w:val="20"/>
                <w:szCs w:val="20"/>
              </w:rPr>
            </w:pPr>
            <w:r w:rsidRPr="000D72BB">
              <w:rPr>
                <w:rFonts w:ascii="Times New Roman" w:eastAsia="Times New Roman" w:hAnsi="Times New Roman" w:cs="Times New Roman"/>
                <w:b/>
                <w:bCs/>
                <w:sz w:val="20"/>
                <w:szCs w:val="20"/>
              </w:rPr>
              <w:t xml:space="preserve">INS (%) × </w:t>
            </w:r>
            <w:r w:rsidRPr="000D72BB">
              <w:rPr>
                <w:rFonts w:ascii="Times New Roman" w:eastAsia="Times New Roman" w:hAnsi="Times New Roman" w:cs="Times New Roman"/>
                <w:b/>
                <w:bCs/>
                <w:sz w:val="20"/>
                <w:szCs w:val="20"/>
              </w:rPr>
              <w:t>TP∆/P</w:t>
            </w:r>
          </w:p>
        </w:tc>
        <w:tc>
          <w:tcPr>
            <w:tcW w:w="1377" w:type="dxa"/>
            <w:tcBorders>
              <w:top w:val="single" w:sz="4" w:space="0" w:color="auto"/>
              <w:bottom w:val="single" w:sz="4" w:space="0" w:color="auto"/>
            </w:tcBorders>
          </w:tcPr>
          <w:p w:rsidR="000710CF" w:rsidRPr="000D72BB" w:rsidRDefault="000D72BB">
            <w:pPr>
              <w:widowControl w:val="0"/>
              <w:autoSpaceDE w:val="0"/>
              <w:autoSpaceDN w:val="0"/>
              <w:adjustRightInd w:val="0"/>
              <w:spacing w:after="0" w:line="240" w:lineRule="auto"/>
              <w:jc w:val="center"/>
              <w:rPr>
                <w:rFonts w:ascii="Times New Roman" w:eastAsia="Times New Roman" w:hAnsi="Times New Roman" w:cs="Times New Roman"/>
                <w:b/>
                <w:bCs/>
                <w:sz w:val="20"/>
                <w:szCs w:val="20"/>
              </w:rPr>
            </w:pPr>
            <w:r w:rsidRPr="000D72BB">
              <w:rPr>
                <w:rFonts w:ascii="Times New Roman" w:eastAsia="Times New Roman" w:hAnsi="Times New Roman" w:cs="Times New Roman"/>
                <w:b/>
                <w:bCs/>
                <w:sz w:val="20"/>
                <w:szCs w:val="20"/>
              </w:rPr>
              <w:t>INS (%)</w:t>
            </w:r>
          </w:p>
        </w:tc>
        <w:tc>
          <w:tcPr>
            <w:tcW w:w="1843" w:type="dxa"/>
            <w:tcBorders>
              <w:top w:val="single" w:sz="4" w:space="0" w:color="auto"/>
              <w:bottom w:val="single" w:sz="4" w:space="0" w:color="auto"/>
            </w:tcBorders>
          </w:tcPr>
          <w:p w:rsidR="000710CF" w:rsidRPr="000D72BB" w:rsidRDefault="000D72BB">
            <w:pPr>
              <w:widowControl w:val="0"/>
              <w:autoSpaceDE w:val="0"/>
              <w:autoSpaceDN w:val="0"/>
              <w:adjustRightInd w:val="0"/>
              <w:spacing w:after="0" w:line="240" w:lineRule="auto"/>
              <w:jc w:val="center"/>
              <w:rPr>
                <w:rFonts w:ascii="Times New Roman" w:eastAsia="Times New Roman" w:hAnsi="Times New Roman" w:cs="Times New Roman"/>
                <w:b/>
                <w:bCs/>
                <w:sz w:val="20"/>
                <w:szCs w:val="20"/>
              </w:rPr>
            </w:pPr>
            <w:r w:rsidRPr="000D72BB">
              <w:rPr>
                <w:rFonts w:ascii="Times New Roman" w:eastAsia="Times New Roman" w:hAnsi="Times New Roman" w:cs="Times New Roman"/>
                <w:b/>
                <w:bCs/>
                <w:sz w:val="20"/>
                <w:szCs w:val="20"/>
              </w:rPr>
              <w:t>INS (%) × TP∆/P</w:t>
            </w:r>
          </w:p>
        </w:tc>
      </w:tr>
      <w:tr w:rsidR="000D72BB" w:rsidRPr="000D72BB">
        <w:trPr>
          <w:trHeight w:val="467"/>
          <w:jc w:val="center"/>
        </w:trPr>
        <w:tc>
          <w:tcPr>
            <w:tcW w:w="1901" w:type="dxa"/>
            <w:tcBorders>
              <w:top w:val="single" w:sz="4" w:space="0" w:color="auto"/>
            </w:tcBorders>
          </w:tcPr>
          <w:p w:rsidR="000710CF" w:rsidRPr="000D72BB" w:rsidRDefault="000D72BB">
            <w:pPr>
              <w:widowControl w:val="0"/>
              <w:autoSpaceDE w:val="0"/>
              <w:autoSpaceDN w:val="0"/>
              <w:adjustRightInd w:val="0"/>
              <w:spacing w:after="0" w:line="240" w:lineRule="auto"/>
              <w:rPr>
                <w:rFonts w:ascii="Times New Roman" w:eastAsia="Calibri" w:hAnsi="Times New Roman" w:cs="Times New Roman"/>
                <w:i/>
                <w:iCs/>
                <w:sz w:val="20"/>
                <w:szCs w:val="20"/>
              </w:rPr>
            </w:pPr>
            <w:r w:rsidRPr="000D72BB">
              <w:rPr>
                <w:rFonts w:ascii="Times New Roman" w:eastAsia="Calibri" w:hAnsi="Times New Roman" w:cs="Times New Roman"/>
                <w:i/>
                <w:iCs/>
                <w:sz w:val="20"/>
                <w:szCs w:val="20"/>
              </w:rPr>
              <w:t>Treat</w:t>
            </w:r>
          </w:p>
        </w:tc>
        <w:tc>
          <w:tcPr>
            <w:tcW w:w="1303" w:type="dxa"/>
            <w:tcBorders>
              <w:top w:val="single" w:sz="4" w:space="0" w:color="auto"/>
            </w:tcBorders>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vertAlign w:val="superscript"/>
              </w:rPr>
            </w:pPr>
            <w:r w:rsidRPr="000D72BB">
              <w:rPr>
                <w:rFonts w:ascii="Times New Roman" w:eastAsia="Calibri" w:hAnsi="Times New Roman" w:cs="Times New Roman"/>
                <w:sz w:val="20"/>
                <w:szCs w:val="20"/>
              </w:rPr>
              <w:t>-0.0055</w:t>
            </w:r>
          </w:p>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(-0.79)</w:t>
            </w:r>
          </w:p>
        </w:tc>
        <w:tc>
          <w:tcPr>
            <w:tcW w:w="1940" w:type="dxa"/>
            <w:tcBorders>
              <w:top w:val="single" w:sz="4" w:space="0" w:color="auto"/>
            </w:tcBorders>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vertAlign w:val="superscript"/>
              </w:rPr>
            </w:pPr>
            <w:r w:rsidRPr="000D72BB">
              <w:rPr>
                <w:rFonts w:ascii="Times New Roman" w:eastAsia="Calibri" w:hAnsi="Times New Roman" w:cs="Times New Roman"/>
                <w:sz w:val="20"/>
                <w:szCs w:val="20"/>
              </w:rPr>
              <w:t>-0.0013</w:t>
            </w:r>
          </w:p>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(-0.59)</w:t>
            </w:r>
          </w:p>
        </w:tc>
        <w:tc>
          <w:tcPr>
            <w:tcW w:w="1377" w:type="dxa"/>
            <w:tcBorders>
              <w:top w:val="single" w:sz="4" w:space="0" w:color="auto"/>
            </w:tcBorders>
          </w:tcPr>
          <w:p w:rsidR="000710CF" w:rsidRPr="000D72BB" w:rsidRDefault="000710CF">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1843" w:type="dxa"/>
            <w:tcBorders>
              <w:top w:val="single" w:sz="4" w:space="0" w:color="auto"/>
            </w:tcBorders>
          </w:tcPr>
          <w:p w:rsidR="000710CF" w:rsidRPr="000D72BB" w:rsidRDefault="000710CF">
            <w:pPr>
              <w:widowControl w:val="0"/>
              <w:autoSpaceDE w:val="0"/>
              <w:autoSpaceDN w:val="0"/>
              <w:adjustRightInd w:val="0"/>
              <w:spacing w:after="0" w:line="240" w:lineRule="auto"/>
              <w:jc w:val="center"/>
              <w:rPr>
                <w:rFonts w:ascii="Times New Roman" w:eastAsia="Calibri" w:hAnsi="Times New Roman" w:cs="Times New Roman"/>
                <w:sz w:val="20"/>
                <w:szCs w:val="20"/>
              </w:rPr>
            </w:pPr>
          </w:p>
        </w:tc>
      </w:tr>
      <w:tr w:rsidR="000D72BB" w:rsidRPr="000D72BB">
        <w:trPr>
          <w:trHeight w:val="226"/>
          <w:jc w:val="center"/>
        </w:trPr>
        <w:tc>
          <w:tcPr>
            <w:tcW w:w="1901" w:type="dxa"/>
          </w:tcPr>
          <w:p w:rsidR="000710CF" w:rsidRPr="000D72BB" w:rsidRDefault="000D72BB">
            <w:pPr>
              <w:widowControl w:val="0"/>
              <w:autoSpaceDE w:val="0"/>
              <w:autoSpaceDN w:val="0"/>
              <w:adjustRightInd w:val="0"/>
              <w:spacing w:after="0" w:line="240" w:lineRule="auto"/>
              <w:rPr>
                <w:rFonts w:ascii="Times New Roman" w:eastAsia="Calibri" w:hAnsi="Times New Roman" w:cs="Times New Roman"/>
                <w:i/>
                <w:iCs/>
                <w:sz w:val="20"/>
                <w:szCs w:val="20"/>
              </w:rPr>
            </w:pPr>
            <w:r w:rsidRPr="000D72BB">
              <w:rPr>
                <w:rFonts w:ascii="Times New Roman" w:eastAsia="Calibri" w:hAnsi="Times New Roman" w:cs="Times New Roman"/>
                <w:i/>
                <w:iCs/>
                <w:sz w:val="20"/>
                <w:szCs w:val="20"/>
              </w:rPr>
              <w:t>Post</w:t>
            </w:r>
          </w:p>
        </w:tc>
        <w:tc>
          <w:tcPr>
            <w:tcW w:w="1303"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0.0214</w:t>
            </w:r>
            <w:r w:rsidRPr="000D72BB">
              <w:rPr>
                <w:rFonts w:ascii="Times New Roman" w:eastAsia="Calibri" w:hAnsi="Times New Roman" w:cs="Times New Roman"/>
                <w:sz w:val="20"/>
                <w:szCs w:val="20"/>
                <w:vertAlign w:val="superscript"/>
              </w:rPr>
              <w:t>***</w:t>
            </w:r>
          </w:p>
        </w:tc>
        <w:tc>
          <w:tcPr>
            <w:tcW w:w="1940"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vertAlign w:val="superscript"/>
              </w:rPr>
            </w:pPr>
            <w:r w:rsidRPr="000D72BB">
              <w:rPr>
                <w:rFonts w:ascii="Times New Roman" w:eastAsia="Calibri" w:hAnsi="Times New Roman" w:cs="Times New Roman"/>
                <w:sz w:val="20"/>
                <w:szCs w:val="20"/>
              </w:rPr>
              <w:t>0.0231</w:t>
            </w:r>
            <w:r w:rsidRPr="000D72BB">
              <w:rPr>
                <w:rFonts w:ascii="Times New Roman" w:eastAsia="Calibri" w:hAnsi="Times New Roman" w:cs="Times New Roman"/>
                <w:sz w:val="20"/>
                <w:szCs w:val="20"/>
                <w:vertAlign w:val="superscript"/>
              </w:rPr>
              <w:t>***</w:t>
            </w:r>
          </w:p>
        </w:tc>
        <w:tc>
          <w:tcPr>
            <w:tcW w:w="1377" w:type="dxa"/>
          </w:tcPr>
          <w:p w:rsidR="000710CF" w:rsidRPr="000D72BB" w:rsidRDefault="000710CF">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1843" w:type="dxa"/>
          </w:tcPr>
          <w:p w:rsidR="000710CF" w:rsidRPr="000D72BB" w:rsidRDefault="000710CF">
            <w:pPr>
              <w:widowControl w:val="0"/>
              <w:autoSpaceDE w:val="0"/>
              <w:autoSpaceDN w:val="0"/>
              <w:adjustRightInd w:val="0"/>
              <w:spacing w:after="0" w:line="240" w:lineRule="auto"/>
              <w:jc w:val="center"/>
              <w:rPr>
                <w:rFonts w:ascii="Times New Roman" w:eastAsia="Calibri" w:hAnsi="Times New Roman" w:cs="Times New Roman"/>
                <w:sz w:val="20"/>
                <w:szCs w:val="20"/>
              </w:rPr>
            </w:pPr>
          </w:p>
        </w:tc>
      </w:tr>
      <w:tr w:rsidR="000D72BB" w:rsidRPr="000D72BB">
        <w:trPr>
          <w:trHeight w:val="226"/>
          <w:jc w:val="center"/>
        </w:trPr>
        <w:tc>
          <w:tcPr>
            <w:tcW w:w="1901" w:type="dxa"/>
          </w:tcPr>
          <w:p w:rsidR="000710CF" w:rsidRPr="000D72BB" w:rsidRDefault="000710CF">
            <w:pPr>
              <w:widowControl w:val="0"/>
              <w:autoSpaceDE w:val="0"/>
              <w:autoSpaceDN w:val="0"/>
              <w:adjustRightInd w:val="0"/>
              <w:spacing w:after="0" w:line="240" w:lineRule="auto"/>
              <w:rPr>
                <w:rFonts w:ascii="Times New Roman" w:eastAsia="Calibri" w:hAnsi="Times New Roman" w:cs="Times New Roman"/>
                <w:i/>
                <w:iCs/>
                <w:sz w:val="20"/>
                <w:szCs w:val="20"/>
              </w:rPr>
            </w:pPr>
          </w:p>
        </w:tc>
        <w:tc>
          <w:tcPr>
            <w:tcW w:w="1303"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(7.01)</w:t>
            </w:r>
          </w:p>
        </w:tc>
        <w:tc>
          <w:tcPr>
            <w:tcW w:w="1940"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(9.91)</w:t>
            </w:r>
          </w:p>
        </w:tc>
        <w:tc>
          <w:tcPr>
            <w:tcW w:w="1377" w:type="dxa"/>
          </w:tcPr>
          <w:p w:rsidR="000710CF" w:rsidRPr="000D72BB" w:rsidRDefault="000710CF">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1843" w:type="dxa"/>
          </w:tcPr>
          <w:p w:rsidR="000710CF" w:rsidRPr="000D72BB" w:rsidRDefault="000710CF">
            <w:pPr>
              <w:widowControl w:val="0"/>
              <w:autoSpaceDE w:val="0"/>
              <w:autoSpaceDN w:val="0"/>
              <w:adjustRightInd w:val="0"/>
              <w:spacing w:after="0" w:line="240" w:lineRule="auto"/>
              <w:jc w:val="center"/>
              <w:rPr>
                <w:rFonts w:ascii="Times New Roman" w:eastAsia="Calibri" w:hAnsi="Times New Roman" w:cs="Times New Roman"/>
                <w:sz w:val="20"/>
                <w:szCs w:val="20"/>
              </w:rPr>
            </w:pPr>
          </w:p>
        </w:tc>
      </w:tr>
      <w:tr w:rsidR="000D72BB" w:rsidRPr="000D72BB">
        <w:trPr>
          <w:trHeight w:val="241"/>
          <w:jc w:val="center"/>
        </w:trPr>
        <w:tc>
          <w:tcPr>
            <w:tcW w:w="1901" w:type="dxa"/>
          </w:tcPr>
          <w:p w:rsidR="000710CF" w:rsidRPr="000D72BB" w:rsidRDefault="000D72BB">
            <w:pPr>
              <w:widowControl w:val="0"/>
              <w:autoSpaceDE w:val="0"/>
              <w:autoSpaceDN w:val="0"/>
              <w:adjustRightInd w:val="0"/>
              <w:spacing w:after="0" w:line="240" w:lineRule="auto"/>
              <w:rPr>
                <w:rFonts w:ascii="Times New Roman" w:eastAsia="Calibri" w:hAnsi="Times New Roman" w:cs="Times New Roman"/>
                <w:i/>
                <w:iCs/>
                <w:sz w:val="20"/>
                <w:szCs w:val="20"/>
              </w:rPr>
            </w:pPr>
            <w:r w:rsidRPr="000D72BB">
              <w:rPr>
                <w:rFonts w:ascii="Times New Roman" w:eastAsia="Calibri" w:hAnsi="Times New Roman" w:cs="Times New Roman"/>
                <w:i/>
                <w:iCs/>
                <w:sz w:val="20"/>
                <w:szCs w:val="20"/>
              </w:rPr>
              <w:t>Treat × Post</w:t>
            </w:r>
          </w:p>
        </w:tc>
        <w:tc>
          <w:tcPr>
            <w:tcW w:w="1303"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-0.005</w:t>
            </w:r>
          </w:p>
        </w:tc>
        <w:tc>
          <w:tcPr>
            <w:tcW w:w="1940"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0.0015</w:t>
            </w:r>
          </w:p>
        </w:tc>
        <w:tc>
          <w:tcPr>
            <w:tcW w:w="1377" w:type="dxa"/>
          </w:tcPr>
          <w:p w:rsidR="000710CF" w:rsidRPr="000D72BB" w:rsidRDefault="000710CF">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1843" w:type="dxa"/>
          </w:tcPr>
          <w:p w:rsidR="000710CF" w:rsidRPr="000D72BB" w:rsidRDefault="000710CF">
            <w:pPr>
              <w:widowControl w:val="0"/>
              <w:autoSpaceDE w:val="0"/>
              <w:autoSpaceDN w:val="0"/>
              <w:adjustRightInd w:val="0"/>
              <w:spacing w:after="0" w:line="240" w:lineRule="auto"/>
              <w:jc w:val="center"/>
              <w:rPr>
                <w:rFonts w:ascii="Times New Roman" w:eastAsia="Calibri" w:hAnsi="Times New Roman" w:cs="Times New Roman"/>
                <w:sz w:val="20"/>
                <w:szCs w:val="20"/>
              </w:rPr>
            </w:pPr>
          </w:p>
        </w:tc>
        <w:bookmarkStart w:id="1" w:name="_GoBack"/>
        <w:bookmarkEnd w:id="1"/>
      </w:tr>
      <w:tr w:rsidR="000D72BB" w:rsidRPr="000D72BB">
        <w:trPr>
          <w:trHeight w:val="226"/>
          <w:jc w:val="center"/>
        </w:trPr>
        <w:tc>
          <w:tcPr>
            <w:tcW w:w="1901" w:type="dxa"/>
          </w:tcPr>
          <w:p w:rsidR="000710CF" w:rsidRPr="000D72BB" w:rsidRDefault="000710CF">
            <w:pPr>
              <w:widowControl w:val="0"/>
              <w:autoSpaceDE w:val="0"/>
              <w:autoSpaceDN w:val="0"/>
              <w:adjustRightInd w:val="0"/>
              <w:spacing w:after="0" w:line="240" w:lineRule="auto"/>
              <w:rPr>
                <w:rFonts w:ascii="Times New Roman" w:eastAsia="Calibri" w:hAnsi="Times New Roman" w:cs="Times New Roman"/>
                <w:i/>
                <w:iCs/>
                <w:sz w:val="20"/>
                <w:szCs w:val="20"/>
              </w:rPr>
            </w:pPr>
          </w:p>
        </w:tc>
        <w:tc>
          <w:tcPr>
            <w:tcW w:w="1303"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(-1.33)</w:t>
            </w:r>
          </w:p>
        </w:tc>
        <w:tc>
          <w:tcPr>
            <w:tcW w:w="1940"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(0.04)</w:t>
            </w:r>
          </w:p>
        </w:tc>
        <w:tc>
          <w:tcPr>
            <w:tcW w:w="1377" w:type="dxa"/>
          </w:tcPr>
          <w:p w:rsidR="000710CF" w:rsidRPr="000D72BB" w:rsidRDefault="000710CF">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1843" w:type="dxa"/>
          </w:tcPr>
          <w:p w:rsidR="000710CF" w:rsidRPr="000D72BB" w:rsidRDefault="000710CF">
            <w:pPr>
              <w:widowControl w:val="0"/>
              <w:autoSpaceDE w:val="0"/>
              <w:autoSpaceDN w:val="0"/>
              <w:adjustRightInd w:val="0"/>
              <w:spacing w:after="0" w:line="240" w:lineRule="auto"/>
              <w:jc w:val="center"/>
              <w:rPr>
                <w:rFonts w:ascii="Times New Roman" w:eastAsia="Calibri" w:hAnsi="Times New Roman" w:cs="Times New Roman"/>
                <w:sz w:val="20"/>
                <w:szCs w:val="20"/>
              </w:rPr>
            </w:pPr>
          </w:p>
        </w:tc>
      </w:tr>
      <w:tr w:rsidR="000D72BB" w:rsidRPr="000D72BB">
        <w:trPr>
          <w:trHeight w:val="467"/>
          <w:jc w:val="center"/>
        </w:trPr>
        <w:tc>
          <w:tcPr>
            <w:tcW w:w="1901" w:type="dxa"/>
          </w:tcPr>
          <w:p w:rsidR="000710CF" w:rsidRPr="000D72BB" w:rsidRDefault="000D72BB">
            <w:pPr>
              <w:widowControl w:val="0"/>
              <w:autoSpaceDE w:val="0"/>
              <w:autoSpaceDN w:val="0"/>
              <w:adjustRightInd w:val="0"/>
              <w:spacing w:after="0" w:line="240" w:lineRule="auto"/>
              <w:rPr>
                <w:rFonts w:ascii="Times New Roman" w:eastAsia="Calibri" w:hAnsi="Times New Roman" w:cs="Times New Roman"/>
                <w:i/>
                <w:iCs/>
                <w:sz w:val="20"/>
                <w:szCs w:val="20"/>
              </w:rPr>
            </w:pPr>
            <w:r w:rsidRPr="000D72BB">
              <w:rPr>
                <w:rFonts w:ascii="Times New Roman" w:eastAsia="Calibri" w:hAnsi="Times New Roman" w:cs="Times New Roman"/>
                <w:i/>
                <w:iCs/>
                <w:sz w:val="20"/>
                <w:szCs w:val="20"/>
              </w:rPr>
              <w:t>S&amp;P 500</w:t>
            </w:r>
          </w:p>
        </w:tc>
        <w:tc>
          <w:tcPr>
            <w:tcW w:w="1303" w:type="dxa"/>
          </w:tcPr>
          <w:p w:rsidR="000710CF" w:rsidRPr="000D72BB" w:rsidRDefault="000710CF">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1940" w:type="dxa"/>
          </w:tcPr>
          <w:p w:rsidR="000710CF" w:rsidRPr="000D72BB" w:rsidRDefault="000710CF">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1377"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vertAlign w:val="superscript"/>
              </w:rPr>
            </w:pPr>
            <w:r w:rsidRPr="000D72BB">
              <w:rPr>
                <w:rFonts w:ascii="Times New Roman" w:eastAsia="Calibri" w:hAnsi="Times New Roman" w:cs="Times New Roman"/>
                <w:sz w:val="20"/>
                <w:szCs w:val="20"/>
              </w:rPr>
              <w:t>-0.0106</w:t>
            </w:r>
          </w:p>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(-1.20)</w:t>
            </w:r>
          </w:p>
        </w:tc>
        <w:tc>
          <w:tcPr>
            <w:tcW w:w="1843"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vertAlign w:val="superscript"/>
              </w:rPr>
            </w:pPr>
            <w:r w:rsidRPr="000D72BB">
              <w:rPr>
                <w:rFonts w:ascii="Times New Roman" w:eastAsia="Calibri" w:hAnsi="Times New Roman" w:cs="Times New Roman"/>
                <w:sz w:val="20"/>
                <w:szCs w:val="20"/>
              </w:rPr>
              <w:t>-0.0025</w:t>
            </w:r>
          </w:p>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(-1.40)</w:t>
            </w:r>
          </w:p>
        </w:tc>
      </w:tr>
      <w:tr w:rsidR="000D72BB" w:rsidRPr="000D72BB">
        <w:trPr>
          <w:trHeight w:val="453"/>
          <w:jc w:val="center"/>
        </w:trPr>
        <w:tc>
          <w:tcPr>
            <w:tcW w:w="1901" w:type="dxa"/>
          </w:tcPr>
          <w:p w:rsidR="000710CF" w:rsidRPr="000D72BB" w:rsidRDefault="000D72BB">
            <w:pPr>
              <w:widowControl w:val="0"/>
              <w:autoSpaceDE w:val="0"/>
              <w:autoSpaceDN w:val="0"/>
              <w:adjustRightInd w:val="0"/>
              <w:spacing w:after="0" w:line="240" w:lineRule="auto"/>
              <w:rPr>
                <w:rFonts w:ascii="Times New Roman" w:eastAsia="Calibri" w:hAnsi="Times New Roman" w:cs="Times New Roman"/>
                <w:i/>
                <w:iCs/>
                <w:sz w:val="20"/>
                <w:szCs w:val="20"/>
              </w:rPr>
            </w:pPr>
            <w:r w:rsidRPr="000D72BB">
              <w:rPr>
                <w:rFonts w:ascii="Times New Roman" w:eastAsia="Calibri" w:hAnsi="Times New Roman" w:cs="Times New Roman"/>
                <w:i/>
                <w:iCs/>
                <w:sz w:val="20"/>
                <w:szCs w:val="20"/>
              </w:rPr>
              <w:t>TP∆/P</w:t>
            </w:r>
          </w:p>
        </w:tc>
        <w:tc>
          <w:tcPr>
            <w:tcW w:w="1303"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vertAlign w:val="superscript"/>
              </w:rPr>
            </w:pPr>
            <w:r w:rsidRPr="000D72BB">
              <w:rPr>
                <w:rFonts w:ascii="Times New Roman" w:eastAsia="Calibri" w:hAnsi="Times New Roman" w:cs="Times New Roman"/>
                <w:sz w:val="20"/>
                <w:szCs w:val="20"/>
              </w:rPr>
              <w:t>0.0129</w:t>
            </w:r>
          </w:p>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(1.37)</w:t>
            </w:r>
          </w:p>
        </w:tc>
        <w:tc>
          <w:tcPr>
            <w:tcW w:w="1940"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vertAlign w:val="superscript"/>
              </w:rPr>
            </w:pPr>
            <w:r w:rsidRPr="000D72BB">
              <w:rPr>
                <w:rFonts w:ascii="Times New Roman" w:eastAsia="Calibri" w:hAnsi="Times New Roman" w:cs="Times New Roman"/>
                <w:sz w:val="20"/>
                <w:szCs w:val="20"/>
              </w:rPr>
              <w:t>0.467</w:t>
            </w:r>
            <w:r w:rsidRPr="000D72BB">
              <w:rPr>
                <w:rFonts w:ascii="Times New Roman" w:eastAsia="Calibri" w:hAnsi="Times New Roman" w:cs="Times New Roman"/>
                <w:sz w:val="20"/>
                <w:szCs w:val="20"/>
                <w:vertAlign w:val="superscript"/>
              </w:rPr>
              <w:t>***</w:t>
            </w:r>
          </w:p>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(8.25)</w:t>
            </w:r>
          </w:p>
        </w:tc>
        <w:tc>
          <w:tcPr>
            <w:tcW w:w="1377"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-0.0043</w:t>
            </w:r>
            <w:r w:rsidRPr="000D72BB">
              <w:rPr>
                <w:rFonts w:ascii="Times New Roman" w:eastAsia="Calibri" w:hAnsi="Times New Roman" w:cs="Times New Roman"/>
                <w:sz w:val="20"/>
                <w:szCs w:val="20"/>
                <w:vertAlign w:val="superscript"/>
              </w:rPr>
              <w:t>**</w:t>
            </w:r>
          </w:p>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(-2.21)</w:t>
            </w:r>
          </w:p>
        </w:tc>
        <w:tc>
          <w:tcPr>
            <w:tcW w:w="1843"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vertAlign w:val="superscript"/>
              </w:rPr>
            </w:pPr>
            <w:r w:rsidRPr="000D72BB">
              <w:rPr>
                <w:rFonts w:ascii="Times New Roman" w:eastAsia="Calibri" w:hAnsi="Times New Roman" w:cs="Times New Roman"/>
                <w:sz w:val="20"/>
                <w:szCs w:val="20"/>
              </w:rPr>
              <w:t>0.746</w:t>
            </w:r>
            <w:r w:rsidRPr="000D72BB">
              <w:rPr>
                <w:rFonts w:ascii="Times New Roman" w:eastAsia="Calibri" w:hAnsi="Times New Roman" w:cs="Times New Roman"/>
                <w:sz w:val="20"/>
                <w:szCs w:val="20"/>
                <w:vertAlign w:val="superscript"/>
              </w:rPr>
              <w:t>***</w:t>
            </w:r>
          </w:p>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(78.34)</w:t>
            </w:r>
          </w:p>
        </w:tc>
      </w:tr>
      <w:tr w:rsidR="000D72BB" w:rsidRPr="000D72BB">
        <w:trPr>
          <w:trHeight w:val="241"/>
          <w:jc w:val="center"/>
        </w:trPr>
        <w:tc>
          <w:tcPr>
            <w:tcW w:w="1901" w:type="dxa"/>
          </w:tcPr>
          <w:p w:rsidR="000710CF" w:rsidRPr="000D72BB" w:rsidRDefault="000710CF">
            <w:pPr>
              <w:widowControl w:val="0"/>
              <w:autoSpaceDE w:val="0"/>
              <w:autoSpaceDN w:val="0"/>
              <w:adjustRightInd w:val="0"/>
              <w:spacing w:after="0" w:line="240" w:lineRule="auto"/>
              <w:rPr>
                <w:rFonts w:ascii="Times New Roman" w:eastAsia="Calibri" w:hAnsi="Times New Roman" w:cs="Times New Roman"/>
                <w:sz w:val="20"/>
                <w:szCs w:val="20"/>
              </w:rPr>
            </w:pPr>
          </w:p>
        </w:tc>
        <w:tc>
          <w:tcPr>
            <w:tcW w:w="1303" w:type="dxa"/>
          </w:tcPr>
          <w:p w:rsidR="000710CF" w:rsidRPr="000D72BB" w:rsidRDefault="000710CF">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1940" w:type="dxa"/>
          </w:tcPr>
          <w:p w:rsidR="000710CF" w:rsidRPr="000D72BB" w:rsidRDefault="000710CF">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1377" w:type="dxa"/>
          </w:tcPr>
          <w:p w:rsidR="000710CF" w:rsidRPr="000D72BB" w:rsidRDefault="000710CF">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1843" w:type="dxa"/>
          </w:tcPr>
          <w:p w:rsidR="000710CF" w:rsidRPr="000D72BB" w:rsidRDefault="000710CF">
            <w:pPr>
              <w:widowControl w:val="0"/>
              <w:autoSpaceDE w:val="0"/>
              <w:autoSpaceDN w:val="0"/>
              <w:adjustRightInd w:val="0"/>
              <w:spacing w:after="0" w:line="240" w:lineRule="auto"/>
              <w:jc w:val="center"/>
              <w:rPr>
                <w:rFonts w:ascii="Times New Roman" w:eastAsia="Calibri" w:hAnsi="Times New Roman" w:cs="Times New Roman"/>
                <w:sz w:val="20"/>
                <w:szCs w:val="20"/>
              </w:rPr>
            </w:pPr>
          </w:p>
        </w:tc>
      </w:tr>
      <w:tr w:rsidR="000D72BB" w:rsidRPr="000D72BB">
        <w:trPr>
          <w:trHeight w:val="226"/>
          <w:jc w:val="center"/>
        </w:trPr>
        <w:tc>
          <w:tcPr>
            <w:tcW w:w="1901" w:type="dxa"/>
          </w:tcPr>
          <w:p w:rsidR="000710CF" w:rsidRPr="000D72BB" w:rsidRDefault="000D72BB">
            <w:pPr>
              <w:widowControl w:val="0"/>
              <w:autoSpaceDE w:val="0"/>
              <w:autoSpaceDN w:val="0"/>
              <w:adjustRightInd w:val="0"/>
              <w:spacing w:after="0" w:line="240" w:lineRule="auto"/>
              <w:rPr>
                <w:rFonts w:ascii="Times New Roman" w:eastAsia="Calibri" w:hAnsi="Times New Roman" w:cs="Times New Roman"/>
                <w:sz w:val="20"/>
                <w:szCs w:val="20"/>
              </w:rPr>
            </w:pPr>
            <w:r w:rsidRPr="000D72BB">
              <w:rPr>
                <w:rFonts w:ascii="Times New Roman" w:eastAsia="Calibri" w:hAnsi="Times New Roman" w:cs="Times New Roman"/>
                <w:sz w:val="20"/>
                <w:szCs w:val="20"/>
              </w:rPr>
              <w:t>N</w:t>
            </w:r>
          </w:p>
        </w:tc>
        <w:tc>
          <w:tcPr>
            <w:tcW w:w="1303"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27,732</w:t>
            </w:r>
          </w:p>
        </w:tc>
        <w:tc>
          <w:tcPr>
            <w:tcW w:w="1940"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27,732</w:t>
            </w:r>
          </w:p>
        </w:tc>
        <w:tc>
          <w:tcPr>
            <w:tcW w:w="1377"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53,988</w:t>
            </w:r>
          </w:p>
        </w:tc>
        <w:tc>
          <w:tcPr>
            <w:tcW w:w="1843"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53,988</w:t>
            </w:r>
          </w:p>
        </w:tc>
      </w:tr>
      <w:tr w:rsidR="000D72BB" w:rsidRPr="000D72BB">
        <w:trPr>
          <w:trHeight w:val="226"/>
          <w:jc w:val="center"/>
        </w:trPr>
        <w:tc>
          <w:tcPr>
            <w:tcW w:w="1901" w:type="dxa"/>
          </w:tcPr>
          <w:p w:rsidR="000710CF" w:rsidRPr="000D72BB" w:rsidRDefault="000D72BB">
            <w:pPr>
              <w:widowControl w:val="0"/>
              <w:autoSpaceDE w:val="0"/>
              <w:autoSpaceDN w:val="0"/>
              <w:adjustRightInd w:val="0"/>
              <w:spacing w:after="0" w:line="240" w:lineRule="auto"/>
              <w:rPr>
                <w:rFonts w:ascii="Times New Roman" w:eastAsia="Calibri" w:hAnsi="Times New Roman" w:cs="Times New Roman"/>
                <w:sz w:val="20"/>
                <w:szCs w:val="20"/>
              </w:rPr>
            </w:pPr>
            <w:r w:rsidRPr="000D72BB">
              <w:rPr>
                <w:rFonts w:ascii="Times New Roman" w:eastAsia="Calibri" w:hAnsi="Times New Roman" w:cs="Times New Roman"/>
                <w:sz w:val="20"/>
                <w:szCs w:val="20"/>
              </w:rPr>
              <w:t>Merger FEs</w:t>
            </w:r>
          </w:p>
        </w:tc>
        <w:tc>
          <w:tcPr>
            <w:tcW w:w="1303"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Yes</w:t>
            </w:r>
          </w:p>
        </w:tc>
        <w:tc>
          <w:tcPr>
            <w:tcW w:w="1940"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Yes</w:t>
            </w:r>
          </w:p>
        </w:tc>
        <w:tc>
          <w:tcPr>
            <w:tcW w:w="1377"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No</w:t>
            </w:r>
          </w:p>
        </w:tc>
        <w:tc>
          <w:tcPr>
            <w:tcW w:w="1843"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No</w:t>
            </w:r>
          </w:p>
        </w:tc>
      </w:tr>
      <w:tr w:rsidR="000D72BB" w:rsidRPr="000D72BB">
        <w:trPr>
          <w:trHeight w:val="241"/>
          <w:jc w:val="center"/>
        </w:trPr>
        <w:tc>
          <w:tcPr>
            <w:tcW w:w="1901" w:type="dxa"/>
          </w:tcPr>
          <w:p w:rsidR="000710CF" w:rsidRPr="000D72BB" w:rsidRDefault="000D72BB">
            <w:pPr>
              <w:widowControl w:val="0"/>
              <w:autoSpaceDE w:val="0"/>
              <w:autoSpaceDN w:val="0"/>
              <w:adjustRightInd w:val="0"/>
              <w:spacing w:after="0" w:line="240" w:lineRule="auto"/>
              <w:rPr>
                <w:rFonts w:ascii="Times New Roman" w:eastAsia="Calibri" w:hAnsi="Times New Roman" w:cs="Times New Roman"/>
                <w:sz w:val="20"/>
                <w:szCs w:val="20"/>
              </w:rPr>
            </w:pPr>
            <w:r w:rsidRPr="000D72BB">
              <w:rPr>
                <w:rFonts w:ascii="Times New Roman" w:eastAsia="Calibri" w:hAnsi="Times New Roman" w:cs="Times New Roman"/>
                <w:sz w:val="20"/>
                <w:szCs w:val="20"/>
              </w:rPr>
              <w:t>Firm &amp; Year FEs</w:t>
            </w:r>
          </w:p>
        </w:tc>
        <w:tc>
          <w:tcPr>
            <w:tcW w:w="1303"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No</w:t>
            </w:r>
          </w:p>
        </w:tc>
        <w:tc>
          <w:tcPr>
            <w:tcW w:w="1940"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No</w:t>
            </w:r>
          </w:p>
        </w:tc>
        <w:tc>
          <w:tcPr>
            <w:tcW w:w="1377"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Yes</w:t>
            </w:r>
          </w:p>
        </w:tc>
        <w:tc>
          <w:tcPr>
            <w:tcW w:w="1843"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Yes</w:t>
            </w:r>
          </w:p>
        </w:tc>
      </w:tr>
      <w:tr w:rsidR="000D72BB" w:rsidRPr="000D72BB">
        <w:trPr>
          <w:trHeight w:val="226"/>
          <w:jc w:val="center"/>
        </w:trPr>
        <w:tc>
          <w:tcPr>
            <w:tcW w:w="1901" w:type="dxa"/>
          </w:tcPr>
          <w:p w:rsidR="000710CF" w:rsidRPr="000D72BB" w:rsidRDefault="000D72BB">
            <w:pPr>
              <w:widowControl w:val="0"/>
              <w:autoSpaceDE w:val="0"/>
              <w:autoSpaceDN w:val="0"/>
              <w:adjustRightInd w:val="0"/>
              <w:spacing w:after="0" w:line="240" w:lineRule="auto"/>
              <w:rPr>
                <w:rFonts w:ascii="Times New Roman" w:eastAsia="Calibri" w:hAnsi="Times New Roman" w:cs="Times New Roman"/>
                <w:sz w:val="20"/>
                <w:szCs w:val="20"/>
              </w:rPr>
            </w:pPr>
            <w:r w:rsidRPr="000D72BB">
              <w:rPr>
                <w:rFonts w:ascii="Times New Roman" w:eastAsia="Calibri" w:hAnsi="Times New Roman" w:cs="Times New Roman"/>
                <w:sz w:val="20"/>
                <w:szCs w:val="20"/>
              </w:rPr>
              <w:t>Adj. R</w:t>
            </w:r>
            <w:r w:rsidRPr="000D72BB">
              <w:rPr>
                <w:rFonts w:ascii="Times New Roman" w:eastAsia="Calibri" w:hAnsi="Times New Roman" w:cs="Times New Roman"/>
                <w:sz w:val="20"/>
                <w:szCs w:val="20"/>
                <w:vertAlign w:val="superscript"/>
              </w:rPr>
              <w:t>2</w:t>
            </w:r>
          </w:p>
        </w:tc>
        <w:tc>
          <w:tcPr>
            <w:tcW w:w="1303"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0.47</w:t>
            </w:r>
          </w:p>
        </w:tc>
        <w:tc>
          <w:tcPr>
            <w:tcW w:w="1940"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0.47</w:t>
            </w:r>
          </w:p>
        </w:tc>
        <w:tc>
          <w:tcPr>
            <w:tcW w:w="1377"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0.74</w:t>
            </w:r>
          </w:p>
        </w:tc>
        <w:tc>
          <w:tcPr>
            <w:tcW w:w="1843" w:type="dxa"/>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0.72</w:t>
            </w:r>
          </w:p>
        </w:tc>
      </w:tr>
      <w:tr w:rsidR="000710CF" w:rsidRPr="000D72BB">
        <w:trPr>
          <w:trHeight w:val="226"/>
          <w:jc w:val="center"/>
        </w:trPr>
        <w:tc>
          <w:tcPr>
            <w:tcW w:w="1901" w:type="dxa"/>
            <w:tcBorders>
              <w:bottom w:val="single" w:sz="4" w:space="0" w:color="auto"/>
            </w:tcBorders>
          </w:tcPr>
          <w:p w:rsidR="000710CF" w:rsidRPr="000D72BB" w:rsidRDefault="000D72BB">
            <w:pPr>
              <w:widowControl w:val="0"/>
              <w:autoSpaceDE w:val="0"/>
              <w:autoSpaceDN w:val="0"/>
              <w:adjustRightInd w:val="0"/>
              <w:spacing w:after="0" w:line="240" w:lineRule="auto"/>
              <w:rPr>
                <w:rFonts w:ascii="Times New Roman" w:eastAsia="Calibri" w:hAnsi="Times New Roman" w:cs="Times New Roman"/>
                <w:sz w:val="20"/>
                <w:szCs w:val="20"/>
              </w:rPr>
            </w:pPr>
            <w:r w:rsidRPr="000D72BB">
              <w:rPr>
                <w:rFonts w:ascii="Times New Roman" w:eastAsia="Calibri" w:hAnsi="Times New Roman" w:cs="Times New Roman"/>
                <w:sz w:val="20"/>
                <w:szCs w:val="20"/>
              </w:rPr>
              <w:t>Controls</w:t>
            </w:r>
          </w:p>
        </w:tc>
        <w:tc>
          <w:tcPr>
            <w:tcW w:w="1303" w:type="dxa"/>
            <w:tcBorders>
              <w:bottom w:val="single" w:sz="4" w:space="0" w:color="auto"/>
            </w:tcBorders>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Yes</w:t>
            </w:r>
          </w:p>
        </w:tc>
        <w:tc>
          <w:tcPr>
            <w:tcW w:w="1940" w:type="dxa"/>
            <w:tcBorders>
              <w:bottom w:val="single" w:sz="4" w:space="0" w:color="auto"/>
            </w:tcBorders>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Yes</w:t>
            </w:r>
          </w:p>
        </w:tc>
        <w:tc>
          <w:tcPr>
            <w:tcW w:w="1377" w:type="dxa"/>
            <w:tcBorders>
              <w:bottom w:val="single" w:sz="4" w:space="0" w:color="auto"/>
            </w:tcBorders>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Yes</w:t>
            </w:r>
          </w:p>
        </w:tc>
        <w:tc>
          <w:tcPr>
            <w:tcW w:w="1843" w:type="dxa"/>
            <w:tcBorders>
              <w:bottom w:val="single" w:sz="4" w:space="0" w:color="auto"/>
            </w:tcBorders>
          </w:tcPr>
          <w:p w:rsidR="000710CF" w:rsidRPr="000D72BB" w:rsidRDefault="000D72B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D72BB">
              <w:rPr>
                <w:rFonts w:ascii="Times New Roman" w:eastAsia="Calibri" w:hAnsi="Times New Roman" w:cs="Times New Roman"/>
                <w:sz w:val="20"/>
                <w:szCs w:val="20"/>
              </w:rPr>
              <w:t>Yes</w:t>
            </w:r>
          </w:p>
        </w:tc>
      </w:tr>
    </w:tbl>
    <w:p w:rsidR="000710CF" w:rsidRPr="000D72BB" w:rsidRDefault="000710CF"/>
    <w:p w:rsidR="000710CF" w:rsidRDefault="000710CF"/>
    <w:sectPr w:rsidR="000710CF">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0CF" w:rsidRDefault="000D72BB">
      <w:pPr>
        <w:spacing w:line="240" w:lineRule="auto"/>
      </w:pPr>
      <w:r>
        <w:separator/>
      </w:r>
    </w:p>
  </w:endnote>
  <w:endnote w:type="continuationSeparator" w:id="0">
    <w:p w:rsidR="000710CF" w:rsidRDefault="000D72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等线 Light">
    <w:altName w:val="Liberation Mono"/>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0CF" w:rsidRDefault="000D72BB">
      <w:pPr>
        <w:spacing w:after="0"/>
      </w:pPr>
      <w:r>
        <w:separator/>
      </w:r>
    </w:p>
  </w:footnote>
  <w:footnote w:type="continuationSeparator" w:id="0">
    <w:p w:rsidR="000710CF" w:rsidRDefault="000D72B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A7142F"/>
    <w:rsid w:val="000710CF"/>
    <w:rsid w:val="000D72BB"/>
    <w:rsid w:val="18A714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F6DE6D4-509E-4AC7-893D-BF0E55B29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920</Words>
  <Characters>5244</Characters>
  <Application>Microsoft Office Word</Application>
  <DocSecurity>0</DocSecurity>
  <Lines>43</Lines>
  <Paragraphs>12</Paragraphs>
  <ScaleCrop>false</ScaleCrop>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Shiney Precilla</dc:creator>
  <cp:lastModifiedBy>Dhanesh  M</cp:lastModifiedBy>
  <cp:revision>2</cp:revision>
  <dcterms:created xsi:type="dcterms:W3CDTF">2025-07-16T05:13:00Z</dcterms:created>
  <dcterms:modified xsi:type="dcterms:W3CDTF">2025-07-25T05:47:00Z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804DBF0755D545719E330C6D00A364AD_11</vt:lpwstr>
  </property>
</Properties>
</file>