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DCD4D">
      <w:pPr>
        <w:rPr>
          <w:rFonts w:ascii="Aptos Display" w:hAnsi="Aptos Display"/>
          <w:b/>
          <w:sz w:val="24"/>
          <w:szCs w:val="24"/>
        </w:rPr>
      </w:pPr>
      <w:r>
        <w:rPr>
          <w:rFonts w:ascii="Aptos Display" w:hAnsi="Aptos Display" w:eastAsia="Microsoft JhengHei UI"/>
          <w:b/>
          <w:sz w:val="28"/>
          <w:szCs w:val="28"/>
        </w:rPr>
        <w:t>Appendix: Variable Definitions</w:t>
      </w:r>
      <w:r>
        <w:rPr>
          <w:rFonts w:ascii="Aptos Display" w:hAnsi="Aptos Display"/>
          <w:b/>
          <w:sz w:val="24"/>
          <w:szCs w:val="24"/>
        </w:rPr>
        <w:t xml:space="preserve"> </w:t>
      </w:r>
    </w:p>
    <w:tbl>
      <w:tblPr>
        <w:tblStyle w:val="4"/>
        <w:tblW w:w="9998"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60"/>
        <w:gridCol w:w="8438"/>
      </w:tblGrid>
      <w:tr w14:paraId="781D0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Borders>
              <w:top w:val="single" w:color="auto" w:sz="4" w:space="0"/>
              <w:bottom w:val="single" w:color="auto" w:sz="4" w:space="0"/>
            </w:tcBorders>
          </w:tcPr>
          <w:p w14:paraId="2DD08864">
            <w:pPr>
              <w:spacing w:after="0" w:line="240" w:lineRule="auto"/>
              <w:rPr>
                <w:rFonts w:ascii="Aptos Display" w:hAnsi="Aptos Display"/>
                <w:b/>
                <w:sz w:val="24"/>
                <w:szCs w:val="24"/>
              </w:rPr>
            </w:pPr>
            <w:r>
              <w:rPr>
                <w:rFonts w:ascii="Aptos Display" w:hAnsi="Aptos Display"/>
                <w:b/>
                <w:sz w:val="24"/>
                <w:szCs w:val="24"/>
              </w:rPr>
              <w:t>Variable</w:t>
            </w:r>
          </w:p>
        </w:tc>
        <w:tc>
          <w:tcPr>
            <w:tcW w:w="8438" w:type="dxa"/>
            <w:tcBorders>
              <w:top w:val="single" w:color="auto" w:sz="4" w:space="0"/>
              <w:bottom w:val="single" w:color="auto" w:sz="4" w:space="0"/>
            </w:tcBorders>
          </w:tcPr>
          <w:p w14:paraId="340D2A50">
            <w:pPr>
              <w:spacing w:after="0" w:line="240" w:lineRule="auto"/>
              <w:rPr>
                <w:rFonts w:ascii="Aptos Display" w:hAnsi="Aptos Display"/>
                <w:b/>
                <w:sz w:val="24"/>
                <w:szCs w:val="24"/>
              </w:rPr>
            </w:pPr>
            <w:r>
              <w:rPr>
                <w:rFonts w:ascii="Aptos Display" w:hAnsi="Aptos Display"/>
                <w:b/>
                <w:sz w:val="24"/>
                <w:szCs w:val="24"/>
              </w:rPr>
              <w:t>Definition</w:t>
            </w:r>
          </w:p>
        </w:tc>
      </w:tr>
      <w:tr w14:paraId="3E09F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Borders>
              <w:top w:val="single" w:color="auto" w:sz="4" w:space="0"/>
            </w:tcBorders>
          </w:tcPr>
          <w:p w14:paraId="2F80FE6A">
            <w:pPr>
              <w:spacing w:after="0" w:line="240" w:lineRule="auto"/>
              <w:rPr>
                <w:rFonts w:ascii="Aptos Display" w:hAnsi="Aptos Display"/>
                <w:bCs/>
                <w:i/>
                <w:iCs/>
                <w:sz w:val="20"/>
                <w:szCs w:val="20"/>
              </w:rPr>
            </w:pPr>
            <w:r>
              <w:rPr>
                <w:rFonts w:ascii="Aptos Display" w:hAnsi="Aptos Display"/>
                <w:bCs/>
                <w:i/>
                <w:iCs/>
                <w:sz w:val="20"/>
                <w:szCs w:val="20"/>
              </w:rPr>
              <w:t>PEG</w:t>
            </w:r>
          </w:p>
        </w:tc>
        <w:tc>
          <w:tcPr>
            <w:tcW w:w="8438" w:type="dxa"/>
            <w:tcBorders>
              <w:top w:val="single" w:color="auto" w:sz="4" w:space="0"/>
            </w:tcBorders>
          </w:tcPr>
          <w:p w14:paraId="02ACE641">
            <w:pPr>
              <w:spacing w:after="0" w:line="240" w:lineRule="auto"/>
              <w:jc w:val="both"/>
              <w:rPr>
                <w:rFonts w:ascii="Aptos Display" w:hAnsi="Aptos Display"/>
                <w:bCs/>
                <w:sz w:val="20"/>
                <w:szCs w:val="20"/>
              </w:rPr>
            </w:pPr>
            <w:r>
              <w:rPr>
                <w:rFonts w:ascii="Aptos Display" w:hAnsi="Aptos Display"/>
                <w:bCs/>
                <w:sz w:val="20"/>
                <w:szCs w:val="20"/>
              </w:rPr>
              <w:t>Implied cost of equity, estimated by the PEG model of Easton (2004).</w:t>
            </w:r>
          </w:p>
        </w:tc>
      </w:tr>
      <w:tr w14:paraId="08FC0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1EA8FCC2">
            <w:pPr>
              <w:spacing w:after="0" w:line="240" w:lineRule="auto"/>
              <w:rPr>
                <w:rFonts w:ascii="Aptos Display" w:hAnsi="Aptos Display"/>
                <w:bCs/>
                <w:i/>
                <w:iCs/>
                <w:sz w:val="20"/>
                <w:szCs w:val="20"/>
              </w:rPr>
            </w:pPr>
            <w:r>
              <w:rPr>
                <w:rFonts w:ascii="Aptos Display" w:hAnsi="Aptos Display"/>
                <w:bCs/>
                <w:i/>
                <w:iCs/>
                <w:sz w:val="20"/>
                <w:szCs w:val="20"/>
              </w:rPr>
              <w:t>MPEG</w:t>
            </w:r>
          </w:p>
        </w:tc>
        <w:tc>
          <w:tcPr>
            <w:tcW w:w="8438" w:type="dxa"/>
          </w:tcPr>
          <w:p w14:paraId="53F56A4E">
            <w:pPr>
              <w:spacing w:after="0" w:line="240" w:lineRule="auto"/>
              <w:jc w:val="both"/>
              <w:rPr>
                <w:rFonts w:ascii="Aptos Display" w:hAnsi="Aptos Display"/>
                <w:bCs/>
                <w:sz w:val="20"/>
                <w:szCs w:val="20"/>
              </w:rPr>
            </w:pPr>
            <w:r>
              <w:rPr>
                <w:rFonts w:ascii="Aptos Display" w:hAnsi="Aptos Display"/>
                <w:bCs/>
                <w:sz w:val="20"/>
                <w:szCs w:val="20"/>
              </w:rPr>
              <w:t>Implied cost of equity, estimated by the MPEG model of Easton (2004).</w:t>
            </w:r>
          </w:p>
        </w:tc>
      </w:tr>
      <w:tr w14:paraId="4B2C2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1C2E0E81">
            <w:pPr>
              <w:spacing w:after="0" w:line="240" w:lineRule="auto"/>
              <w:rPr>
                <w:rFonts w:ascii="Aptos Display" w:hAnsi="Aptos Display"/>
                <w:bCs/>
                <w:i/>
                <w:iCs/>
                <w:sz w:val="20"/>
                <w:szCs w:val="20"/>
              </w:rPr>
            </w:pPr>
            <w:r>
              <w:rPr>
                <w:rFonts w:ascii="Aptos Display" w:hAnsi="Aptos Display"/>
                <w:bCs/>
                <w:i/>
                <w:iCs/>
                <w:sz w:val="20"/>
                <w:szCs w:val="20"/>
              </w:rPr>
              <w:t>KCT</w:t>
            </w:r>
          </w:p>
        </w:tc>
        <w:tc>
          <w:tcPr>
            <w:tcW w:w="8438" w:type="dxa"/>
          </w:tcPr>
          <w:p w14:paraId="2DEF2A07">
            <w:pPr>
              <w:spacing w:after="0" w:line="240" w:lineRule="auto"/>
              <w:jc w:val="both"/>
              <w:rPr>
                <w:rFonts w:ascii="Aptos Display" w:hAnsi="Aptos Display"/>
                <w:bCs/>
                <w:sz w:val="20"/>
                <w:szCs w:val="20"/>
              </w:rPr>
            </w:pPr>
            <w:r>
              <w:rPr>
                <w:rFonts w:ascii="Aptos Display" w:hAnsi="Aptos Display"/>
                <w:bCs/>
                <w:sz w:val="20"/>
                <w:szCs w:val="20"/>
              </w:rPr>
              <w:t>Implied cost of equity, estimated based on the Claus and Thomas (2001) meth</w:t>
            </w:r>
            <w:bookmarkStart w:id="0" w:name="_GoBack"/>
            <w:bookmarkEnd w:id="0"/>
            <w:r>
              <w:rPr>
                <w:rFonts w:ascii="Aptos Display" w:hAnsi="Aptos Display"/>
                <w:bCs/>
                <w:sz w:val="20"/>
                <w:szCs w:val="20"/>
              </w:rPr>
              <w:t>od.</w:t>
            </w:r>
          </w:p>
        </w:tc>
      </w:tr>
      <w:tr w14:paraId="6246C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476377EB">
            <w:pPr>
              <w:spacing w:after="0" w:line="240" w:lineRule="auto"/>
              <w:rPr>
                <w:rFonts w:ascii="Aptos Display" w:hAnsi="Aptos Display"/>
                <w:bCs/>
                <w:i/>
                <w:iCs/>
                <w:sz w:val="20"/>
                <w:szCs w:val="20"/>
              </w:rPr>
            </w:pPr>
            <w:r>
              <w:rPr>
                <w:rFonts w:ascii="Aptos Display" w:hAnsi="Aptos Display"/>
                <w:bCs/>
                <w:i/>
                <w:iCs/>
                <w:sz w:val="20"/>
                <w:szCs w:val="20"/>
              </w:rPr>
              <w:t>KGLS</w:t>
            </w:r>
          </w:p>
        </w:tc>
        <w:tc>
          <w:tcPr>
            <w:tcW w:w="8438" w:type="dxa"/>
          </w:tcPr>
          <w:p w14:paraId="4DFC4744">
            <w:pPr>
              <w:spacing w:after="0" w:line="240" w:lineRule="auto"/>
              <w:jc w:val="both"/>
              <w:rPr>
                <w:rFonts w:ascii="Aptos Display" w:hAnsi="Aptos Display"/>
                <w:bCs/>
                <w:sz w:val="20"/>
                <w:szCs w:val="20"/>
              </w:rPr>
            </w:pPr>
            <w:r>
              <w:rPr>
                <w:rFonts w:ascii="Aptos Display" w:hAnsi="Aptos Display"/>
                <w:bCs/>
                <w:sz w:val="20"/>
                <w:szCs w:val="20"/>
              </w:rPr>
              <w:t>Implied cost of equity, estimated based on the Gebhardt et al. (2001) method.</w:t>
            </w:r>
          </w:p>
        </w:tc>
      </w:tr>
      <w:tr w14:paraId="79886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0D517E9D">
            <w:pPr>
              <w:spacing w:after="0" w:line="240" w:lineRule="auto"/>
              <w:rPr>
                <w:rFonts w:ascii="Aptos Display" w:hAnsi="Aptos Display"/>
                <w:bCs/>
                <w:i/>
                <w:iCs/>
                <w:sz w:val="20"/>
                <w:szCs w:val="20"/>
              </w:rPr>
            </w:pPr>
            <w:r>
              <w:rPr>
                <w:rFonts w:ascii="Aptos Display" w:hAnsi="Aptos Display"/>
                <w:bCs/>
                <w:i/>
                <w:iCs/>
                <w:sz w:val="20"/>
                <w:szCs w:val="20"/>
              </w:rPr>
              <w:t>LNFEM</w:t>
            </w:r>
          </w:p>
        </w:tc>
        <w:tc>
          <w:tcPr>
            <w:tcW w:w="8438" w:type="dxa"/>
          </w:tcPr>
          <w:p w14:paraId="0A7304B6">
            <w:pPr>
              <w:spacing w:after="0" w:line="240" w:lineRule="auto"/>
              <w:jc w:val="both"/>
              <w:rPr>
                <w:rFonts w:ascii="Aptos Display" w:hAnsi="Aptos Display"/>
                <w:bCs/>
                <w:sz w:val="20"/>
                <w:szCs w:val="20"/>
              </w:rPr>
            </w:pPr>
            <w:r>
              <w:rPr>
                <w:rFonts w:ascii="Aptos Display" w:hAnsi="Aptos Display"/>
                <w:bCs/>
                <w:sz w:val="20"/>
                <w:szCs w:val="20"/>
              </w:rPr>
              <w:t>Natural log of the number of female directors on the board</w:t>
            </w:r>
          </w:p>
        </w:tc>
      </w:tr>
      <w:tr w14:paraId="7A7E6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01A4D49C">
            <w:pPr>
              <w:spacing w:after="0" w:line="240" w:lineRule="auto"/>
              <w:rPr>
                <w:rFonts w:ascii="Aptos Display" w:hAnsi="Aptos Display"/>
                <w:bCs/>
                <w:i/>
                <w:iCs/>
                <w:sz w:val="20"/>
                <w:szCs w:val="20"/>
              </w:rPr>
            </w:pPr>
            <w:r>
              <w:rPr>
                <w:rFonts w:ascii="Aptos Display" w:hAnsi="Aptos Display"/>
                <w:bCs/>
                <w:i/>
                <w:iCs/>
                <w:sz w:val="20"/>
                <w:szCs w:val="20"/>
              </w:rPr>
              <w:t>FEMDUM</w:t>
            </w:r>
          </w:p>
        </w:tc>
        <w:tc>
          <w:tcPr>
            <w:tcW w:w="8438" w:type="dxa"/>
          </w:tcPr>
          <w:p w14:paraId="2B7D2197">
            <w:pPr>
              <w:spacing w:after="0" w:line="240" w:lineRule="auto"/>
              <w:jc w:val="both"/>
              <w:rPr>
                <w:rFonts w:ascii="Aptos Display" w:hAnsi="Aptos Display"/>
                <w:bCs/>
                <w:sz w:val="20"/>
                <w:szCs w:val="20"/>
              </w:rPr>
            </w:pPr>
            <w:r>
              <w:rPr>
                <w:rFonts w:ascii="Aptos Display" w:hAnsi="Aptos Display"/>
                <w:bCs/>
                <w:sz w:val="20"/>
                <w:szCs w:val="20"/>
              </w:rPr>
              <w:t xml:space="preserve">A dummy variable equals one if a firm has at least one female director in year </w:t>
            </w:r>
            <w:r>
              <w:rPr>
                <w:rFonts w:ascii="Aptos Display" w:hAnsi="Aptos Display"/>
                <w:bCs/>
                <w:i/>
                <w:iCs/>
                <w:sz w:val="20"/>
                <w:szCs w:val="20"/>
              </w:rPr>
              <w:t>t</w:t>
            </w:r>
            <w:r>
              <w:rPr>
                <w:rFonts w:ascii="Aptos Display" w:hAnsi="Aptos Display"/>
                <w:bCs/>
                <w:sz w:val="20"/>
                <w:szCs w:val="20"/>
              </w:rPr>
              <w:t xml:space="preserve"> and zero otherwise.</w:t>
            </w:r>
          </w:p>
        </w:tc>
      </w:tr>
      <w:tr w14:paraId="00531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5EE2BA6F">
            <w:pPr>
              <w:spacing w:after="0" w:line="240" w:lineRule="auto"/>
              <w:rPr>
                <w:rFonts w:ascii="Aptos Display" w:hAnsi="Aptos Display"/>
                <w:bCs/>
                <w:i/>
                <w:iCs/>
                <w:sz w:val="20"/>
                <w:szCs w:val="20"/>
              </w:rPr>
            </w:pPr>
            <w:r>
              <w:rPr>
                <w:rFonts w:ascii="Aptos Display" w:hAnsi="Aptos Display"/>
                <w:bCs/>
                <w:i/>
                <w:iCs/>
                <w:sz w:val="20"/>
                <w:szCs w:val="20"/>
              </w:rPr>
              <w:t>FEMPER</w:t>
            </w:r>
          </w:p>
        </w:tc>
        <w:tc>
          <w:tcPr>
            <w:tcW w:w="8438" w:type="dxa"/>
          </w:tcPr>
          <w:p w14:paraId="3B171A27">
            <w:pPr>
              <w:spacing w:after="0" w:line="240" w:lineRule="auto"/>
              <w:jc w:val="both"/>
              <w:rPr>
                <w:rFonts w:ascii="Aptos Display" w:hAnsi="Aptos Display"/>
                <w:bCs/>
                <w:sz w:val="20"/>
                <w:szCs w:val="20"/>
              </w:rPr>
            </w:pPr>
            <w:r>
              <w:rPr>
                <w:rFonts w:ascii="Aptos Display" w:hAnsi="Aptos Display"/>
                <w:bCs/>
                <w:sz w:val="20"/>
                <w:szCs w:val="20"/>
              </w:rPr>
              <w:t>Ratio of the total number of female directors to total board size.</w:t>
            </w:r>
          </w:p>
        </w:tc>
      </w:tr>
      <w:tr w14:paraId="13A06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0FBBDC5C">
            <w:pPr>
              <w:spacing w:after="0" w:line="240" w:lineRule="auto"/>
              <w:rPr>
                <w:rFonts w:ascii="Aptos Display" w:hAnsi="Aptos Display"/>
                <w:bCs/>
                <w:i/>
                <w:iCs/>
                <w:sz w:val="20"/>
                <w:szCs w:val="20"/>
              </w:rPr>
            </w:pPr>
            <w:r>
              <w:rPr>
                <w:rFonts w:ascii="Aptos Display" w:hAnsi="Aptos Display"/>
                <w:bCs/>
                <w:i/>
                <w:iCs/>
                <w:sz w:val="20"/>
                <w:szCs w:val="20"/>
              </w:rPr>
              <w:t>LNBOD</w:t>
            </w:r>
          </w:p>
        </w:tc>
        <w:tc>
          <w:tcPr>
            <w:tcW w:w="8438" w:type="dxa"/>
          </w:tcPr>
          <w:p w14:paraId="350172DE">
            <w:pPr>
              <w:spacing w:after="0" w:line="240" w:lineRule="auto"/>
              <w:jc w:val="both"/>
              <w:rPr>
                <w:rFonts w:ascii="Aptos Display" w:hAnsi="Aptos Display"/>
                <w:bCs/>
                <w:sz w:val="20"/>
                <w:szCs w:val="20"/>
              </w:rPr>
            </w:pPr>
            <w:r>
              <w:rPr>
                <w:rFonts w:ascii="Aptos Display" w:hAnsi="Aptos Display"/>
                <w:bCs/>
                <w:sz w:val="20"/>
                <w:szCs w:val="20"/>
              </w:rPr>
              <w:t>Natural log of the number of directors on the board</w:t>
            </w:r>
          </w:p>
        </w:tc>
      </w:tr>
      <w:tr w14:paraId="7CFA0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0CB7EA24">
            <w:pPr>
              <w:spacing w:after="0" w:line="240" w:lineRule="auto"/>
              <w:rPr>
                <w:rFonts w:ascii="Aptos Display" w:hAnsi="Aptos Display"/>
                <w:bCs/>
                <w:i/>
                <w:iCs/>
                <w:sz w:val="20"/>
                <w:szCs w:val="20"/>
              </w:rPr>
            </w:pPr>
            <w:r>
              <w:rPr>
                <w:rFonts w:ascii="Aptos Display" w:hAnsi="Aptos Display"/>
                <w:bCs/>
                <w:i/>
                <w:iCs/>
                <w:sz w:val="20"/>
                <w:szCs w:val="20"/>
              </w:rPr>
              <w:t>INDPER</w:t>
            </w:r>
          </w:p>
        </w:tc>
        <w:tc>
          <w:tcPr>
            <w:tcW w:w="8438" w:type="dxa"/>
          </w:tcPr>
          <w:p w14:paraId="069E2B91">
            <w:pPr>
              <w:spacing w:after="0" w:line="240" w:lineRule="auto"/>
              <w:jc w:val="both"/>
              <w:rPr>
                <w:rFonts w:ascii="Aptos Display" w:hAnsi="Aptos Display"/>
                <w:bCs/>
                <w:sz w:val="20"/>
                <w:szCs w:val="20"/>
              </w:rPr>
            </w:pPr>
            <w:r>
              <w:rPr>
                <w:rFonts w:ascii="Aptos Display" w:hAnsi="Aptos Display"/>
                <w:bCs/>
                <w:sz w:val="20"/>
                <w:szCs w:val="20"/>
              </w:rPr>
              <w:t>Ratio of the number of independent directors on the board to total board size.</w:t>
            </w:r>
          </w:p>
        </w:tc>
      </w:tr>
      <w:tr w14:paraId="6D761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1FF4218D">
            <w:pPr>
              <w:spacing w:after="0" w:line="240" w:lineRule="auto"/>
              <w:rPr>
                <w:rFonts w:ascii="Aptos Display" w:hAnsi="Aptos Display"/>
                <w:bCs/>
                <w:i/>
                <w:iCs/>
                <w:sz w:val="20"/>
                <w:szCs w:val="20"/>
              </w:rPr>
            </w:pPr>
            <w:r>
              <w:rPr>
                <w:rFonts w:ascii="Aptos Display" w:hAnsi="Aptos Display"/>
                <w:bCs/>
                <w:i/>
                <w:iCs/>
                <w:sz w:val="20"/>
                <w:szCs w:val="20"/>
              </w:rPr>
              <w:t>CEODUAL</w:t>
            </w:r>
          </w:p>
        </w:tc>
        <w:tc>
          <w:tcPr>
            <w:tcW w:w="8438" w:type="dxa"/>
          </w:tcPr>
          <w:p w14:paraId="73B7CE66">
            <w:pPr>
              <w:spacing w:after="0" w:line="240" w:lineRule="auto"/>
              <w:jc w:val="both"/>
              <w:rPr>
                <w:rFonts w:ascii="Aptos Display" w:hAnsi="Aptos Display"/>
                <w:bCs/>
                <w:sz w:val="20"/>
                <w:szCs w:val="20"/>
              </w:rPr>
            </w:pPr>
            <w:r>
              <w:rPr>
                <w:rFonts w:ascii="Aptos Display" w:hAnsi="Aptos Display"/>
                <w:bCs/>
                <w:sz w:val="20"/>
                <w:szCs w:val="20"/>
              </w:rPr>
              <w:t>A dummy is equal to one if the firm's chairman of the board and CEO are the same person and zero otherwise.</w:t>
            </w:r>
          </w:p>
        </w:tc>
      </w:tr>
      <w:tr w14:paraId="1F903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666C2660">
            <w:pPr>
              <w:spacing w:after="0" w:line="240" w:lineRule="auto"/>
              <w:rPr>
                <w:rFonts w:ascii="Aptos Display" w:hAnsi="Aptos Display"/>
                <w:bCs/>
                <w:i/>
                <w:iCs/>
                <w:sz w:val="20"/>
                <w:szCs w:val="20"/>
              </w:rPr>
            </w:pPr>
            <w:r>
              <w:rPr>
                <w:rFonts w:ascii="Aptos Display" w:hAnsi="Aptos Display"/>
                <w:bCs/>
                <w:i/>
                <w:iCs/>
                <w:sz w:val="20"/>
                <w:szCs w:val="20"/>
              </w:rPr>
              <w:t>LNMEET</w:t>
            </w:r>
          </w:p>
        </w:tc>
        <w:tc>
          <w:tcPr>
            <w:tcW w:w="8438" w:type="dxa"/>
          </w:tcPr>
          <w:p w14:paraId="5E0922FD">
            <w:pPr>
              <w:spacing w:after="0" w:line="240" w:lineRule="auto"/>
              <w:jc w:val="both"/>
              <w:rPr>
                <w:rFonts w:ascii="Aptos Display" w:hAnsi="Aptos Display"/>
                <w:bCs/>
                <w:sz w:val="20"/>
                <w:szCs w:val="20"/>
              </w:rPr>
            </w:pPr>
            <w:r>
              <w:rPr>
                <w:rFonts w:ascii="Aptos Display" w:hAnsi="Aptos Display"/>
                <w:bCs/>
                <w:sz w:val="20"/>
                <w:szCs w:val="20"/>
              </w:rPr>
              <w:t>Natural log of the number of board of directors meeting</w:t>
            </w:r>
          </w:p>
        </w:tc>
      </w:tr>
      <w:tr w14:paraId="70C4E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0FF7C5D0">
            <w:pPr>
              <w:spacing w:after="0" w:line="240" w:lineRule="auto"/>
              <w:rPr>
                <w:rFonts w:ascii="Aptos Display" w:hAnsi="Aptos Display"/>
                <w:bCs/>
                <w:i/>
                <w:iCs/>
                <w:sz w:val="20"/>
                <w:szCs w:val="20"/>
              </w:rPr>
            </w:pPr>
            <w:r>
              <w:rPr>
                <w:rFonts w:ascii="Aptos Display" w:hAnsi="Aptos Display"/>
                <w:bCs/>
                <w:i/>
                <w:iCs/>
                <w:sz w:val="20"/>
                <w:szCs w:val="20"/>
              </w:rPr>
              <w:t>BIG4</w:t>
            </w:r>
          </w:p>
        </w:tc>
        <w:tc>
          <w:tcPr>
            <w:tcW w:w="8438" w:type="dxa"/>
          </w:tcPr>
          <w:p w14:paraId="2F6C8206">
            <w:pPr>
              <w:spacing w:after="0" w:line="240" w:lineRule="auto"/>
              <w:jc w:val="both"/>
              <w:rPr>
                <w:rFonts w:ascii="Aptos Display" w:hAnsi="Aptos Display"/>
                <w:bCs/>
                <w:sz w:val="20"/>
                <w:szCs w:val="20"/>
              </w:rPr>
            </w:pPr>
            <w:r>
              <w:rPr>
                <w:rFonts w:ascii="Aptos Display" w:hAnsi="Aptos Display"/>
                <w:bCs/>
                <w:sz w:val="20"/>
                <w:szCs w:val="20"/>
              </w:rPr>
              <w:t>A dummy equal one if the auditor is one of the Big 4 auditing firms, and zero otherwise.</w:t>
            </w:r>
          </w:p>
        </w:tc>
      </w:tr>
      <w:tr w14:paraId="25FC9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4C292C7C">
            <w:pPr>
              <w:spacing w:after="0" w:line="240" w:lineRule="auto"/>
              <w:rPr>
                <w:rFonts w:ascii="Aptos Display" w:hAnsi="Aptos Display"/>
                <w:bCs/>
                <w:i/>
                <w:iCs/>
                <w:sz w:val="20"/>
                <w:szCs w:val="20"/>
              </w:rPr>
            </w:pPr>
            <w:r>
              <w:rPr>
                <w:rFonts w:ascii="Aptos Display" w:hAnsi="Aptos Display"/>
                <w:bCs/>
                <w:i/>
                <w:iCs/>
                <w:sz w:val="20"/>
                <w:szCs w:val="20"/>
              </w:rPr>
              <w:t>AUDOPIN</w:t>
            </w:r>
          </w:p>
        </w:tc>
        <w:tc>
          <w:tcPr>
            <w:tcW w:w="8438" w:type="dxa"/>
          </w:tcPr>
          <w:p w14:paraId="629C6C88">
            <w:pPr>
              <w:spacing w:after="0" w:line="240" w:lineRule="auto"/>
              <w:jc w:val="both"/>
              <w:rPr>
                <w:rFonts w:ascii="Aptos Display" w:hAnsi="Aptos Display"/>
                <w:bCs/>
                <w:sz w:val="20"/>
                <w:szCs w:val="20"/>
              </w:rPr>
            </w:pPr>
            <w:r>
              <w:rPr>
                <w:rFonts w:ascii="Aptos Display" w:hAnsi="Aptos Display"/>
                <w:sz w:val="20"/>
                <w:szCs w:val="20"/>
              </w:rPr>
              <w:t>A dummy variable equal to 1 if the firm-year observations have been identified for modified or going concern opinion by the auditor, 0 otherwise</w:t>
            </w:r>
          </w:p>
        </w:tc>
      </w:tr>
      <w:tr w14:paraId="38BB6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65F829B2">
            <w:pPr>
              <w:spacing w:after="0" w:line="240" w:lineRule="auto"/>
              <w:rPr>
                <w:rFonts w:ascii="Aptos Display" w:hAnsi="Aptos Display"/>
                <w:bCs/>
                <w:i/>
                <w:iCs/>
                <w:sz w:val="20"/>
                <w:szCs w:val="20"/>
              </w:rPr>
            </w:pPr>
            <w:r>
              <w:rPr>
                <w:rFonts w:ascii="Aptos Display" w:hAnsi="Aptos Display"/>
                <w:bCs/>
                <w:i/>
                <w:iCs/>
                <w:sz w:val="20"/>
                <w:szCs w:val="20"/>
              </w:rPr>
              <w:t>RESTATE</w:t>
            </w:r>
          </w:p>
        </w:tc>
        <w:tc>
          <w:tcPr>
            <w:tcW w:w="8438" w:type="dxa"/>
          </w:tcPr>
          <w:p w14:paraId="7C648E7E">
            <w:pPr>
              <w:spacing w:after="0" w:line="240" w:lineRule="auto"/>
              <w:jc w:val="both"/>
              <w:rPr>
                <w:rFonts w:ascii="Aptos Display" w:hAnsi="Aptos Display"/>
                <w:bCs/>
                <w:sz w:val="20"/>
                <w:szCs w:val="20"/>
              </w:rPr>
            </w:pPr>
            <w:r>
              <w:rPr>
                <w:rFonts w:ascii="Aptos Display" w:hAnsi="Aptos Display"/>
                <w:sz w:val="20"/>
                <w:szCs w:val="20"/>
              </w:rPr>
              <w:t>A dummy variable equal to 1 if the firm-year observations have been identified for financial restatement, 0 otherwise</w:t>
            </w:r>
          </w:p>
        </w:tc>
      </w:tr>
      <w:tr w14:paraId="63E04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08BD5D2D">
            <w:pPr>
              <w:spacing w:after="0" w:line="240" w:lineRule="auto"/>
              <w:rPr>
                <w:rFonts w:ascii="Aptos Display" w:hAnsi="Aptos Display"/>
                <w:bCs/>
                <w:i/>
                <w:iCs/>
                <w:sz w:val="20"/>
                <w:szCs w:val="20"/>
              </w:rPr>
            </w:pPr>
            <w:r>
              <w:rPr>
                <w:rFonts w:ascii="Aptos Display" w:hAnsi="Aptos Display"/>
                <w:bCs/>
                <w:i/>
                <w:iCs/>
                <w:sz w:val="20"/>
                <w:szCs w:val="20"/>
              </w:rPr>
              <w:t>LNSIZE</w:t>
            </w:r>
          </w:p>
        </w:tc>
        <w:tc>
          <w:tcPr>
            <w:tcW w:w="8438" w:type="dxa"/>
          </w:tcPr>
          <w:p w14:paraId="63AC4BAE">
            <w:pPr>
              <w:spacing w:after="0" w:line="240" w:lineRule="auto"/>
              <w:jc w:val="both"/>
              <w:rPr>
                <w:rFonts w:ascii="Aptos Display" w:hAnsi="Aptos Display"/>
                <w:bCs/>
                <w:sz w:val="20"/>
                <w:szCs w:val="20"/>
              </w:rPr>
            </w:pPr>
            <w:r>
              <w:rPr>
                <w:rFonts w:ascii="Aptos Display" w:hAnsi="Aptos Display"/>
                <w:bCs/>
                <w:sz w:val="20"/>
                <w:szCs w:val="20"/>
              </w:rPr>
              <w:t>Natural log of total assets of the firm at the end of the fiscal year</w:t>
            </w:r>
          </w:p>
        </w:tc>
      </w:tr>
      <w:tr w14:paraId="0B771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6ABACDCA">
            <w:pPr>
              <w:spacing w:after="0" w:line="240" w:lineRule="auto"/>
              <w:rPr>
                <w:rFonts w:ascii="Aptos Display" w:hAnsi="Aptos Display"/>
                <w:bCs/>
                <w:i/>
                <w:iCs/>
                <w:sz w:val="20"/>
                <w:szCs w:val="20"/>
              </w:rPr>
            </w:pPr>
            <w:r>
              <w:rPr>
                <w:rFonts w:ascii="Aptos Display" w:hAnsi="Aptos Display"/>
                <w:bCs/>
                <w:i/>
                <w:iCs/>
                <w:sz w:val="20"/>
                <w:szCs w:val="20"/>
              </w:rPr>
              <w:t>LEVER</w:t>
            </w:r>
          </w:p>
        </w:tc>
        <w:tc>
          <w:tcPr>
            <w:tcW w:w="8438" w:type="dxa"/>
          </w:tcPr>
          <w:p w14:paraId="1B75A63C">
            <w:pPr>
              <w:spacing w:after="0" w:line="240" w:lineRule="auto"/>
              <w:jc w:val="both"/>
              <w:rPr>
                <w:rFonts w:ascii="Aptos Display" w:hAnsi="Aptos Display"/>
                <w:bCs/>
                <w:sz w:val="20"/>
                <w:szCs w:val="20"/>
              </w:rPr>
            </w:pPr>
            <w:r>
              <w:rPr>
                <w:rFonts w:ascii="Aptos Display" w:hAnsi="Aptos Display"/>
                <w:bCs/>
                <w:sz w:val="20"/>
                <w:szCs w:val="20"/>
              </w:rPr>
              <w:t>Long-term interest-bearing debt scaled by total assets</w:t>
            </w:r>
          </w:p>
        </w:tc>
      </w:tr>
      <w:tr w14:paraId="2EB1D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7381802E">
            <w:pPr>
              <w:spacing w:after="0" w:line="240" w:lineRule="auto"/>
              <w:rPr>
                <w:rFonts w:ascii="Aptos Display" w:hAnsi="Aptos Display"/>
                <w:bCs/>
                <w:i/>
                <w:iCs/>
                <w:sz w:val="20"/>
                <w:szCs w:val="20"/>
              </w:rPr>
            </w:pPr>
            <w:r>
              <w:rPr>
                <w:rFonts w:ascii="Aptos Display" w:hAnsi="Aptos Display"/>
                <w:bCs/>
                <w:i/>
                <w:iCs/>
                <w:sz w:val="20"/>
                <w:szCs w:val="20"/>
              </w:rPr>
              <w:t>LOSS</w:t>
            </w:r>
          </w:p>
        </w:tc>
        <w:tc>
          <w:tcPr>
            <w:tcW w:w="8438" w:type="dxa"/>
          </w:tcPr>
          <w:p w14:paraId="4A1F52A1">
            <w:pPr>
              <w:spacing w:after="0" w:line="240" w:lineRule="auto"/>
              <w:jc w:val="both"/>
              <w:rPr>
                <w:rFonts w:ascii="Aptos Display" w:hAnsi="Aptos Display"/>
                <w:bCs/>
                <w:sz w:val="20"/>
                <w:szCs w:val="20"/>
              </w:rPr>
            </w:pPr>
            <w:r>
              <w:rPr>
                <w:rFonts w:ascii="Aptos Display" w:hAnsi="Aptos Display"/>
                <w:bCs/>
                <w:sz w:val="20"/>
                <w:szCs w:val="20"/>
              </w:rPr>
              <w:t>An indicator variable that equals 1 if the net income before abnormal is negative in the previous years and 0 otherwise</w:t>
            </w:r>
          </w:p>
        </w:tc>
      </w:tr>
      <w:tr w14:paraId="79CEE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77777D25">
            <w:pPr>
              <w:spacing w:after="0" w:line="240" w:lineRule="auto"/>
              <w:rPr>
                <w:rFonts w:ascii="Aptos Display" w:hAnsi="Aptos Display"/>
                <w:bCs/>
                <w:i/>
                <w:iCs/>
                <w:sz w:val="20"/>
                <w:szCs w:val="20"/>
              </w:rPr>
            </w:pPr>
            <w:r>
              <w:rPr>
                <w:rFonts w:ascii="Aptos Display" w:hAnsi="Aptos Display"/>
                <w:bCs/>
                <w:i/>
                <w:iCs/>
                <w:sz w:val="20"/>
                <w:szCs w:val="20"/>
              </w:rPr>
              <w:t>ROA</w:t>
            </w:r>
          </w:p>
        </w:tc>
        <w:tc>
          <w:tcPr>
            <w:tcW w:w="8438" w:type="dxa"/>
          </w:tcPr>
          <w:p w14:paraId="3E08FC96">
            <w:pPr>
              <w:spacing w:after="0" w:line="240" w:lineRule="auto"/>
              <w:jc w:val="both"/>
              <w:rPr>
                <w:rFonts w:ascii="Aptos Display" w:hAnsi="Aptos Display"/>
                <w:bCs/>
                <w:sz w:val="20"/>
                <w:szCs w:val="20"/>
              </w:rPr>
            </w:pPr>
            <w:r>
              <w:rPr>
                <w:rFonts w:ascii="Aptos Display" w:hAnsi="Aptos Display"/>
                <w:bCs/>
                <w:sz w:val="20"/>
                <w:szCs w:val="20"/>
              </w:rPr>
              <w:t>Net income divided by total assets at the end of the year.</w:t>
            </w:r>
          </w:p>
        </w:tc>
      </w:tr>
      <w:tr w14:paraId="0117E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10C02BB5">
            <w:pPr>
              <w:spacing w:after="0" w:line="240" w:lineRule="auto"/>
              <w:rPr>
                <w:rFonts w:ascii="Aptos Display" w:hAnsi="Aptos Display"/>
                <w:bCs/>
                <w:i/>
                <w:iCs/>
                <w:sz w:val="20"/>
                <w:szCs w:val="20"/>
              </w:rPr>
            </w:pPr>
            <w:r>
              <w:rPr>
                <w:rFonts w:ascii="Aptos Display" w:hAnsi="Aptos Display"/>
                <w:bCs/>
                <w:i/>
                <w:iCs/>
                <w:sz w:val="20"/>
                <w:szCs w:val="20"/>
              </w:rPr>
              <w:t>SALEGR</w:t>
            </w:r>
          </w:p>
        </w:tc>
        <w:tc>
          <w:tcPr>
            <w:tcW w:w="8438" w:type="dxa"/>
          </w:tcPr>
          <w:p w14:paraId="37598A35">
            <w:pPr>
              <w:spacing w:after="0" w:line="240" w:lineRule="auto"/>
              <w:jc w:val="both"/>
              <w:rPr>
                <w:rFonts w:ascii="Aptos Display" w:hAnsi="Aptos Display"/>
                <w:bCs/>
                <w:sz w:val="20"/>
                <w:szCs w:val="20"/>
              </w:rPr>
            </w:pPr>
            <w:r>
              <w:rPr>
                <w:rFonts w:ascii="Aptos Display" w:hAnsi="Aptos Display"/>
                <w:bCs/>
                <w:sz w:val="20"/>
                <w:szCs w:val="20"/>
              </w:rPr>
              <w:t>The growth rate of sales over the previous year.</w:t>
            </w:r>
          </w:p>
        </w:tc>
      </w:tr>
      <w:tr w14:paraId="7756A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2334F669">
            <w:pPr>
              <w:spacing w:after="0" w:line="240" w:lineRule="auto"/>
              <w:rPr>
                <w:rFonts w:ascii="Aptos Display" w:hAnsi="Aptos Display"/>
                <w:bCs/>
                <w:i/>
                <w:iCs/>
                <w:sz w:val="20"/>
                <w:szCs w:val="20"/>
              </w:rPr>
            </w:pPr>
            <w:r>
              <w:rPr>
                <w:rFonts w:ascii="Aptos Display" w:hAnsi="Aptos Display"/>
                <w:bCs/>
                <w:i/>
                <w:iCs/>
                <w:sz w:val="20"/>
                <w:szCs w:val="20"/>
              </w:rPr>
              <w:t>BETA</w:t>
            </w:r>
          </w:p>
        </w:tc>
        <w:tc>
          <w:tcPr>
            <w:tcW w:w="8438" w:type="dxa"/>
          </w:tcPr>
          <w:p w14:paraId="41DDDC3B">
            <w:pPr>
              <w:spacing w:after="0" w:line="240" w:lineRule="auto"/>
              <w:jc w:val="both"/>
              <w:rPr>
                <w:rFonts w:ascii="Aptos Display" w:hAnsi="Aptos Display"/>
                <w:bCs/>
                <w:sz w:val="20"/>
                <w:szCs w:val="20"/>
              </w:rPr>
            </w:pPr>
            <w:r>
              <w:rPr>
                <w:rFonts w:ascii="Aptos Display" w:hAnsi="Aptos Display"/>
                <w:bCs/>
                <w:sz w:val="20"/>
                <w:szCs w:val="20"/>
              </w:rPr>
              <w:t>A firm’s systematic risk component is estimated using the market model. While sourcing systematic risk from the Beta Suite database, we use a 252-day estimation window (minimum window of 126 days).</w:t>
            </w:r>
          </w:p>
        </w:tc>
      </w:tr>
      <w:tr w14:paraId="1C083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520D0A64">
            <w:pPr>
              <w:spacing w:after="0" w:line="240" w:lineRule="auto"/>
              <w:rPr>
                <w:rFonts w:ascii="Aptos Display" w:hAnsi="Aptos Display"/>
                <w:bCs/>
                <w:i/>
                <w:iCs/>
                <w:sz w:val="20"/>
                <w:szCs w:val="20"/>
              </w:rPr>
            </w:pPr>
            <w:r>
              <w:rPr>
                <w:rFonts w:ascii="Aptos Display" w:hAnsi="Aptos Display"/>
                <w:bCs/>
                <w:i/>
                <w:iCs/>
                <w:sz w:val="20"/>
                <w:szCs w:val="20"/>
              </w:rPr>
              <w:t>%FEMINDDIR</w:t>
            </w:r>
          </w:p>
        </w:tc>
        <w:tc>
          <w:tcPr>
            <w:tcW w:w="8438" w:type="dxa"/>
          </w:tcPr>
          <w:p w14:paraId="59548F3E">
            <w:pPr>
              <w:spacing w:after="0" w:line="240" w:lineRule="auto"/>
              <w:jc w:val="both"/>
              <w:rPr>
                <w:rFonts w:ascii="Aptos Display" w:hAnsi="Aptos Display"/>
                <w:bCs/>
                <w:sz w:val="20"/>
                <w:szCs w:val="20"/>
              </w:rPr>
            </w:pPr>
            <w:r>
              <w:rPr>
                <w:rFonts w:ascii="Aptos Display" w:hAnsi="Aptos Display"/>
                <w:bCs/>
                <w:sz w:val="20"/>
                <w:szCs w:val="20"/>
              </w:rPr>
              <w:t>Ratio of the total number of independent female directors to total board size.</w:t>
            </w:r>
          </w:p>
        </w:tc>
      </w:tr>
      <w:tr w14:paraId="05D43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64031CB0">
            <w:pPr>
              <w:spacing w:after="0" w:line="240" w:lineRule="auto"/>
              <w:rPr>
                <w:rFonts w:ascii="Aptos Display" w:hAnsi="Aptos Display"/>
                <w:bCs/>
                <w:i/>
                <w:iCs/>
                <w:sz w:val="20"/>
                <w:szCs w:val="20"/>
              </w:rPr>
            </w:pPr>
            <w:r>
              <w:rPr>
                <w:rFonts w:ascii="Aptos Display" w:hAnsi="Aptos Display"/>
                <w:bCs/>
                <w:i/>
                <w:iCs/>
                <w:sz w:val="20"/>
                <w:szCs w:val="20"/>
              </w:rPr>
              <w:t>FEMCEO</w:t>
            </w:r>
          </w:p>
        </w:tc>
        <w:tc>
          <w:tcPr>
            <w:tcW w:w="8438" w:type="dxa"/>
          </w:tcPr>
          <w:p w14:paraId="66708612">
            <w:pPr>
              <w:spacing w:after="0" w:line="240" w:lineRule="auto"/>
              <w:jc w:val="both"/>
              <w:rPr>
                <w:rFonts w:ascii="Aptos Display" w:hAnsi="Aptos Display"/>
                <w:bCs/>
                <w:sz w:val="20"/>
                <w:szCs w:val="20"/>
              </w:rPr>
            </w:pPr>
            <w:r>
              <w:rPr>
                <w:rFonts w:ascii="Aptos Display" w:hAnsi="Aptos Display"/>
                <w:bCs/>
                <w:sz w:val="20"/>
                <w:szCs w:val="20"/>
              </w:rPr>
              <w:t>Dummy variable equals one if a firm has a female CEO in year t and zero otherwise.</w:t>
            </w:r>
          </w:p>
        </w:tc>
      </w:tr>
      <w:tr w14:paraId="2706D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01AB0BF7">
            <w:pPr>
              <w:spacing w:after="0" w:line="240" w:lineRule="auto"/>
              <w:rPr>
                <w:rFonts w:ascii="Aptos Display" w:hAnsi="Aptos Display"/>
                <w:bCs/>
                <w:i/>
                <w:iCs/>
                <w:sz w:val="20"/>
                <w:szCs w:val="20"/>
              </w:rPr>
            </w:pPr>
            <w:r>
              <w:rPr>
                <w:rFonts w:ascii="Aptos Display" w:hAnsi="Aptos Display"/>
                <w:bCs/>
                <w:i/>
                <w:iCs/>
                <w:sz w:val="20"/>
                <w:szCs w:val="20"/>
              </w:rPr>
              <w:t>INDAVGFEM</w:t>
            </w:r>
          </w:p>
        </w:tc>
        <w:tc>
          <w:tcPr>
            <w:tcW w:w="8438" w:type="dxa"/>
          </w:tcPr>
          <w:p w14:paraId="19F6AAE5">
            <w:pPr>
              <w:spacing w:after="0" w:line="240" w:lineRule="auto"/>
              <w:jc w:val="both"/>
              <w:rPr>
                <w:rFonts w:ascii="Aptos Display" w:hAnsi="Aptos Display"/>
                <w:bCs/>
                <w:sz w:val="20"/>
                <w:szCs w:val="20"/>
              </w:rPr>
            </w:pPr>
            <w:r>
              <w:rPr>
                <w:rFonts w:ascii="Aptos Display" w:hAnsi="Aptos Display"/>
                <w:bCs/>
                <w:sz w:val="20"/>
                <w:szCs w:val="20"/>
              </w:rPr>
              <w:t>Average female directors within a specific industry are categorised by a 2-digit SIC code while excluding directors from the focal firm.</w:t>
            </w:r>
          </w:p>
        </w:tc>
      </w:tr>
      <w:tr w14:paraId="44C05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4C115F00">
            <w:pPr>
              <w:spacing w:after="0" w:line="240" w:lineRule="auto"/>
              <w:rPr>
                <w:rFonts w:ascii="Aptos Display" w:hAnsi="Aptos Display"/>
                <w:bCs/>
                <w:i/>
                <w:iCs/>
                <w:sz w:val="20"/>
                <w:szCs w:val="20"/>
              </w:rPr>
            </w:pPr>
            <w:r>
              <w:rPr>
                <w:rFonts w:ascii="Aptos Display" w:hAnsi="Aptos Display"/>
                <w:bCs/>
                <w:i/>
                <w:iCs/>
                <w:sz w:val="20"/>
                <w:szCs w:val="20"/>
              </w:rPr>
              <w:t>|DACC|</w:t>
            </w:r>
          </w:p>
        </w:tc>
        <w:tc>
          <w:tcPr>
            <w:tcW w:w="8438" w:type="dxa"/>
          </w:tcPr>
          <w:p w14:paraId="245139C0">
            <w:pPr>
              <w:spacing w:after="0" w:line="240" w:lineRule="auto"/>
              <w:jc w:val="both"/>
              <w:rPr>
                <w:rFonts w:ascii="Aptos Display" w:hAnsi="Aptos Display"/>
                <w:sz w:val="20"/>
                <w:szCs w:val="20"/>
                <w:lang w:eastAsia="en-US"/>
              </w:rPr>
            </w:pPr>
            <w:r>
              <w:rPr>
                <w:rFonts w:ascii="Aptos Display" w:hAnsi="Aptos Display"/>
                <w:sz w:val="20"/>
                <w:szCs w:val="20"/>
              </w:rPr>
              <w:t xml:space="preserve">The absolute value of discretionary accruals is calculated using the Modified Jones model </w:t>
            </w:r>
            <w:r>
              <w:rPr>
                <w:rFonts w:ascii="Aptos Display" w:hAnsi="Aptos Display"/>
                <w:color w:val="000000"/>
                <w:sz w:val="20"/>
                <w:szCs w:val="20"/>
              </w:rPr>
              <w:t xml:space="preserve">controlling for firm performance (Dechow </w:t>
            </w:r>
            <w:r>
              <w:rPr>
                <w:rFonts w:ascii="Aptos Display" w:hAnsi="Aptos Display"/>
                <w:i/>
                <w:iCs/>
                <w:color w:val="000000"/>
                <w:sz w:val="20"/>
                <w:szCs w:val="20"/>
              </w:rPr>
              <w:t>et al</w:t>
            </w:r>
            <w:r>
              <w:rPr>
                <w:rFonts w:ascii="Aptos Display" w:hAnsi="Aptos Display"/>
                <w:color w:val="000000"/>
                <w:sz w:val="20"/>
                <w:szCs w:val="20"/>
              </w:rPr>
              <w:t xml:space="preserve">. 1995, Kothari </w:t>
            </w:r>
            <w:r>
              <w:rPr>
                <w:rFonts w:ascii="Aptos Display" w:hAnsi="Aptos Display"/>
                <w:i/>
                <w:iCs/>
                <w:color w:val="000000"/>
                <w:sz w:val="20"/>
                <w:szCs w:val="20"/>
              </w:rPr>
              <w:t>et al</w:t>
            </w:r>
            <w:r>
              <w:rPr>
                <w:rFonts w:ascii="Aptos Display" w:hAnsi="Aptos Display"/>
                <w:color w:val="000000"/>
                <w:sz w:val="20"/>
                <w:szCs w:val="20"/>
              </w:rPr>
              <w:t>. 2005)</w:t>
            </w:r>
            <w:r>
              <w:rPr>
                <w:rFonts w:ascii="Aptos Display" w:hAnsi="Aptos Display"/>
                <w:sz w:val="20"/>
                <w:szCs w:val="20"/>
              </w:rPr>
              <w:t xml:space="preserve">. We estimate the following equation for all firms in the same industry with at least eight observations for an industry in a particular year: </w:t>
            </w:r>
          </w:p>
          <w:p w14:paraId="5B213AD0">
            <w:pPr>
              <w:spacing w:after="0" w:line="240" w:lineRule="auto"/>
              <w:jc w:val="both"/>
              <w:rPr>
                <w:rFonts w:ascii="Aptos Display" w:hAnsi="Aptos Display"/>
                <w:sz w:val="20"/>
                <w:szCs w:val="20"/>
              </w:rPr>
            </w:pPr>
          </w:p>
          <w:p w14:paraId="08D5A0F9">
            <w:pPr>
              <w:spacing w:after="0" w:line="240" w:lineRule="auto"/>
              <w:jc w:val="both"/>
              <w:rPr>
                <w:rFonts w:ascii="Aptos Display" w:hAnsi="Aptos Display"/>
                <w:sz w:val="20"/>
                <w:szCs w:val="20"/>
                <w:lang w:eastAsia="en-US"/>
              </w:rPr>
            </w:pPr>
            <m:oMathPara>
              <m:oMath>
                <m:f>
                  <m:fPr>
                    <m:ctrlPr>
                      <w:rPr>
                        <w:rFonts w:ascii="Cambria Math" w:hAnsi="Cambria Math"/>
                        <w:iCs/>
                        <w:sz w:val="20"/>
                        <w:szCs w:val="20"/>
                        <w:lang w:eastAsia="en-US"/>
                      </w:rPr>
                    </m:ctrlPr>
                  </m:fPr>
                  <m:num>
                    <m:sSub>
                      <m:sSubPr>
                        <m:ctrlPr>
                          <w:rPr>
                            <w:rFonts w:ascii="Cambria Math" w:hAnsi="Cambria Math"/>
                            <w:iCs/>
                            <w:sz w:val="20"/>
                            <w:szCs w:val="20"/>
                            <w:lang w:eastAsia="en-US"/>
                          </w:rPr>
                        </m:ctrlPr>
                      </m:sSubPr>
                      <m:e>
                        <m:r>
                          <m:rPr>
                            <m:sty m:val="p"/>
                          </m:rPr>
                          <w:rPr>
                            <w:rFonts w:ascii="Cambria Math" w:hAnsi="Cambria Math"/>
                            <w:sz w:val="20"/>
                            <w:szCs w:val="20"/>
                          </w:rPr>
                          <m:t>ACC</m:t>
                        </m:r>
                        <m:ctrlPr>
                          <w:rPr>
                            <w:rFonts w:ascii="Cambria Math" w:hAnsi="Cambria Math"/>
                            <w:iCs/>
                            <w:sz w:val="20"/>
                            <w:szCs w:val="20"/>
                            <w:lang w:eastAsia="en-US"/>
                          </w:rPr>
                        </m:ctrlPr>
                      </m:e>
                      <m:sub>
                        <m:r>
                          <m:rPr>
                            <m:sty m:val="p"/>
                          </m:rPr>
                          <w:rPr>
                            <w:rFonts w:ascii="Cambria Math" w:hAnsi="Cambria Math"/>
                            <w:sz w:val="20"/>
                            <w:szCs w:val="20"/>
                          </w:rPr>
                          <m:t>i,t</m:t>
                        </m:r>
                        <m:ctrlPr>
                          <w:rPr>
                            <w:rFonts w:ascii="Cambria Math" w:hAnsi="Cambria Math"/>
                            <w:iCs/>
                            <w:sz w:val="20"/>
                            <w:szCs w:val="20"/>
                            <w:lang w:eastAsia="en-US"/>
                          </w:rPr>
                        </m:ctrlPr>
                      </m:sub>
                    </m:sSub>
                    <m:ctrlPr>
                      <w:rPr>
                        <w:rFonts w:ascii="Cambria Math" w:hAnsi="Cambria Math"/>
                        <w:iCs/>
                        <w:sz w:val="20"/>
                        <w:szCs w:val="20"/>
                        <w:lang w:eastAsia="en-US"/>
                      </w:rPr>
                    </m:ctrlPr>
                  </m:num>
                  <m:den>
                    <m:sSub>
                      <m:sSubPr>
                        <m:ctrlPr>
                          <w:rPr>
                            <w:rFonts w:ascii="Cambria Math" w:hAnsi="Cambria Math"/>
                            <w:iCs/>
                            <w:sz w:val="20"/>
                            <w:szCs w:val="20"/>
                            <w:lang w:eastAsia="en-US"/>
                          </w:rPr>
                        </m:ctrlPr>
                      </m:sSubPr>
                      <m:e>
                        <m:r>
                          <m:rPr>
                            <m:sty m:val="p"/>
                          </m:rPr>
                          <w:rPr>
                            <w:rFonts w:ascii="Cambria Math" w:hAnsi="Cambria Math"/>
                            <w:sz w:val="20"/>
                            <w:szCs w:val="20"/>
                          </w:rPr>
                          <m:t>TA</m:t>
                        </m:r>
                        <m:ctrlPr>
                          <w:rPr>
                            <w:rFonts w:ascii="Cambria Math" w:hAnsi="Cambria Math"/>
                            <w:iCs/>
                            <w:sz w:val="20"/>
                            <w:szCs w:val="20"/>
                            <w:lang w:eastAsia="en-US"/>
                          </w:rPr>
                        </m:ctrlPr>
                      </m:e>
                      <m:sub>
                        <m:r>
                          <m:rPr>
                            <m:sty m:val="p"/>
                          </m:rPr>
                          <w:rPr>
                            <w:rFonts w:ascii="Cambria Math" w:hAnsi="Cambria Math"/>
                            <w:sz w:val="20"/>
                            <w:szCs w:val="20"/>
                          </w:rPr>
                          <m:t>i,t−1</m:t>
                        </m:r>
                        <m:ctrlPr>
                          <w:rPr>
                            <w:rFonts w:ascii="Cambria Math" w:hAnsi="Cambria Math"/>
                            <w:iCs/>
                            <w:sz w:val="20"/>
                            <w:szCs w:val="20"/>
                            <w:lang w:eastAsia="en-US"/>
                          </w:rPr>
                        </m:ctrlPr>
                      </m:sub>
                    </m:sSub>
                    <m:ctrlPr>
                      <w:rPr>
                        <w:rFonts w:ascii="Cambria Math" w:hAnsi="Cambria Math"/>
                        <w:iCs/>
                        <w:sz w:val="20"/>
                        <w:szCs w:val="20"/>
                        <w:lang w:eastAsia="en-US"/>
                      </w:rPr>
                    </m:ctrlPr>
                  </m:den>
                </m:f>
                <m:r>
                  <m:rPr>
                    <m:sty m:val="p"/>
                  </m:rPr>
                  <w:rPr>
                    <w:rFonts w:ascii="Cambria Math" w:hAnsi="Cambria Math"/>
                    <w:sz w:val="20"/>
                    <w:szCs w:val="20"/>
                  </w:rPr>
                  <m:t>=</m:t>
                </m:r>
                <m:sSub>
                  <m:sSubPr>
                    <m:ctrlPr>
                      <w:rPr>
                        <w:rFonts w:ascii="Cambria Math" w:hAnsi="Cambria Math"/>
                        <w:iCs/>
                        <w:sz w:val="20"/>
                        <w:szCs w:val="20"/>
                        <w:lang w:eastAsia="en-US"/>
                      </w:rPr>
                    </m:ctrlPr>
                  </m:sSubPr>
                  <m:e>
                    <m:r>
                      <m:rPr>
                        <m:sty m:val="p"/>
                      </m:rPr>
                      <w:rPr>
                        <w:rFonts w:ascii="Cambria Math" w:hAnsi="Cambria Math"/>
                        <w:sz w:val="20"/>
                        <w:szCs w:val="20"/>
                      </w:rPr>
                      <m:t>γ</m:t>
                    </m:r>
                    <m:ctrlPr>
                      <w:rPr>
                        <w:rFonts w:ascii="Cambria Math" w:hAnsi="Cambria Math"/>
                        <w:iCs/>
                        <w:sz w:val="20"/>
                        <w:szCs w:val="20"/>
                        <w:lang w:eastAsia="en-US"/>
                      </w:rPr>
                    </m:ctrlPr>
                  </m:e>
                  <m:sub>
                    <m:r>
                      <m:rPr>
                        <m:sty m:val="p"/>
                      </m:rPr>
                      <w:rPr>
                        <w:rFonts w:ascii="Cambria Math" w:hAnsi="Cambria Math"/>
                        <w:sz w:val="20"/>
                        <w:szCs w:val="20"/>
                      </w:rPr>
                      <m:t>0</m:t>
                    </m:r>
                    <m:ctrlPr>
                      <w:rPr>
                        <w:rFonts w:ascii="Cambria Math" w:hAnsi="Cambria Math"/>
                        <w:iCs/>
                        <w:sz w:val="20"/>
                        <w:szCs w:val="20"/>
                        <w:lang w:eastAsia="en-US"/>
                      </w:rPr>
                    </m:ctrlPr>
                  </m:sub>
                </m:sSub>
                <m:d>
                  <m:dPr>
                    <m:ctrlPr>
                      <w:rPr>
                        <w:rFonts w:ascii="Cambria Math" w:hAnsi="Cambria Math"/>
                        <w:iCs/>
                        <w:sz w:val="20"/>
                        <w:szCs w:val="20"/>
                        <w:lang w:eastAsia="en-US"/>
                      </w:rPr>
                    </m:ctrlPr>
                  </m:dPr>
                  <m:e>
                    <m:f>
                      <m:fPr>
                        <m:ctrlPr>
                          <w:rPr>
                            <w:rFonts w:ascii="Cambria Math" w:hAnsi="Cambria Math"/>
                            <w:iCs/>
                            <w:sz w:val="20"/>
                            <w:szCs w:val="20"/>
                            <w:lang w:eastAsia="en-US"/>
                          </w:rPr>
                        </m:ctrlPr>
                      </m:fPr>
                      <m:num>
                        <m:r>
                          <m:rPr>
                            <m:sty m:val="p"/>
                          </m:rPr>
                          <w:rPr>
                            <w:rFonts w:ascii="Cambria Math" w:hAnsi="Cambria Math"/>
                            <w:sz w:val="20"/>
                            <w:szCs w:val="20"/>
                          </w:rPr>
                          <m:t>1</m:t>
                        </m:r>
                        <m:ctrlPr>
                          <w:rPr>
                            <w:rFonts w:ascii="Cambria Math" w:hAnsi="Cambria Math"/>
                            <w:iCs/>
                            <w:sz w:val="20"/>
                            <w:szCs w:val="20"/>
                            <w:lang w:eastAsia="en-US"/>
                          </w:rPr>
                        </m:ctrlPr>
                      </m:num>
                      <m:den>
                        <m:sSub>
                          <m:sSubPr>
                            <m:ctrlPr>
                              <w:rPr>
                                <w:rFonts w:ascii="Cambria Math" w:hAnsi="Cambria Math"/>
                                <w:iCs/>
                                <w:sz w:val="20"/>
                                <w:szCs w:val="20"/>
                                <w:lang w:eastAsia="en-US"/>
                              </w:rPr>
                            </m:ctrlPr>
                          </m:sSubPr>
                          <m:e>
                            <m:r>
                              <m:rPr>
                                <m:sty m:val="p"/>
                              </m:rPr>
                              <w:rPr>
                                <w:rFonts w:ascii="Cambria Math" w:hAnsi="Cambria Math"/>
                                <w:sz w:val="20"/>
                                <w:szCs w:val="20"/>
                              </w:rPr>
                              <m:t>TA</m:t>
                            </m:r>
                            <m:ctrlPr>
                              <w:rPr>
                                <w:rFonts w:ascii="Cambria Math" w:hAnsi="Cambria Math"/>
                                <w:iCs/>
                                <w:sz w:val="20"/>
                                <w:szCs w:val="20"/>
                                <w:lang w:eastAsia="en-US"/>
                              </w:rPr>
                            </m:ctrlPr>
                          </m:e>
                          <m:sub>
                            <m:r>
                              <m:rPr>
                                <m:sty m:val="p"/>
                              </m:rPr>
                              <w:rPr>
                                <w:rFonts w:ascii="Cambria Math" w:hAnsi="Cambria Math"/>
                                <w:sz w:val="20"/>
                                <w:szCs w:val="20"/>
                              </w:rPr>
                              <m:t>i,t−1</m:t>
                            </m:r>
                            <m:ctrlPr>
                              <w:rPr>
                                <w:rFonts w:ascii="Cambria Math" w:hAnsi="Cambria Math"/>
                                <w:iCs/>
                                <w:sz w:val="20"/>
                                <w:szCs w:val="20"/>
                                <w:lang w:eastAsia="en-US"/>
                              </w:rPr>
                            </m:ctrlPr>
                          </m:sub>
                        </m:sSub>
                        <m:ctrlPr>
                          <w:rPr>
                            <w:rFonts w:ascii="Cambria Math" w:hAnsi="Cambria Math"/>
                            <w:iCs/>
                            <w:sz w:val="20"/>
                            <w:szCs w:val="20"/>
                            <w:lang w:eastAsia="en-US"/>
                          </w:rPr>
                        </m:ctrlPr>
                      </m:den>
                    </m:f>
                    <m:ctrlPr>
                      <w:rPr>
                        <w:rFonts w:ascii="Cambria Math" w:hAnsi="Cambria Math"/>
                        <w:iCs/>
                        <w:sz w:val="20"/>
                        <w:szCs w:val="20"/>
                        <w:lang w:eastAsia="en-US"/>
                      </w:rPr>
                    </m:ctrlPr>
                  </m:e>
                </m:d>
                <m:r>
                  <m:rPr>
                    <m:sty m:val="p"/>
                  </m:rPr>
                  <w:rPr>
                    <w:rFonts w:ascii="Cambria Math" w:hAnsi="Cambria Math"/>
                    <w:sz w:val="20"/>
                    <w:szCs w:val="20"/>
                  </w:rPr>
                  <m:t>+</m:t>
                </m:r>
                <m:sSub>
                  <m:sSubPr>
                    <m:ctrlPr>
                      <w:rPr>
                        <w:rFonts w:ascii="Cambria Math" w:hAnsi="Cambria Math"/>
                        <w:iCs/>
                        <w:sz w:val="20"/>
                        <w:szCs w:val="20"/>
                        <w:lang w:eastAsia="en-US"/>
                      </w:rPr>
                    </m:ctrlPr>
                  </m:sSubPr>
                  <m:e>
                    <m:r>
                      <m:rPr>
                        <m:sty m:val="p"/>
                      </m:rPr>
                      <w:rPr>
                        <w:rFonts w:ascii="Cambria Math" w:hAnsi="Cambria Math"/>
                        <w:sz w:val="20"/>
                        <w:szCs w:val="20"/>
                      </w:rPr>
                      <m:t>γ</m:t>
                    </m:r>
                    <m:ctrlPr>
                      <w:rPr>
                        <w:rFonts w:ascii="Cambria Math" w:hAnsi="Cambria Math"/>
                        <w:iCs/>
                        <w:sz w:val="20"/>
                        <w:szCs w:val="20"/>
                        <w:lang w:eastAsia="en-US"/>
                      </w:rPr>
                    </m:ctrlPr>
                  </m:e>
                  <m:sub>
                    <m:r>
                      <m:rPr>
                        <m:sty m:val="p"/>
                      </m:rPr>
                      <w:rPr>
                        <w:rFonts w:ascii="Cambria Math" w:hAnsi="Cambria Math"/>
                        <w:sz w:val="20"/>
                        <w:szCs w:val="20"/>
                      </w:rPr>
                      <m:t>1</m:t>
                    </m:r>
                    <m:ctrlPr>
                      <w:rPr>
                        <w:rFonts w:ascii="Cambria Math" w:hAnsi="Cambria Math"/>
                        <w:iCs/>
                        <w:sz w:val="20"/>
                        <w:szCs w:val="20"/>
                        <w:lang w:eastAsia="en-US"/>
                      </w:rPr>
                    </m:ctrlPr>
                  </m:sub>
                </m:sSub>
                <m:d>
                  <m:dPr>
                    <m:begChr m:val="["/>
                    <m:endChr m:val="]"/>
                    <m:ctrlPr>
                      <w:rPr>
                        <w:rFonts w:ascii="Cambria Math" w:hAnsi="Cambria Math"/>
                        <w:iCs/>
                        <w:sz w:val="20"/>
                        <w:szCs w:val="20"/>
                        <w:lang w:eastAsia="en-US"/>
                      </w:rPr>
                    </m:ctrlPr>
                  </m:dPr>
                  <m:e>
                    <m:f>
                      <m:fPr>
                        <m:ctrlPr>
                          <w:rPr>
                            <w:rFonts w:ascii="Cambria Math" w:hAnsi="Cambria Math"/>
                            <w:iCs/>
                            <w:sz w:val="20"/>
                            <w:szCs w:val="20"/>
                            <w:lang w:eastAsia="en-US"/>
                          </w:rPr>
                        </m:ctrlPr>
                      </m:fPr>
                      <m:num>
                        <m:sSub>
                          <m:sSubPr>
                            <m:ctrlPr>
                              <w:rPr>
                                <w:rFonts w:ascii="Cambria Math" w:hAnsi="Cambria Math"/>
                                <w:iCs/>
                                <w:sz w:val="20"/>
                                <w:szCs w:val="20"/>
                                <w:lang w:eastAsia="en-US"/>
                              </w:rPr>
                            </m:ctrlPr>
                          </m:sSubPr>
                          <m:e>
                            <m:r>
                              <m:rPr>
                                <m:sty m:val="p"/>
                              </m:rPr>
                              <w:rPr>
                                <w:rFonts w:ascii="Cambria Math" w:hAnsi="Cambria Math"/>
                                <w:sz w:val="20"/>
                                <w:szCs w:val="20"/>
                              </w:rPr>
                              <m:t>∆SALES</m:t>
                            </m:r>
                            <m:ctrlPr>
                              <w:rPr>
                                <w:rFonts w:ascii="Cambria Math" w:hAnsi="Cambria Math"/>
                                <w:iCs/>
                                <w:sz w:val="20"/>
                                <w:szCs w:val="20"/>
                                <w:lang w:eastAsia="en-US"/>
                              </w:rPr>
                            </m:ctrlPr>
                          </m:e>
                          <m:sub>
                            <m:r>
                              <m:rPr>
                                <m:sty m:val="p"/>
                              </m:rPr>
                              <w:rPr>
                                <w:rFonts w:ascii="Cambria Math" w:hAnsi="Cambria Math"/>
                                <w:sz w:val="20"/>
                                <w:szCs w:val="20"/>
                              </w:rPr>
                              <m:t>i,t</m:t>
                            </m:r>
                            <m:ctrlPr>
                              <w:rPr>
                                <w:rFonts w:ascii="Cambria Math" w:hAnsi="Cambria Math"/>
                                <w:iCs/>
                                <w:sz w:val="20"/>
                                <w:szCs w:val="20"/>
                                <w:lang w:eastAsia="en-US"/>
                              </w:rPr>
                            </m:ctrlPr>
                          </m:sub>
                        </m:sSub>
                        <m:r>
                          <m:rPr>
                            <m:sty m:val="p"/>
                          </m:rPr>
                          <w:rPr>
                            <w:rFonts w:ascii="Cambria Math" w:hAnsi="Cambria Math"/>
                            <w:sz w:val="20"/>
                            <w:szCs w:val="20"/>
                          </w:rPr>
                          <m:t>−</m:t>
                        </m:r>
                        <m:sSub>
                          <m:sSubPr>
                            <m:ctrlPr>
                              <w:rPr>
                                <w:rFonts w:ascii="Cambria Math" w:hAnsi="Cambria Math"/>
                                <w:iCs/>
                                <w:sz w:val="20"/>
                                <w:szCs w:val="20"/>
                                <w:lang w:eastAsia="en-US"/>
                              </w:rPr>
                            </m:ctrlPr>
                          </m:sSubPr>
                          <m:e>
                            <m:r>
                              <m:rPr>
                                <m:sty m:val="p"/>
                              </m:rPr>
                              <w:rPr>
                                <w:rFonts w:ascii="Cambria Math" w:hAnsi="Cambria Math"/>
                                <w:sz w:val="20"/>
                                <w:szCs w:val="20"/>
                              </w:rPr>
                              <m:t>∆RECEIV</m:t>
                            </m:r>
                            <m:ctrlPr>
                              <w:rPr>
                                <w:rFonts w:ascii="Cambria Math" w:hAnsi="Cambria Math"/>
                                <w:iCs/>
                                <w:sz w:val="20"/>
                                <w:szCs w:val="20"/>
                                <w:lang w:eastAsia="en-US"/>
                              </w:rPr>
                            </m:ctrlPr>
                          </m:e>
                          <m:sub>
                            <m:r>
                              <m:rPr>
                                <m:sty m:val="p"/>
                              </m:rPr>
                              <w:rPr>
                                <w:rFonts w:ascii="Cambria Math" w:hAnsi="Cambria Math"/>
                                <w:sz w:val="20"/>
                                <w:szCs w:val="20"/>
                              </w:rPr>
                              <m:t>i,t</m:t>
                            </m:r>
                            <m:ctrlPr>
                              <w:rPr>
                                <w:rFonts w:ascii="Cambria Math" w:hAnsi="Cambria Math"/>
                                <w:iCs/>
                                <w:sz w:val="20"/>
                                <w:szCs w:val="20"/>
                                <w:lang w:eastAsia="en-US"/>
                              </w:rPr>
                            </m:ctrlPr>
                          </m:sub>
                        </m:sSub>
                        <m:ctrlPr>
                          <w:rPr>
                            <w:rFonts w:ascii="Cambria Math" w:hAnsi="Cambria Math"/>
                            <w:iCs/>
                            <w:sz w:val="20"/>
                            <w:szCs w:val="20"/>
                            <w:lang w:eastAsia="en-US"/>
                          </w:rPr>
                        </m:ctrlPr>
                      </m:num>
                      <m:den>
                        <m:sSub>
                          <m:sSubPr>
                            <m:ctrlPr>
                              <w:rPr>
                                <w:rFonts w:ascii="Cambria Math" w:hAnsi="Cambria Math"/>
                                <w:iCs/>
                                <w:sz w:val="20"/>
                                <w:szCs w:val="20"/>
                                <w:lang w:eastAsia="en-US"/>
                              </w:rPr>
                            </m:ctrlPr>
                          </m:sSubPr>
                          <m:e>
                            <m:r>
                              <m:rPr>
                                <m:sty m:val="p"/>
                              </m:rPr>
                              <w:rPr>
                                <w:rFonts w:ascii="Cambria Math" w:hAnsi="Cambria Math"/>
                                <w:sz w:val="20"/>
                                <w:szCs w:val="20"/>
                              </w:rPr>
                              <m:t>TA</m:t>
                            </m:r>
                            <m:ctrlPr>
                              <w:rPr>
                                <w:rFonts w:ascii="Cambria Math" w:hAnsi="Cambria Math"/>
                                <w:iCs/>
                                <w:sz w:val="20"/>
                                <w:szCs w:val="20"/>
                                <w:lang w:eastAsia="en-US"/>
                              </w:rPr>
                            </m:ctrlPr>
                          </m:e>
                          <m:sub>
                            <m:r>
                              <m:rPr>
                                <m:sty m:val="p"/>
                              </m:rPr>
                              <w:rPr>
                                <w:rFonts w:ascii="Cambria Math" w:hAnsi="Cambria Math"/>
                                <w:sz w:val="20"/>
                                <w:szCs w:val="20"/>
                              </w:rPr>
                              <m:t>i,t−1</m:t>
                            </m:r>
                            <m:ctrlPr>
                              <w:rPr>
                                <w:rFonts w:ascii="Cambria Math" w:hAnsi="Cambria Math"/>
                                <w:iCs/>
                                <w:sz w:val="20"/>
                                <w:szCs w:val="20"/>
                                <w:lang w:eastAsia="en-US"/>
                              </w:rPr>
                            </m:ctrlPr>
                          </m:sub>
                        </m:sSub>
                        <m:ctrlPr>
                          <w:rPr>
                            <w:rFonts w:ascii="Cambria Math" w:hAnsi="Cambria Math"/>
                            <w:iCs/>
                            <w:sz w:val="20"/>
                            <w:szCs w:val="20"/>
                            <w:lang w:eastAsia="en-US"/>
                          </w:rPr>
                        </m:ctrlPr>
                      </m:den>
                    </m:f>
                    <m:ctrlPr>
                      <w:rPr>
                        <w:rFonts w:ascii="Cambria Math" w:hAnsi="Cambria Math"/>
                        <w:iCs/>
                        <w:sz w:val="20"/>
                        <w:szCs w:val="20"/>
                        <w:lang w:eastAsia="en-US"/>
                      </w:rPr>
                    </m:ctrlPr>
                  </m:e>
                </m:d>
                <m:r>
                  <m:rPr>
                    <m:sty m:val="p"/>
                  </m:rPr>
                  <w:rPr>
                    <w:rFonts w:ascii="Cambria Math" w:hAnsi="Cambria Math"/>
                    <w:sz w:val="20"/>
                    <w:szCs w:val="20"/>
                  </w:rPr>
                  <m:t>+</m:t>
                </m:r>
                <m:sSub>
                  <m:sSubPr>
                    <m:ctrlPr>
                      <w:rPr>
                        <w:rFonts w:ascii="Cambria Math" w:hAnsi="Cambria Math"/>
                        <w:iCs/>
                        <w:sz w:val="20"/>
                        <w:szCs w:val="20"/>
                        <w:lang w:eastAsia="en-US"/>
                      </w:rPr>
                    </m:ctrlPr>
                  </m:sSubPr>
                  <m:e>
                    <m:r>
                      <m:rPr>
                        <m:sty m:val="p"/>
                      </m:rPr>
                      <w:rPr>
                        <w:rFonts w:ascii="Cambria Math" w:hAnsi="Cambria Math"/>
                        <w:sz w:val="20"/>
                        <w:szCs w:val="20"/>
                      </w:rPr>
                      <m:t>γ</m:t>
                    </m:r>
                    <m:ctrlPr>
                      <w:rPr>
                        <w:rFonts w:ascii="Cambria Math" w:hAnsi="Cambria Math"/>
                        <w:iCs/>
                        <w:sz w:val="20"/>
                        <w:szCs w:val="20"/>
                        <w:lang w:eastAsia="en-US"/>
                      </w:rPr>
                    </m:ctrlPr>
                  </m:e>
                  <m:sub>
                    <m:r>
                      <m:rPr>
                        <m:sty m:val="p"/>
                      </m:rPr>
                      <w:rPr>
                        <w:rFonts w:ascii="Cambria Math" w:hAnsi="Cambria Math"/>
                        <w:sz w:val="20"/>
                        <w:szCs w:val="20"/>
                      </w:rPr>
                      <m:t>2</m:t>
                    </m:r>
                    <m:ctrlPr>
                      <w:rPr>
                        <w:rFonts w:ascii="Cambria Math" w:hAnsi="Cambria Math"/>
                        <w:iCs/>
                        <w:sz w:val="20"/>
                        <w:szCs w:val="20"/>
                        <w:lang w:eastAsia="en-US"/>
                      </w:rPr>
                    </m:ctrlPr>
                  </m:sub>
                </m:sSub>
                <m:d>
                  <m:dPr>
                    <m:ctrlPr>
                      <w:rPr>
                        <w:rFonts w:ascii="Cambria Math" w:hAnsi="Cambria Math"/>
                        <w:iCs/>
                        <w:sz w:val="20"/>
                        <w:szCs w:val="20"/>
                        <w:lang w:eastAsia="en-US"/>
                      </w:rPr>
                    </m:ctrlPr>
                  </m:dPr>
                  <m:e>
                    <m:f>
                      <m:fPr>
                        <m:ctrlPr>
                          <w:rPr>
                            <w:rFonts w:ascii="Cambria Math" w:hAnsi="Cambria Math"/>
                            <w:iCs/>
                            <w:sz w:val="20"/>
                            <w:szCs w:val="20"/>
                            <w:lang w:eastAsia="en-US"/>
                          </w:rPr>
                        </m:ctrlPr>
                      </m:fPr>
                      <m:num>
                        <m:sSub>
                          <m:sSubPr>
                            <m:ctrlPr>
                              <w:rPr>
                                <w:rFonts w:ascii="Cambria Math" w:hAnsi="Cambria Math"/>
                                <w:iCs/>
                                <w:sz w:val="20"/>
                                <w:szCs w:val="20"/>
                                <w:lang w:eastAsia="en-US"/>
                              </w:rPr>
                            </m:ctrlPr>
                          </m:sSubPr>
                          <m:e>
                            <m:r>
                              <m:rPr>
                                <m:sty m:val="p"/>
                              </m:rPr>
                              <w:rPr>
                                <w:rFonts w:ascii="Cambria Math" w:hAnsi="Cambria Math"/>
                                <w:sz w:val="20"/>
                                <w:szCs w:val="20"/>
                              </w:rPr>
                              <m:t>PPE</m:t>
                            </m:r>
                            <m:ctrlPr>
                              <w:rPr>
                                <w:rFonts w:ascii="Cambria Math" w:hAnsi="Cambria Math"/>
                                <w:iCs/>
                                <w:sz w:val="20"/>
                                <w:szCs w:val="20"/>
                                <w:lang w:eastAsia="en-US"/>
                              </w:rPr>
                            </m:ctrlPr>
                          </m:e>
                          <m:sub>
                            <m:r>
                              <m:rPr>
                                <m:sty m:val="p"/>
                              </m:rPr>
                              <w:rPr>
                                <w:rFonts w:ascii="Cambria Math" w:hAnsi="Cambria Math"/>
                                <w:sz w:val="20"/>
                                <w:szCs w:val="20"/>
                              </w:rPr>
                              <m:t>i,t</m:t>
                            </m:r>
                            <m:ctrlPr>
                              <w:rPr>
                                <w:rFonts w:ascii="Cambria Math" w:hAnsi="Cambria Math"/>
                                <w:iCs/>
                                <w:sz w:val="20"/>
                                <w:szCs w:val="20"/>
                                <w:lang w:eastAsia="en-US"/>
                              </w:rPr>
                            </m:ctrlPr>
                          </m:sub>
                        </m:sSub>
                        <m:ctrlPr>
                          <w:rPr>
                            <w:rFonts w:ascii="Cambria Math" w:hAnsi="Cambria Math"/>
                            <w:iCs/>
                            <w:sz w:val="20"/>
                            <w:szCs w:val="20"/>
                            <w:lang w:eastAsia="en-US"/>
                          </w:rPr>
                        </m:ctrlPr>
                      </m:num>
                      <m:den>
                        <m:sSub>
                          <m:sSubPr>
                            <m:ctrlPr>
                              <w:rPr>
                                <w:rFonts w:ascii="Cambria Math" w:hAnsi="Cambria Math"/>
                                <w:iCs/>
                                <w:sz w:val="20"/>
                                <w:szCs w:val="20"/>
                                <w:lang w:eastAsia="en-US"/>
                              </w:rPr>
                            </m:ctrlPr>
                          </m:sSubPr>
                          <m:e>
                            <m:r>
                              <m:rPr>
                                <m:sty m:val="p"/>
                              </m:rPr>
                              <w:rPr>
                                <w:rFonts w:ascii="Cambria Math" w:hAnsi="Cambria Math"/>
                                <w:sz w:val="20"/>
                                <w:szCs w:val="20"/>
                              </w:rPr>
                              <m:t>TA</m:t>
                            </m:r>
                            <m:ctrlPr>
                              <w:rPr>
                                <w:rFonts w:ascii="Cambria Math" w:hAnsi="Cambria Math"/>
                                <w:iCs/>
                                <w:sz w:val="20"/>
                                <w:szCs w:val="20"/>
                                <w:lang w:eastAsia="en-US"/>
                              </w:rPr>
                            </m:ctrlPr>
                          </m:e>
                          <m:sub>
                            <m:r>
                              <m:rPr>
                                <m:sty m:val="p"/>
                              </m:rPr>
                              <w:rPr>
                                <w:rFonts w:ascii="Cambria Math" w:hAnsi="Cambria Math"/>
                                <w:sz w:val="20"/>
                                <w:szCs w:val="20"/>
                              </w:rPr>
                              <m:t>i,t−1</m:t>
                            </m:r>
                            <m:ctrlPr>
                              <w:rPr>
                                <w:rFonts w:ascii="Cambria Math" w:hAnsi="Cambria Math"/>
                                <w:iCs/>
                                <w:sz w:val="20"/>
                                <w:szCs w:val="20"/>
                                <w:lang w:eastAsia="en-US"/>
                              </w:rPr>
                            </m:ctrlPr>
                          </m:sub>
                        </m:sSub>
                        <m:ctrlPr>
                          <w:rPr>
                            <w:rFonts w:ascii="Cambria Math" w:hAnsi="Cambria Math"/>
                            <w:iCs/>
                            <w:sz w:val="20"/>
                            <w:szCs w:val="20"/>
                            <w:lang w:eastAsia="en-US"/>
                          </w:rPr>
                        </m:ctrlPr>
                      </m:den>
                    </m:f>
                    <m:ctrlPr>
                      <w:rPr>
                        <w:rFonts w:ascii="Cambria Math" w:hAnsi="Cambria Math"/>
                        <w:iCs/>
                        <w:sz w:val="20"/>
                        <w:szCs w:val="20"/>
                        <w:lang w:eastAsia="en-US"/>
                      </w:rPr>
                    </m:ctrlPr>
                  </m:e>
                </m:d>
                <m:r>
                  <m:rPr>
                    <m:sty m:val="p"/>
                  </m:rPr>
                  <w:rPr>
                    <w:rFonts w:ascii="Cambria Math" w:hAnsi="Cambria Math"/>
                    <w:sz w:val="20"/>
                    <w:szCs w:val="20"/>
                  </w:rPr>
                  <m:t>+</m:t>
                </m:r>
                <m:sSub>
                  <m:sSubPr>
                    <m:ctrlPr>
                      <w:rPr>
                        <w:rFonts w:ascii="Cambria Math" w:hAnsi="Cambria Math"/>
                        <w:iCs/>
                        <w:sz w:val="20"/>
                        <w:szCs w:val="20"/>
                        <w:lang w:eastAsia="en-US"/>
                      </w:rPr>
                    </m:ctrlPr>
                  </m:sSubPr>
                  <m:e>
                    <m:r>
                      <m:rPr>
                        <m:sty m:val="p"/>
                      </m:rPr>
                      <w:rPr>
                        <w:rFonts w:ascii="Cambria Math" w:hAnsi="Cambria Math"/>
                        <w:sz w:val="20"/>
                        <w:szCs w:val="20"/>
                      </w:rPr>
                      <m:t>γ</m:t>
                    </m:r>
                    <m:ctrlPr>
                      <w:rPr>
                        <w:rFonts w:ascii="Cambria Math" w:hAnsi="Cambria Math"/>
                        <w:iCs/>
                        <w:sz w:val="20"/>
                        <w:szCs w:val="20"/>
                        <w:lang w:eastAsia="en-US"/>
                      </w:rPr>
                    </m:ctrlPr>
                  </m:e>
                  <m:sub>
                    <m:r>
                      <m:rPr>
                        <m:sty m:val="p"/>
                      </m:rPr>
                      <w:rPr>
                        <w:rFonts w:ascii="Cambria Math" w:hAnsi="Cambria Math"/>
                        <w:sz w:val="20"/>
                        <w:szCs w:val="20"/>
                      </w:rPr>
                      <m:t>3</m:t>
                    </m:r>
                    <m:ctrlPr>
                      <w:rPr>
                        <w:rFonts w:ascii="Cambria Math" w:hAnsi="Cambria Math"/>
                        <w:iCs/>
                        <w:sz w:val="20"/>
                        <w:szCs w:val="20"/>
                        <w:lang w:eastAsia="en-US"/>
                      </w:rPr>
                    </m:ctrlPr>
                  </m:sub>
                </m:sSub>
                <m:d>
                  <m:dPr>
                    <m:ctrlPr>
                      <w:rPr>
                        <w:rFonts w:ascii="Cambria Math" w:hAnsi="Cambria Math"/>
                        <w:iCs/>
                        <w:sz w:val="20"/>
                        <w:szCs w:val="20"/>
                        <w:lang w:eastAsia="en-US"/>
                      </w:rPr>
                    </m:ctrlPr>
                  </m:dPr>
                  <m:e>
                    <m:sSub>
                      <m:sSubPr>
                        <m:ctrlPr>
                          <w:rPr>
                            <w:rFonts w:ascii="Cambria Math" w:hAnsi="Cambria Math"/>
                            <w:iCs/>
                            <w:sz w:val="20"/>
                            <w:szCs w:val="20"/>
                            <w:lang w:eastAsia="en-US"/>
                          </w:rPr>
                        </m:ctrlPr>
                      </m:sSubPr>
                      <m:e>
                        <m:r>
                          <m:rPr>
                            <m:sty m:val="p"/>
                          </m:rPr>
                          <w:rPr>
                            <w:rFonts w:ascii="Cambria Math" w:hAnsi="Cambria Math"/>
                            <w:sz w:val="20"/>
                            <w:szCs w:val="20"/>
                          </w:rPr>
                          <m:t>ROA</m:t>
                        </m:r>
                        <m:ctrlPr>
                          <w:rPr>
                            <w:rFonts w:ascii="Cambria Math" w:hAnsi="Cambria Math"/>
                            <w:iCs/>
                            <w:sz w:val="20"/>
                            <w:szCs w:val="20"/>
                            <w:lang w:eastAsia="en-US"/>
                          </w:rPr>
                        </m:ctrlPr>
                      </m:e>
                      <m:sub>
                        <m:r>
                          <m:rPr>
                            <m:sty m:val="p"/>
                          </m:rPr>
                          <w:rPr>
                            <w:rFonts w:ascii="Cambria Math" w:hAnsi="Cambria Math"/>
                            <w:sz w:val="20"/>
                            <w:szCs w:val="20"/>
                          </w:rPr>
                          <m:t>i,t−1</m:t>
                        </m:r>
                        <m:ctrlPr>
                          <w:rPr>
                            <w:rFonts w:ascii="Cambria Math" w:hAnsi="Cambria Math"/>
                            <w:iCs/>
                            <w:sz w:val="20"/>
                            <w:szCs w:val="20"/>
                            <w:lang w:eastAsia="en-US"/>
                          </w:rPr>
                        </m:ctrlPr>
                      </m:sub>
                    </m:sSub>
                    <m:ctrlPr>
                      <w:rPr>
                        <w:rFonts w:ascii="Cambria Math" w:hAnsi="Cambria Math"/>
                        <w:iCs/>
                        <w:sz w:val="20"/>
                        <w:szCs w:val="20"/>
                        <w:lang w:eastAsia="en-US"/>
                      </w:rPr>
                    </m:ctrlPr>
                  </m:e>
                </m:d>
                <m:r>
                  <m:rPr>
                    <m:sty m:val="p"/>
                  </m:rPr>
                  <w:rPr>
                    <w:rFonts w:ascii="Cambria Math" w:hAnsi="Cambria Math"/>
                    <w:sz w:val="20"/>
                    <w:szCs w:val="20"/>
                  </w:rPr>
                  <m:t xml:space="preserve">+ </m:t>
                </m:r>
                <m:sSub>
                  <m:sSubPr>
                    <m:ctrlPr>
                      <w:rPr>
                        <w:rFonts w:ascii="Cambria Math" w:hAnsi="Cambria Math"/>
                        <w:iCs/>
                        <w:sz w:val="20"/>
                        <w:szCs w:val="20"/>
                        <w:lang w:eastAsia="en-US"/>
                      </w:rPr>
                    </m:ctrlPr>
                  </m:sSubPr>
                  <m:e>
                    <m:r>
                      <m:rPr>
                        <m:sty m:val="p"/>
                      </m:rPr>
                      <w:rPr>
                        <w:rFonts w:ascii="Cambria Math" w:hAnsi="Cambria Math"/>
                        <w:sz w:val="20"/>
                        <w:szCs w:val="20"/>
                      </w:rPr>
                      <m:t>ε</m:t>
                    </m:r>
                    <m:ctrlPr>
                      <w:rPr>
                        <w:rFonts w:ascii="Cambria Math" w:hAnsi="Cambria Math"/>
                        <w:iCs/>
                        <w:sz w:val="20"/>
                        <w:szCs w:val="20"/>
                        <w:lang w:eastAsia="en-US"/>
                      </w:rPr>
                    </m:ctrlPr>
                  </m:e>
                  <m:sub>
                    <m:r>
                      <m:rPr>
                        <m:sty m:val="p"/>
                      </m:rPr>
                      <w:rPr>
                        <w:rFonts w:ascii="Cambria Math" w:hAnsi="Cambria Math"/>
                        <w:sz w:val="20"/>
                        <w:szCs w:val="20"/>
                      </w:rPr>
                      <m:t>i,t</m:t>
                    </m:r>
                    <m:ctrlPr>
                      <w:rPr>
                        <w:rFonts w:ascii="Cambria Math" w:hAnsi="Cambria Math"/>
                        <w:iCs/>
                        <w:sz w:val="20"/>
                        <w:szCs w:val="20"/>
                        <w:lang w:eastAsia="en-US"/>
                      </w:rPr>
                    </m:ctrlPr>
                  </m:sub>
                </m:sSub>
              </m:oMath>
            </m:oMathPara>
          </w:p>
          <w:p w14:paraId="08920C68">
            <w:pPr>
              <w:spacing w:after="0" w:line="240" w:lineRule="auto"/>
              <w:jc w:val="both"/>
              <w:rPr>
                <w:rFonts w:ascii="Aptos Display" w:hAnsi="Aptos Display"/>
                <w:sz w:val="20"/>
                <w:szCs w:val="20"/>
              </w:rPr>
            </w:pPr>
          </w:p>
          <w:p w14:paraId="51765C50">
            <w:pPr>
              <w:spacing w:after="0" w:line="240" w:lineRule="auto"/>
              <w:jc w:val="both"/>
              <w:rPr>
                <w:rFonts w:ascii="Aptos Display" w:hAnsi="Aptos Display"/>
                <w:bCs/>
                <w:sz w:val="20"/>
                <w:szCs w:val="20"/>
              </w:rPr>
            </w:pPr>
            <w:r>
              <w:rPr>
                <w:rFonts w:ascii="Aptos Display" w:hAnsi="Aptos Display"/>
                <w:sz w:val="20"/>
                <w:szCs w:val="20"/>
              </w:rPr>
              <w:t>Where, ACC is total accruals calculated as earnings before extraordinary items and discontinued operations minus operating cash flows; TA is total assets in year t-1; ΔSALES is change in sales from year t-1 to year t; ∆RECEIV is change in accounts receivable from year t-1 to year t; PPE is gross property plant &amp; equipment; ROA is the return on assets measured as earnings before extraordinary items and discontinued operations for the preceding year divided by total assets for the same year. The coefficient estimates from the above equation are used to estimate the non-discretionary component of total accruals (NDAC) for our sample firms. The discretionary accruals are then the residuals from the equation mentioned above, i.e. DAC=ACC-NDAC.</w:t>
            </w:r>
          </w:p>
        </w:tc>
      </w:tr>
      <w:tr w14:paraId="10ED3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1D11E2B6">
            <w:pPr>
              <w:spacing w:after="0" w:line="240" w:lineRule="auto"/>
              <w:rPr>
                <w:rFonts w:ascii="Aptos Display" w:hAnsi="Aptos Display"/>
                <w:bCs/>
                <w:i/>
                <w:iCs/>
                <w:sz w:val="20"/>
                <w:szCs w:val="20"/>
              </w:rPr>
            </w:pPr>
            <w:r>
              <w:rPr>
                <w:rFonts w:ascii="Aptos Display" w:hAnsi="Aptos Display"/>
                <w:bCs/>
                <w:i/>
                <w:iCs/>
                <w:sz w:val="20"/>
                <w:szCs w:val="20"/>
              </w:rPr>
              <w:t>BID_ASK</w:t>
            </w:r>
          </w:p>
        </w:tc>
        <w:tc>
          <w:tcPr>
            <w:tcW w:w="8438" w:type="dxa"/>
          </w:tcPr>
          <w:p w14:paraId="5233310A">
            <w:pPr>
              <w:spacing w:after="0" w:line="240" w:lineRule="auto"/>
              <w:jc w:val="both"/>
              <w:rPr>
                <w:rFonts w:ascii="Aptos Display" w:hAnsi="Aptos Display"/>
                <w:bCs/>
                <w:sz w:val="20"/>
                <w:szCs w:val="20"/>
              </w:rPr>
            </w:pPr>
            <w:r>
              <w:rPr>
                <w:rFonts w:ascii="Aptos Display" w:hAnsi="Aptos Display"/>
                <w:bCs/>
                <w:sz w:val="20"/>
                <w:szCs w:val="20"/>
              </w:rPr>
              <w:t>Bid-ask spread (percentage) is the difference between the highest trader stock price and the lowest selling price of trader stock measured as: [(AskPrice – BidPrice)]/[(AskPrice + BidPrice)/2]</w:t>
            </w:r>
          </w:p>
        </w:tc>
      </w:tr>
      <w:tr w14:paraId="66396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779FF26E">
            <w:pPr>
              <w:spacing w:after="0" w:line="240" w:lineRule="auto"/>
              <w:rPr>
                <w:rFonts w:ascii="Aptos Display" w:hAnsi="Aptos Display"/>
                <w:bCs/>
                <w:i/>
                <w:iCs/>
                <w:sz w:val="20"/>
                <w:szCs w:val="20"/>
              </w:rPr>
            </w:pPr>
            <w:r>
              <w:rPr>
                <w:rFonts w:ascii="Aptos Display" w:hAnsi="Aptos Display"/>
                <w:bCs/>
                <w:i/>
                <w:iCs/>
                <w:sz w:val="20"/>
                <w:szCs w:val="20"/>
              </w:rPr>
              <w:t>FD1</w:t>
            </w:r>
          </w:p>
        </w:tc>
        <w:tc>
          <w:tcPr>
            <w:tcW w:w="8438" w:type="dxa"/>
          </w:tcPr>
          <w:p w14:paraId="4E246B68">
            <w:pPr>
              <w:spacing w:after="0" w:line="240" w:lineRule="auto"/>
              <w:jc w:val="both"/>
              <w:rPr>
                <w:rFonts w:ascii="Aptos Display" w:hAnsi="Aptos Display"/>
                <w:bCs/>
                <w:sz w:val="20"/>
                <w:szCs w:val="20"/>
              </w:rPr>
            </w:pPr>
            <w:r>
              <w:rPr>
                <w:rFonts w:ascii="Aptos Display" w:hAnsi="Aptos Display"/>
                <w:sz w:val="20"/>
                <w:szCs w:val="20"/>
              </w:rPr>
              <w:t>A dummy variable equals 1 if the firm-year observations have 1 female director on the board, 0 otherwise.</w:t>
            </w:r>
          </w:p>
        </w:tc>
      </w:tr>
      <w:tr w14:paraId="2EADD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426F9A11">
            <w:pPr>
              <w:spacing w:after="0" w:line="240" w:lineRule="auto"/>
              <w:rPr>
                <w:rFonts w:ascii="Aptos Display" w:hAnsi="Aptos Display"/>
                <w:bCs/>
                <w:i/>
                <w:iCs/>
                <w:sz w:val="20"/>
                <w:szCs w:val="20"/>
              </w:rPr>
            </w:pPr>
            <w:r>
              <w:rPr>
                <w:rFonts w:ascii="Aptos Display" w:hAnsi="Aptos Display"/>
                <w:bCs/>
                <w:i/>
                <w:iCs/>
                <w:sz w:val="20"/>
                <w:szCs w:val="20"/>
              </w:rPr>
              <w:t>FD2</w:t>
            </w:r>
          </w:p>
        </w:tc>
        <w:tc>
          <w:tcPr>
            <w:tcW w:w="8438" w:type="dxa"/>
          </w:tcPr>
          <w:p w14:paraId="4E766281">
            <w:pPr>
              <w:spacing w:after="0" w:line="240" w:lineRule="auto"/>
              <w:jc w:val="both"/>
              <w:rPr>
                <w:rFonts w:ascii="Aptos Display" w:hAnsi="Aptos Display"/>
                <w:bCs/>
                <w:sz w:val="20"/>
                <w:szCs w:val="20"/>
              </w:rPr>
            </w:pPr>
            <w:r>
              <w:rPr>
                <w:rFonts w:ascii="Aptos Display" w:hAnsi="Aptos Display"/>
                <w:sz w:val="20"/>
                <w:szCs w:val="20"/>
              </w:rPr>
              <w:t>A dummy variable equals 1 if the firm-year observations have 2 female directors on the board, 0 otherwise.</w:t>
            </w:r>
          </w:p>
        </w:tc>
      </w:tr>
      <w:tr w14:paraId="4ED18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5D3884B5">
            <w:pPr>
              <w:spacing w:after="0" w:line="240" w:lineRule="auto"/>
              <w:rPr>
                <w:rFonts w:ascii="Aptos Display" w:hAnsi="Aptos Display"/>
                <w:bCs/>
                <w:i/>
                <w:iCs/>
                <w:sz w:val="20"/>
                <w:szCs w:val="20"/>
              </w:rPr>
            </w:pPr>
            <w:r>
              <w:rPr>
                <w:rFonts w:ascii="Aptos Display" w:hAnsi="Aptos Display"/>
                <w:bCs/>
                <w:i/>
                <w:iCs/>
                <w:sz w:val="20"/>
                <w:szCs w:val="20"/>
              </w:rPr>
              <w:t>FD3</w:t>
            </w:r>
          </w:p>
        </w:tc>
        <w:tc>
          <w:tcPr>
            <w:tcW w:w="8438" w:type="dxa"/>
          </w:tcPr>
          <w:p w14:paraId="5C47F010">
            <w:pPr>
              <w:spacing w:after="0" w:line="240" w:lineRule="auto"/>
              <w:jc w:val="both"/>
              <w:rPr>
                <w:rFonts w:ascii="Aptos Display" w:hAnsi="Aptos Display"/>
                <w:bCs/>
                <w:sz w:val="20"/>
                <w:szCs w:val="20"/>
              </w:rPr>
            </w:pPr>
            <w:r>
              <w:rPr>
                <w:rFonts w:ascii="Aptos Display" w:hAnsi="Aptos Display"/>
                <w:sz w:val="20"/>
                <w:szCs w:val="20"/>
              </w:rPr>
              <w:t>A dummy variable equals 1 if the firm-year observations have 3 or more female directors on the board, 0 otherwise.</w:t>
            </w:r>
          </w:p>
        </w:tc>
      </w:tr>
      <w:tr w14:paraId="10640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188D7FA7">
            <w:pPr>
              <w:spacing w:after="0" w:line="240" w:lineRule="auto"/>
              <w:rPr>
                <w:rFonts w:ascii="Aptos Display" w:hAnsi="Aptos Display"/>
                <w:bCs/>
                <w:i/>
                <w:iCs/>
                <w:sz w:val="20"/>
                <w:szCs w:val="20"/>
              </w:rPr>
            </w:pPr>
            <w:r>
              <w:rPr>
                <w:rFonts w:ascii="Aptos Display" w:hAnsi="Aptos Display"/>
                <w:bCs/>
                <w:i/>
                <w:iCs/>
                <w:sz w:val="20"/>
                <w:szCs w:val="20"/>
              </w:rPr>
              <w:t>FEM_FIRST</w:t>
            </w:r>
          </w:p>
        </w:tc>
        <w:tc>
          <w:tcPr>
            <w:tcW w:w="8438" w:type="dxa"/>
          </w:tcPr>
          <w:p w14:paraId="0766DE1F">
            <w:pPr>
              <w:spacing w:after="0" w:line="240" w:lineRule="auto"/>
              <w:jc w:val="both"/>
              <w:rPr>
                <w:rFonts w:ascii="Aptos Display" w:hAnsi="Aptos Display"/>
                <w:bCs/>
                <w:sz w:val="20"/>
                <w:szCs w:val="20"/>
              </w:rPr>
            </w:pPr>
            <w:r>
              <w:rPr>
                <w:rFonts w:ascii="Aptos Display" w:hAnsi="Aptos Display"/>
                <w:sz w:val="20"/>
                <w:szCs w:val="20"/>
              </w:rPr>
              <w:t>A dummy variable equals 1 if the firm-year observations appoint a female director for the first time and 0 otherwise.</w:t>
            </w:r>
          </w:p>
        </w:tc>
      </w:tr>
      <w:tr w14:paraId="1393A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Pr>
          <w:p w14:paraId="680AE080">
            <w:pPr>
              <w:spacing w:after="0" w:line="240" w:lineRule="auto"/>
              <w:rPr>
                <w:rFonts w:ascii="Aptos Display" w:hAnsi="Aptos Display"/>
                <w:bCs/>
                <w:i/>
                <w:iCs/>
                <w:sz w:val="20"/>
                <w:szCs w:val="20"/>
              </w:rPr>
            </w:pPr>
            <w:r>
              <w:rPr>
                <w:rFonts w:ascii="Aptos Display" w:hAnsi="Aptos Display"/>
                <w:bCs/>
                <w:i/>
                <w:iCs/>
                <w:sz w:val="20"/>
                <w:szCs w:val="20"/>
              </w:rPr>
              <w:t>FLC</w:t>
            </w:r>
          </w:p>
        </w:tc>
        <w:tc>
          <w:tcPr>
            <w:tcW w:w="8438" w:type="dxa"/>
          </w:tcPr>
          <w:p w14:paraId="045387F6">
            <w:pPr>
              <w:spacing w:after="0" w:line="240" w:lineRule="auto"/>
              <w:jc w:val="both"/>
              <w:rPr>
                <w:rFonts w:ascii="Aptos Display" w:hAnsi="Aptos Display"/>
                <w:bCs/>
                <w:sz w:val="20"/>
                <w:szCs w:val="20"/>
              </w:rPr>
            </w:pPr>
            <w:r>
              <w:rPr>
                <w:rFonts w:ascii="Aptos Display" w:hAnsi="Aptos Display"/>
                <w:bCs/>
                <w:sz w:val="20"/>
                <w:szCs w:val="20"/>
              </w:rPr>
              <w:t xml:space="preserve">Firm life cycle (FLC). A vector of dummy variables that capture firms' different stages in the life cycle following the Dickinson (2011) model. </w:t>
            </w:r>
          </w:p>
        </w:tc>
      </w:tr>
      <w:tr w14:paraId="02EA8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dxa"/>
            <w:tcBorders>
              <w:bottom w:val="single" w:color="auto" w:sz="4" w:space="0"/>
            </w:tcBorders>
          </w:tcPr>
          <w:p w14:paraId="2355420B">
            <w:pPr>
              <w:spacing w:after="0" w:line="240" w:lineRule="auto"/>
              <w:rPr>
                <w:rFonts w:ascii="Aptos Display" w:hAnsi="Aptos Display"/>
                <w:bCs/>
                <w:i/>
                <w:iCs/>
                <w:sz w:val="20"/>
                <w:szCs w:val="20"/>
              </w:rPr>
            </w:pPr>
            <w:r>
              <w:rPr>
                <w:rFonts w:ascii="Aptos Display" w:hAnsi="Aptos Display"/>
                <w:bCs/>
                <w:i/>
                <w:iCs/>
                <w:sz w:val="20"/>
                <w:szCs w:val="20"/>
              </w:rPr>
              <w:t>GFC</w:t>
            </w:r>
          </w:p>
        </w:tc>
        <w:tc>
          <w:tcPr>
            <w:tcW w:w="8438" w:type="dxa"/>
            <w:tcBorders>
              <w:bottom w:val="single" w:color="auto" w:sz="4" w:space="0"/>
            </w:tcBorders>
          </w:tcPr>
          <w:p w14:paraId="18D372DF">
            <w:pPr>
              <w:spacing w:after="0" w:line="240" w:lineRule="auto"/>
              <w:jc w:val="both"/>
              <w:rPr>
                <w:rFonts w:ascii="Aptos Display" w:hAnsi="Aptos Display"/>
                <w:bCs/>
                <w:sz w:val="20"/>
                <w:szCs w:val="20"/>
              </w:rPr>
            </w:pPr>
            <w:r>
              <w:rPr>
                <w:rFonts w:ascii="Aptos Display" w:hAnsi="Aptos Display"/>
                <w:bCs/>
                <w:sz w:val="20"/>
                <w:szCs w:val="20"/>
              </w:rPr>
              <w:t xml:space="preserve">Global Financial Crisis (GFC). </w:t>
            </w:r>
            <w:r>
              <w:rPr>
                <w:rFonts w:ascii="Aptos Display" w:hAnsi="Aptos Display"/>
                <w:sz w:val="20"/>
                <w:szCs w:val="20"/>
              </w:rPr>
              <w:t>A dummy variable equal to 1 if the firm-year observations belong to 2008-2010, 0 otherwise.</w:t>
            </w:r>
          </w:p>
        </w:tc>
      </w:tr>
    </w:tbl>
    <w:p w14:paraId="5124B8C6">
      <w:r>
        <w:rPr>
          <w:rFonts w:ascii="Aptos Display" w:hAnsi="Aptos Display"/>
          <w:b/>
          <w:sz w:val="24"/>
        </w:rPr>
        <w:t xml:space="preserve">Source: </w:t>
      </w:r>
      <w:r>
        <w:rPr>
          <w:rFonts w:ascii="Aptos Display" w:hAnsi="Aptos Display"/>
          <w:bCs/>
          <w:sz w:val="24"/>
        </w:rPr>
        <w:t>Author’s work</w:t>
      </w: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200247B" w:usb2="00000009" w:usb3="00000000" w:csb0="200001FF" w:csb1="00000000"/>
  </w:font>
  <w:font w:name="Aptos Display">
    <w:altName w:val="Liberation Mono"/>
    <w:panose1 w:val="00000000000000000000"/>
    <w:charset w:val="00"/>
    <w:family w:val="swiss"/>
    <w:pitch w:val="default"/>
    <w:sig w:usb0="00000000" w:usb1="00000000" w:usb2="00000000" w:usb3="00000000" w:csb0="0000019F" w:csb1="00000000"/>
  </w:font>
  <w:font w:name="Microsoft JhengHei UI">
    <w:panose1 w:val="020B0604030504040204"/>
    <w:charset w:val="88"/>
    <w:family w:val="swiss"/>
    <w:pitch w:val="default"/>
    <w:sig w:usb0="000002A7" w:usb1="28CF4400" w:usb2="00000016" w:usb3="00000000" w:csb0="00100009" w:csb1="00000000"/>
  </w:font>
  <w:font w:name="Cambria Math">
    <w:panose1 w:val="02040503050406030204"/>
    <w:charset w:val="00"/>
    <w:family w:val="roman"/>
    <w:pitch w:val="default"/>
    <w:sig w:usb0="E00006FF" w:usb1="420024FF" w:usb2="02000000" w:usb3="00000000" w:csb0="2000019F" w:csb1="00000000"/>
  </w:font>
  <w:font w:name="Liberation Mono">
    <w:panose1 w:val="02070409020205020404"/>
    <w:charset w:val="00"/>
    <w:family w:val="auto"/>
    <w:pitch w:val="default"/>
    <w:sig w:usb0="E0000AFF" w:usb1="400078FF" w:usb2="00000001" w:usb3="00000000" w:csb0="6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CC5D26"/>
    <w:rsid w:val="65CC5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Times New Roman" w:cs="Times New Roman"/>
      <w:sz w:val="22"/>
      <w:szCs w:val="22"/>
      <w:lang w:val="en-AU" w:eastAsia="en-AU"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39"/>
    <w:pPr>
      <w:spacing w:after="0" w:line="240" w:lineRule="auto"/>
    </w:pPr>
    <w:rPr>
      <w:rFonts w:ascii="Calibri" w:hAnsi="Calibri" w:eastAsia="Times New Roman" w:cs="Arial"/>
      <w:sz w:val="20"/>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2025-07-16T05:11:00Z</dcterms:created>
  <dc:creator>Shiney Precilla</dc:creator>
  <cp:lastModifiedBy>Shiney Precilla</cp:lastModifiedBy>
  <dcterms:modified xsi:type="dcterms:W3CDTF">2025-07-16T05:12:10Z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D485ADA0FD2447AE8AFC14CF4F99799A_11</vt:lpwstr>
  </property>
</Properties>
</file>