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F" w:rsidRPr="003223FF" w:rsidRDefault="00E7178F" w:rsidP="00E7178F">
      <w:pPr>
        <w:rPr>
          <w:rFonts w:ascii="Times New Roman" w:hAnsi="Times New Roman" w:cs="Times New Roman"/>
          <w:b/>
        </w:rPr>
      </w:pPr>
      <w:r w:rsidRPr="003223FF">
        <w:rPr>
          <w:rFonts w:ascii="Times New Roman" w:hAnsi="Times New Roman" w:cs="Times New Roman"/>
          <w:b/>
        </w:rPr>
        <w:t xml:space="preserve">Appendix </w:t>
      </w:r>
      <w:r>
        <w:rPr>
          <w:rFonts w:ascii="Times New Roman" w:hAnsi="Times New Roman" w:cs="Times New Roman"/>
          <w:b/>
        </w:rPr>
        <w:t>1</w:t>
      </w:r>
      <w:r w:rsidRPr="003223FF">
        <w:rPr>
          <w:rFonts w:ascii="Times New Roman" w:hAnsi="Times New Roman" w:cs="Times New Roman"/>
          <w:b/>
        </w:rPr>
        <w:t>: Sample Selection Process</w:t>
      </w:r>
    </w:p>
    <w:tbl>
      <w:tblPr>
        <w:tblW w:w="10183" w:type="dxa"/>
        <w:jc w:val="center"/>
        <w:tblLook w:val="04A0" w:firstRow="1" w:lastRow="0" w:firstColumn="1" w:lastColumn="0" w:noHBand="0" w:noVBand="1"/>
      </w:tblPr>
      <w:tblGrid>
        <w:gridCol w:w="915"/>
        <w:gridCol w:w="8315"/>
        <w:gridCol w:w="953"/>
      </w:tblGrid>
      <w:tr w:rsidR="00E7178F" w:rsidRPr="001C0AE5" w:rsidTr="00542D99">
        <w:trPr>
          <w:trHeight w:val="296"/>
          <w:jc w:val="center"/>
        </w:trPr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 xml:space="preserve">Step  </w:t>
            </w:r>
          </w:p>
        </w:tc>
        <w:tc>
          <w:tcPr>
            <w:tcW w:w="8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Conditions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</w:t>
            </w:r>
          </w:p>
        </w:tc>
      </w:tr>
      <w:tr w:rsidR="00E7178F" w:rsidRPr="001C0AE5" w:rsidTr="00542D99">
        <w:trPr>
          <w:trHeight w:val="592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</w:t>
            </w: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All firms in CRSP (share code 10 or 11) that can be merged with Compustat data with non-missing FSCORE between 1980 - 2015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19,289</w:t>
            </w:r>
          </w:p>
        </w:tc>
      </w:tr>
      <w:tr w:rsidR="00E7178F" w:rsidRPr="001C0AE5" w:rsidTr="00542D99">
        <w:trPr>
          <w:trHeight w:val="296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2</w:t>
            </w: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Less financial firms (SIC code between 6000 &amp; 6999)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-2,959</w:t>
            </w:r>
          </w:p>
        </w:tc>
      </w:tr>
      <w:tr w:rsidR="00E7178F" w:rsidRPr="001C0AE5" w:rsidTr="00542D99">
        <w:trPr>
          <w:trHeight w:val="296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3</w:t>
            </w: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Less the firms that are not listed in US exchanges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-766</w:t>
            </w:r>
          </w:p>
        </w:tc>
      </w:tr>
      <w:tr w:rsidR="00E7178F" w:rsidRPr="001C0AE5" w:rsidTr="00542D99">
        <w:trPr>
          <w:trHeight w:val="592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4</w:t>
            </w: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Less the firms that cannot be merged with Thomson Reuters 13f institutional holding data (1982 - 2015)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-3,708</w:t>
            </w:r>
          </w:p>
        </w:tc>
      </w:tr>
      <w:tr w:rsidR="00E7178F" w:rsidRPr="001C0AE5" w:rsidTr="00542D99">
        <w:trPr>
          <w:trHeight w:val="296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Number of firms in final sample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11,856</w:t>
            </w:r>
          </w:p>
        </w:tc>
      </w:tr>
      <w:tr w:rsidR="00E7178F" w:rsidRPr="001C0AE5" w:rsidTr="00542D99">
        <w:trPr>
          <w:trHeight w:val="296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</w:tr>
      <w:tr w:rsidR="00E7178F" w:rsidRPr="001C0AE5" w:rsidTr="00542D99">
        <w:trPr>
          <w:trHeight w:val="296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HK"/>
              </w:rPr>
            </w:pP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Number of firm-quarter observations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430,110</w:t>
            </w:r>
          </w:p>
        </w:tc>
      </w:tr>
      <w:tr w:rsidR="00E7178F" w:rsidRPr="001C0AE5" w:rsidTr="00542D99">
        <w:trPr>
          <w:trHeight w:val="296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5</w:t>
            </w:r>
          </w:p>
        </w:tc>
        <w:tc>
          <w:tcPr>
            <w:tcW w:w="8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Less observations with missing control variables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-41,571</w:t>
            </w:r>
          </w:p>
        </w:tc>
      </w:tr>
      <w:tr w:rsidR="00E7178F" w:rsidRPr="001C0AE5" w:rsidTr="00542D99">
        <w:trPr>
          <w:trHeight w:val="296"/>
          <w:jc w:val="center"/>
        </w:trPr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 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Number of firm-quarter observations for regressions with control variables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1C0AE5" w:rsidRDefault="00E7178F" w:rsidP="0054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HK"/>
              </w:rPr>
            </w:pPr>
            <w:r w:rsidRPr="001C0AE5">
              <w:rPr>
                <w:rFonts w:ascii="Times New Roman" w:eastAsia="Times New Roman" w:hAnsi="Times New Roman" w:cs="Times New Roman"/>
                <w:color w:val="000000"/>
                <w:lang w:val="en-HK"/>
              </w:rPr>
              <w:t>388,539</w:t>
            </w:r>
          </w:p>
        </w:tc>
      </w:tr>
    </w:tbl>
    <w:p w:rsidR="00E7178F" w:rsidRDefault="00E7178F" w:rsidP="00E7178F">
      <w:pPr>
        <w:jc w:val="both"/>
        <w:rPr>
          <w:rFonts w:ascii="Times New Roman" w:hAnsi="Times New Roman" w:cs="Times New Roman"/>
        </w:rPr>
      </w:pPr>
      <w:r w:rsidRPr="00DF3217">
        <w:rPr>
          <w:rFonts w:ascii="Times New Roman" w:hAnsi="Times New Roman" w:cs="Times New Roman"/>
          <w:color w:val="5B9BD5" w:themeColor="accent1"/>
        </w:rPr>
        <w:t xml:space="preserve">The </w:t>
      </w:r>
      <w:r>
        <w:rPr>
          <w:rFonts w:ascii="Times New Roman" w:hAnsi="Times New Roman" w:cs="Times New Roman"/>
          <w:color w:val="5B9BD5" w:themeColor="accent1"/>
        </w:rPr>
        <w:t>table</w:t>
      </w:r>
      <w:r w:rsidRPr="00DF3217">
        <w:rPr>
          <w:rFonts w:ascii="Times New Roman" w:hAnsi="Times New Roman" w:cs="Times New Roman"/>
          <w:color w:val="5B9BD5" w:themeColor="accent1"/>
        </w:rPr>
        <w:t xml:space="preserve"> is created by authors.</w:t>
      </w:r>
    </w:p>
    <w:p w:rsidR="00E7178F" w:rsidRDefault="00E7178F" w:rsidP="00E7178F">
      <w:pPr>
        <w:rPr>
          <w:rFonts w:ascii="Times New Roman" w:hAnsi="Times New Roman" w:cs="Times New Roman"/>
        </w:rPr>
      </w:pPr>
    </w:p>
    <w:p w:rsidR="00E7178F" w:rsidRDefault="00E7178F" w:rsidP="00E71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178F" w:rsidRPr="003223FF" w:rsidRDefault="00E7178F" w:rsidP="00E7178F">
      <w:pPr>
        <w:rPr>
          <w:rFonts w:ascii="Times New Roman" w:hAnsi="Times New Roman" w:cs="Times New Roman"/>
          <w:b/>
        </w:rPr>
      </w:pPr>
      <w:r w:rsidRPr="003223FF">
        <w:rPr>
          <w:rFonts w:ascii="Times New Roman" w:hAnsi="Times New Roman" w:cs="Times New Roman"/>
          <w:b/>
        </w:rPr>
        <w:lastRenderedPageBreak/>
        <w:t xml:space="preserve">Appendix </w:t>
      </w:r>
      <w:r>
        <w:rPr>
          <w:rFonts w:ascii="Times New Roman" w:hAnsi="Times New Roman" w:cs="Times New Roman"/>
          <w:b/>
        </w:rPr>
        <w:t>2</w:t>
      </w:r>
      <w:r w:rsidRPr="003223FF">
        <w:rPr>
          <w:rFonts w:ascii="Times New Roman" w:hAnsi="Times New Roman" w:cs="Times New Roman"/>
          <w:b/>
        </w:rPr>
        <w:t>: Variable Definitions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552"/>
        <w:gridCol w:w="7087"/>
      </w:tblGrid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Variable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Definition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Panel A: Institutional ownership variables</w:t>
            </w:r>
          </w:p>
        </w:tc>
      </w:tr>
      <w:tr w:rsidR="00E7178F" w:rsidRPr="007028C7" w:rsidTr="00542D99">
        <w:trPr>
          <w:trHeight w:val="56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IO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Institutional ownership by total institutions as percentage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share held</w:t>
            </w: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NUM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number of all institutional investors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change of IO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ΔNUM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change of the number of institutional investors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ΔIO_INDEP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The change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IO</w:t>
            </w: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 by independent institutions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ΔIO_GREY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The change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IO</w:t>
            </w: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 by passive (grey) institutions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INVEST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The change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investment company</w:t>
            </w: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 ownership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ΔIO_ADVISOR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change of investment advisor ownership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ΔIO_BANK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change of bank ownership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ΔIO_INSURANCE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change of insurance company ownership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ΔIO_PENSION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change of pension fund and endowment ownership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ΔIOADJ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size-adjusted change of IO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ΔNUMADJ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size-adjusted change of NUM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511">
              <w:rPr>
                <w:rFonts w:ascii="Times New Roman" w:eastAsia="Times New Roman" w:hAnsi="Times New Roman" w:cs="Times New Roman"/>
                <w:color w:val="000000"/>
              </w:rPr>
              <w:t>ΔIOADJ_INDEP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The size-adjusted change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IO</w:t>
            </w: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 by independent institutions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0511">
              <w:rPr>
                <w:rFonts w:ascii="Times New Roman" w:eastAsia="Times New Roman" w:hAnsi="Times New Roman" w:cs="Times New Roman"/>
                <w:color w:val="000000"/>
              </w:rPr>
              <w:t>ΔIOADJ_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GREY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The size-adjusted change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IO</w:t>
            </w: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 by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passive</w:t>
            </w: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 institutions on a firm in each quarter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Panel B: BM and FSCORE</w:t>
            </w:r>
          </w:p>
        </w:tc>
      </w:tr>
      <w:tr w:rsidR="00E7178F" w:rsidRPr="007028C7" w:rsidTr="00542D99">
        <w:trPr>
          <w:trHeight w:val="56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BM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book to market ratio; equal to the book value of equity divided by market value of equity at the fiscal year-end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measure of financial strength ranging from 0 to 9</w:t>
            </w:r>
          </w:p>
        </w:tc>
      </w:tr>
      <w:tr w:rsidR="00E7178F" w:rsidRPr="007028C7" w:rsidTr="00542D99">
        <w:trPr>
          <w:trHeight w:val="56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Value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value stocks, equal to 1 if a firm's BM is in the top 30% of the prior year's distribution of BM ratios</w:t>
            </w:r>
          </w:p>
        </w:tc>
      </w:tr>
      <w:tr w:rsidR="00E7178F" w:rsidRPr="007028C7" w:rsidTr="00542D99">
        <w:trPr>
          <w:trHeight w:val="56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Middle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middle stocks, equal to 1 if a firm's BM is between 30% and 70% of the prior year's distribution of BM ratios</w:t>
            </w:r>
          </w:p>
        </w:tc>
      </w:tr>
      <w:tr w:rsidR="00E7178F" w:rsidRPr="007028C7" w:rsidTr="00542D99">
        <w:trPr>
          <w:trHeight w:val="568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Glamour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glamour stocks, equal to 1 if a firm's BM is in the bottom 30% of the prior year's distribution of BM ratios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 xml:space="preserve">High FSCORE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high FSCORE stocks, equal to 1 if FSCORE&gt;6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Mid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mid FSCORE stocks, equal to 1 if FSCORE=4, 5, or 6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Low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low FSCORE stocks, equal to 1 if FSCORE&lt;4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Glamour * Low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low FSCORE glamour stocks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Glamour * Mid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mid FSCORE glamour stocks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Glamour * High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high FSCORE glamour stocks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Middle * Low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low FSCORE middle stocks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Middle * Mid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mid FSCORE middle stocks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Middle * High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high FSCORE middle stocks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Value * Low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low FSCORE value stocks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Value * Mid FSCORE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mid FSCORE value stocks</w:t>
            </w:r>
          </w:p>
        </w:tc>
      </w:tr>
      <w:tr w:rsidR="00E7178F" w:rsidRPr="007028C7" w:rsidTr="00542D99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Value * High FSCORE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7028C7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8C7">
              <w:rPr>
                <w:rFonts w:ascii="Times New Roman" w:eastAsia="Times New Roman" w:hAnsi="Times New Roman" w:cs="Times New Roman"/>
                <w:color w:val="000000"/>
              </w:rPr>
              <w:t>The indicator variable for high FSCORE value stocks</w:t>
            </w:r>
          </w:p>
        </w:tc>
      </w:tr>
    </w:tbl>
    <w:p w:rsidR="00E7178F" w:rsidRDefault="00E7178F" w:rsidP="00E71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Appendix 2: Variable definitions (continued)</w:t>
      </w:r>
    </w:p>
    <w:tbl>
      <w:tblPr>
        <w:tblW w:w="9554" w:type="dxa"/>
        <w:jc w:val="center"/>
        <w:tblLook w:val="04A0" w:firstRow="1" w:lastRow="0" w:firstColumn="1" w:lastColumn="0" w:noHBand="0" w:noVBand="1"/>
      </w:tblPr>
      <w:tblGrid>
        <w:gridCol w:w="1979"/>
        <w:gridCol w:w="7575"/>
      </w:tblGrid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Variable</w:t>
            </w:r>
          </w:p>
        </w:tc>
        <w:tc>
          <w:tcPr>
            <w:tcW w:w="7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Definition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9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Panel C: Firm characteristic variables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SIZE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Firm size, the log of market capitalization on a firm at the end of portfolio formation quarter</w:t>
            </w:r>
          </w:p>
        </w:tc>
      </w:tr>
      <w:tr w:rsidR="00E7178F" w:rsidRPr="00482F34" w:rsidTr="00542D99">
        <w:trPr>
          <w:trHeight w:val="53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INVOP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Investment opportunities, the two-year geometric average of annual sale growth on a firm at the end of prior fiscal year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AG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Asset growth, the percentage change of the total assets on a firm at the end of prior fiscal year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MOM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Momentum, the six-month cumulative stock return on a firm prior to portfolio formation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TURN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Stock turnover ratio, the share volume divided by share outstanding on a firm in the formation quarter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ROE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Return on equity on a firm at the end of prior fiscal year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DY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Dividend yield on a firm at the end of prior fiscal year</w:t>
            </w:r>
          </w:p>
        </w:tc>
      </w:tr>
      <w:tr w:rsidR="00E7178F" w:rsidRPr="00482F34" w:rsidTr="00542D99">
        <w:trPr>
          <w:trHeight w:val="53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IVOL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Idiosyncratic volatility, calculated by market model based on the stock returns in 60 months (minimum 24 months) prior to portfolio formation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LEV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Leverage ratio, the total debt divided by total assets on a firm at the end of prior fiscal year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CASH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Cash ratio, the cash and cash equivalent divided by total assets on a firm at the end of prior fiscal year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Earnings surprise in the lagged two quarter; SUE = (EPS – average EPS in the prior four quarter) / Standard deviation of EPSs in the prior eight quarters;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34DA">
              <w:rPr>
                <w:rFonts w:ascii="Verdana" w:eastAsia="Times New Roman" w:hAnsi="Verdana" w:cs="Times New Roman"/>
                <w:color w:val="000000"/>
              </w:rPr>
              <w:t>Δ</w:t>
            </w:r>
            <w:r w:rsidRPr="001E34DA">
              <w:rPr>
                <w:rFonts w:ascii="Times New Roman" w:eastAsia="Times New Roman" w:hAnsi="Times New Roman" w:cs="Times New Roman"/>
                <w:color w:val="000000"/>
              </w:rPr>
              <w:t>SPINDEX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Change of constituent status of S&amp;P500 index on a firm in each quarter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ANALYST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Analyst coverage, the number of analysts covered a firm in each quarter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ROA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2F34">
              <w:rPr>
                <w:rFonts w:ascii="Times New Roman" w:eastAsia="Times New Roman" w:hAnsi="Times New Roman" w:cs="Times New Roman"/>
                <w:color w:val="000000"/>
              </w:rPr>
              <w:t xml:space="preserve">Return 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asset</w:t>
            </w:r>
            <w:r w:rsidRPr="00482F34">
              <w:rPr>
                <w:rFonts w:ascii="Times New Roman" w:eastAsia="Times New Roman" w:hAnsi="Times New Roman" w:cs="Times New Roman"/>
                <w:color w:val="000000"/>
              </w:rPr>
              <w:t xml:space="preserve"> on a firm at the end of prior fiscal year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GP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Gross profitability ratio is the revenue minus cost of goods sold, scaled by total assets </w:t>
            </w:r>
            <w:r w:rsidRPr="00482F34">
              <w:rPr>
                <w:rFonts w:ascii="Times New Roman" w:eastAsia="Times New Roman" w:hAnsi="Times New Roman" w:cs="Times New Roman"/>
                <w:color w:val="000000"/>
              </w:rPr>
              <w:t>at the end of prior fiscal year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Operating profitability ratio is </w:t>
            </w:r>
            <w:r w:rsidRPr="008E7100">
              <w:rPr>
                <w:rFonts w:ascii="Times New Roman" w:eastAsia="Times New Roman" w:hAnsi="Times New Roman" w:cs="Times New Roman"/>
                <w:color w:val="000000"/>
              </w:rPr>
              <w:t>the revenue minu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 the sum of cost of goods sold,</w:t>
            </w:r>
            <w:r w:rsidRPr="008E7100">
              <w:rPr>
                <w:rFonts w:ascii="Times New Roman" w:eastAsia="Times New Roman" w:hAnsi="Times New Roman" w:cs="Times New Roman"/>
                <w:color w:val="000000"/>
              </w:rPr>
              <w:t xml:space="preserve"> selling, general and administrative expenses and interest expense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E7100">
              <w:rPr>
                <w:rFonts w:ascii="Times New Roman" w:eastAsia="Times New Roman" w:hAnsi="Times New Roman" w:cs="Times New Roman"/>
                <w:color w:val="000000"/>
              </w:rPr>
              <w:t xml:space="preserve"> scaled by book value of equity in prior fiscal year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COP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Pr="00482F34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Cash-based operating profitability ratio is the operating profitability adjusted by accruals, following Ball et al. (2016)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Market-to-book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log of the market-to-book ratio, following </w:t>
            </w:r>
            <w:r w:rsidRPr="00542863">
              <w:rPr>
                <w:rFonts w:ascii="Times New Roman" w:eastAsia="Times New Roman" w:hAnsi="Times New Roman" w:cs="Times New Roman"/>
                <w:color w:val="000000"/>
              </w:rPr>
              <w:t xml:space="preserve">Golubov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and </w:t>
            </w:r>
            <w:r w:rsidRPr="00542863">
              <w:rPr>
                <w:rFonts w:ascii="Times New Roman" w:eastAsia="Times New Roman" w:hAnsi="Times New Roman" w:cs="Times New Roman"/>
                <w:color w:val="000000"/>
              </w:rPr>
              <w:t>Konstantinidi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(2019) 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 Error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component of total error from log market-to-book, following </w:t>
            </w:r>
            <w:r w:rsidRPr="00542863">
              <w:rPr>
                <w:rFonts w:ascii="Times New Roman" w:eastAsia="Times New Roman" w:hAnsi="Times New Roman" w:cs="Times New Roman"/>
                <w:color w:val="000000"/>
              </w:rPr>
              <w:t>Rhodes-Kropf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 al. (2005)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Firm-specific Error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component of firm-specific error from log market-to-book, following </w:t>
            </w:r>
            <w:r w:rsidRPr="00542863">
              <w:rPr>
                <w:rFonts w:ascii="Times New Roman" w:eastAsia="Times New Roman" w:hAnsi="Times New Roman" w:cs="Times New Roman"/>
                <w:color w:val="000000"/>
              </w:rPr>
              <w:t>Rhodes-Kropf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 al. (2005)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Sector Error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component of sector error from log market-to-book, following </w:t>
            </w:r>
            <w:r w:rsidRPr="00542863">
              <w:rPr>
                <w:rFonts w:ascii="Times New Roman" w:eastAsia="Times New Roman" w:hAnsi="Times New Roman" w:cs="Times New Roman"/>
                <w:color w:val="000000"/>
              </w:rPr>
              <w:t>Rhodes-Kropf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 al. (2005)</w:t>
            </w:r>
          </w:p>
        </w:tc>
      </w:tr>
      <w:tr w:rsidR="00E7178F" w:rsidRPr="00482F34" w:rsidTr="00542D99">
        <w:trPr>
          <w:trHeight w:val="267"/>
          <w:jc w:val="center"/>
        </w:trPr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Value-to-Book</w:t>
            </w:r>
          </w:p>
        </w:tc>
        <w:tc>
          <w:tcPr>
            <w:tcW w:w="7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178F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component of value-to-book from log market-to-book, following </w:t>
            </w:r>
            <w:r w:rsidRPr="00542863">
              <w:rPr>
                <w:rFonts w:ascii="Times New Roman" w:eastAsia="Times New Roman" w:hAnsi="Times New Roman" w:cs="Times New Roman"/>
                <w:color w:val="000000"/>
              </w:rPr>
              <w:t>Rhodes-Kropf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 al. (2005)</w:t>
            </w:r>
          </w:p>
        </w:tc>
      </w:tr>
    </w:tbl>
    <w:p w:rsidR="00E7178F" w:rsidRDefault="00E7178F" w:rsidP="00E7178F">
      <w:pPr>
        <w:rPr>
          <w:rFonts w:ascii="Times New Roman" w:hAnsi="Times New Roman" w:cs="Times New Roman"/>
        </w:rPr>
      </w:pPr>
      <w:r w:rsidRPr="00DF3217">
        <w:rPr>
          <w:rFonts w:ascii="Times New Roman" w:hAnsi="Times New Roman" w:cs="Times New Roman"/>
          <w:color w:val="5B9BD5" w:themeColor="accent1"/>
        </w:rPr>
        <w:t xml:space="preserve">The </w:t>
      </w:r>
      <w:r>
        <w:rPr>
          <w:rFonts w:ascii="Times New Roman" w:hAnsi="Times New Roman" w:cs="Times New Roman"/>
          <w:color w:val="5B9BD5" w:themeColor="accent1"/>
        </w:rPr>
        <w:t>table</w:t>
      </w:r>
      <w:r w:rsidRPr="00DF3217">
        <w:rPr>
          <w:rFonts w:ascii="Times New Roman" w:hAnsi="Times New Roman" w:cs="Times New Roman"/>
          <w:color w:val="5B9BD5" w:themeColor="accent1"/>
        </w:rPr>
        <w:t xml:space="preserve"> is created by authors.</w:t>
      </w:r>
    </w:p>
    <w:p w:rsidR="00E7178F" w:rsidRDefault="00E7178F" w:rsidP="00E71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178F" w:rsidRPr="00D772C5" w:rsidRDefault="00E7178F" w:rsidP="00E7178F">
      <w:pPr>
        <w:jc w:val="both"/>
        <w:rPr>
          <w:rFonts w:ascii="Times New Roman" w:hAnsi="Times New Roman" w:cs="Times New Roman"/>
          <w:b/>
        </w:rPr>
      </w:pPr>
      <w:r w:rsidRPr="0040726D">
        <w:rPr>
          <w:rFonts w:ascii="Times New Roman" w:hAnsi="Times New Roman" w:cs="Times New Roman"/>
          <w:b/>
        </w:rPr>
        <w:lastRenderedPageBreak/>
        <w:t>Append</w:t>
      </w:r>
      <w:r>
        <w:rPr>
          <w:rFonts w:ascii="Times New Roman" w:hAnsi="Times New Roman" w:cs="Times New Roman"/>
          <w:b/>
        </w:rPr>
        <w:t>ix</w:t>
      </w:r>
      <w:r w:rsidRPr="0040726D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>:</w:t>
      </w:r>
      <w:r w:rsidRPr="004072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Stock Returns</w:t>
      </w:r>
      <w:r w:rsidRPr="003223FF">
        <w:rPr>
          <w:rFonts w:ascii="Times New Roman" w:hAnsi="Times New Roman" w:cs="Times New Roman"/>
          <w:b/>
        </w:rPr>
        <w:t xml:space="preserve"> in </w:t>
      </w:r>
      <w:r>
        <w:rPr>
          <w:rFonts w:ascii="Times New Roman" w:hAnsi="Times New Roman" w:cs="Times New Roman"/>
          <w:b/>
        </w:rPr>
        <w:t>V</w:t>
      </w:r>
      <w:r w:rsidRPr="003223FF">
        <w:rPr>
          <w:rFonts w:ascii="Times New Roman" w:hAnsi="Times New Roman" w:cs="Times New Roman"/>
          <w:b/>
        </w:rPr>
        <w:t>alue/</w:t>
      </w:r>
      <w:r>
        <w:rPr>
          <w:rFonts w:ascii="Times New Roman" w:hAnsi="Times New Roman" w:cs="Times New Roman"/>
          <w:b/>
        </w:rPr>
        <w:t>G</w:t>
      </w:r>
      <w:r w:rsidRPr="003223FF">
        <w:rPr>
          <w:rFonts w:ascii="Times New Roman" w:hAnsi="Times New Roman" w:cs="Times New Roman"/>
          <w:b/>
        </w:rPr>
        <w:t xml:space="preserve">lamour </w:t>
      </w:r>
      <w:r>
        <w:rPr>
          <w:rFonts w:ascii="Times New Roman" w:hAnsi="Times New Roman" w:cs="Times New Roman"/>
          <w:b/>
        </w:rPr>
        <w:t>S</w:t>
      </w:r>
      <w:r w:rsidRPr="003223FF">
        <w:rPr>
          <w:rFonts w:ascii="Times New Roman" w:hAnsi="Times New Roman" w:cs="Times New Roman"/>
          <w:b/>
        </w:rPr>
        <w:t xml:space="preserve">trategy </w:t>
      </w:r>
      <w:r>
        <w:rPr>
          <w:rFonts w:ascii="Times New Roman" w:hAnsi="Times New Roman" w:cs="Times New Roman"/>
          <w:b/>
        </w:rPr>
        <w:t>C</w:t>
      </w:r>
      <w:r w:rsidRPr="003223FF">
        <w:rPr>
          <w:rFonts w:ascii="Times New Roman" w:hAnsi="Times New Roman" w:cs="Times New Roman"/>
          <w:b/>
        </w:rPr>
        <w:t>onditional on FSCORE</w:t>
      </w:r>
    </w:p>
    <w:tbl>
      <w:tblPr>
        <w:tblW w:w="10106" w:type="dxa"/>
        <w:jc w:val="center"/>
        <w:tblLook w:val="04A0" w:firstRow="1" w:lastRow="0" w:firstColumn="1" w:lastColumn="0" w:noHBand="0" w:noVBand="1"/>
      </w:tblPr>
      <w:tblGrid>
        <w:gridCol w:w="1239"/>
        <w:gridCol w:w="1078"/>
        <w:gridCol w:w="1078"/>
        <w:gridCol w:w="1078"/>
        <w:gridCol w:w="1078"/>
        <w:gridCol w:w="271"/>
        <w:gridCol w:w="1165"/>
        <w:gridCol w:w="1078"/>
        <w:gridCol w:w="1078"/>
        <w:gridCol w:w="1078"/>
      </w:tblGrid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Raw returns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Alpha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Glamour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Middle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Value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V - G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Glamour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Middle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Value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V - G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0.4518%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1.0671%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1.2568%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0.8050%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-0.3864%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0.1034%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0.2746%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0.6611%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(1.28)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(3.51)***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(3.93)***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(5.13)***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(-4.08)***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(1.45)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(2.46)**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(6.85)***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Low FSCORE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-0.0497%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0.7329%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0.8358%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0.8856%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-0.8335%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-0.1557%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-0.1045%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0.7290%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(-0.12)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(1.92)*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(2.16)**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(4.82)***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(-4.79)***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(-1.05)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(-0.63)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(5.12)***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Mid FSCORE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0.5743%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1.0785%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1.3246%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0.7503%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-0.2789%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0.1050%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0.3439%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0.6228%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(1.73)*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(3.73)***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(4.39)***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(4.80)***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(-3.48)***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(1.59)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(3.25)***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(6.38)***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High FSCORE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0.9002%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1.3082%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1.5195%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0.6193%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-0.0109%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0.2857%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0.4863%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0.4972%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(2.89)***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(4.68)***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(5.26)***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(3.69)***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(-0.12)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(3.21)***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(4.78)***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(4.38)***</w:t>
            </w: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H - L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0.9500%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0.5753%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0.6837%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0.8226%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0.4414%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0.5908%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178F" w:rsidRPr="0040726D" w:rsidTr="00542D99">
        <w:trPr>
          <w:trHeight w:val="225"/>
          <w:jc w:val="center"/>
        </w:trPr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(4.86)***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(3.42)***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(4.19)***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(4.75)***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(3.02)***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(4.23)***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178F" w:rsidRPr="0040726D" w:rsidRDefault="00E7178F" w:rsidP="0054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72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7178F" w:rsidRPr="00965A4F" w:rsidRDefault="00E7178F" w:rsidP="00E717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table presents the estimations results of stock returns on value/glamour portfolios. It provides equally-weighted returns and alphas from a portfolio approach based on the firm-month sample. The alphas are calculated from a Fama-French four factor (market, size, value and momentum factors) model.  The row </w:t>
      </w:r>
      <w:r w:rsidRPr="00F8370C"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</w:rPr>
        <w:t>–</w:t>
      </w:r>
      <w:r w:rsidRPr="00F8370C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 xml:space="preserve"> reports raw return/alpha from a portfolio of long high-FSCORE firms and short low-FSCORE firms. The column V – G reports raw return/alpha from a portfolio of long value firms and short glamour firms. The </w:t>
      </w:r>
      <w:r w:rsidRPr="003223FF"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>-statistics are reported in parentheses calculated with Newey and West (1987) robust standard errors.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The lag is one quarter for firm-quarter sample or 3-months for firm-month sample. The sample period is from </w:t>
      </w:r>
      <w:r>
        <w:rPr>
          <w:rFonts w:ascii="Times New Roman" w:hAnsi="Times New Roman" w:cs="Times New Roman"/>
        </w:rPr>
        <w:t xml:space="preserve">1982Q1 to 2015Q4 (136 quarters and 408 months).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F3217">
        <w:rPr>
          <w:rFonts w:ascii="Times New Roman" w:hAnsi="Times New Roman" w:cs="Times New Roman"/>
          <w:color w:val="5B9BD5" w:themeColor="accent1"/>
        </w:rPr>
        <w:t xml:space="preserve">The </w:t>
      </w:r>
      <w:r>
        <w:rPr>
          <w:rFonts w:ascii="Times New Roman" w:hAnsi="Times New Roman" w:cs="Times New Roman"/>
          <w:color w:val="5B9BD5" w:themeColor="accent1"/>
        </w:rPr>
        <w:t>table</w:t>
      </w:r>
      <w:r w:rsidRPr="00DF3217">
        <w:rPr>
          <w:rFonts w:ascii="Times New Roman" w:hAnsi="Times New Roman" w:cs="Times New Roman"/>
          <w:color w:val="5B9BD5" w:themeColor="accent1"/>
        </w:rPr>
        <w:t xml:space="preserve"> is created by authors.</w:t>
      </w:r>
    </w:p>
    <w:p w:rsidR="00E7178F" w:rsidRPr="000B3F91" w:rsidRDefault="00E7178F" w:rsidP="00E7178F">
      <w:pPr>
        <w:pStyle w:val="NoSpacing"/>
        <w:jc w:val="both"/>
        <w:rPr>
          <w:rFonts w:ascii="Times New Roman" w:eastAsia="Times New Roman" w:hAnsi="Times New Roman" w:cs="Times New Roman"/>
          <w:color w:val="000000"/>
        </w:rPr>
      </w:pPr>
    </w:p>
    <w:p w:rsidR="00E7178F" w:rsidRPr="000B3F91" w:rsidRDefault="00E7178F" w:rsidP="00E7178F">
      <w:pPr>
        <w:pStyle w:val="NoSpacing"/>
        <w:jc w:val="both"/>
        <w:rPr>
          <w:rFonts w:ascii="Times New Roman" w:hAnsi="Times New Roman" w:cs="Times New Roman"/>
        </w:rPr>
      </w:pPr>
      <w:r w:rsidRPr="000B3F91">
        <w:rPr>
          <w:rFonts w:ascii="Times New Roman" w:eastAsia="Times New Roman" w:hAnsi="Times New Roman" w:cs="Times New Roman"/>
          <w:color w:val="000000"/>
        </w:rPr>
        <w:t>*</w:t>
      </w:r>
      <w:r w:rsidRPr="000B3F91">
        <w:rPr>
          <w:rFonts w:ascii="Times New Roman" w:hAnsi="Times New Roman" w:cs="Times New Roman"/>
        </w:rPr>
        <w:t>** Significant at the 1% level.</w:t>
      </w:r>
    </w:p>
    <w:p w:rsidR="00E7178F" w:rsidRPr="000B3F91" w:rsidRDefault="00E7178F" w:rsidP="00E7178F">
      <w:pPr>
        <w:pStyle w:val="NoSpacing"/>
        <w:jc w:val="both"/>
        <w:rPr>
          <w:rFonts w:ascii="Times New Roman" w:hAnsi="Times New Roman" w:cs="Times New Roman"/>
        </w:rPr>
      </w:pPr>
      <w:r w:rsidRPr="000B3F91">
        <w:rPr>
          <w:rFonts w:ascii="Times New Roman" w:hAnsi="Times New Roman" w:cs="Times New Roman"/>
        </w:rPr>
        <w:t>** Significant at the 5% level.</w:t>
      </w:r>
    </w:p>
    <w:p w:rsidR="00E7178F" w:rsidRPr="000B3F91" w:rsidRDefault="00E7178F" w:rsidP="00E7178F">
      <w:pPr>
        <w:pStyle w:val="NoSpacing"/>
        <w:jc w:val="both"/>
        <w:rPr>
          <w:rFonts w:ascii="Times New Roman" w:eastAsiaTheme="minorEastAsia" w:hAnsi="Times New Roman" w:cs="Times New Roman"/>
        </w:rPr>
      </w:pPr>
      <w:r w:rsidRPr="000B3F91">
        <w:rPr>
          <w:rFonts w:ascii="Times New Roman" w:hAnsi="Times New Roman" w:cs="Times New Roman"/>
        </w:rPr>
        <w:t>* Significant at the 10% level.</w:t>
      </w:r>
    </w:p>
    <w:p w:rsidR="00E7178F" w:rsidRDefault="00E7178F" w:rsidP="00E7178F">
      <w:pPr>
        <w:rPr>
          <w:rFonts w:ascii="Times New Roman" w:hAnsi="Times New Roman" w:cs="Times New Roman"/>
        </w:rPr>
      </w:pPr>
    </w:p>
    <w:p w:rsidR="00E7178F" w:rsidRPr="002B1B08" w:rsidRDefault="00E7178F" w:rsidP="00E7178F">
      <w:pPr>
        <w:rPr>
          <w:rFonts w:ascii="Times New Roman" w:hAnsi="Times New Roman" w:cs="Times New Roman"/>
        </w:rPr>
      </w:pPr>
    </w:p>
    <w:p w:rsidR="009B6100" w:rsidRDefault="009B6100">
      <w:bookmarkStart w:id="0" w:name="_GoBack"/>
      <w:bookmarkEnd w:id="0"/>
    </w:p>
    <w:sectPr w:rsidR="009B6100">
      <w:foot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48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E4A" w:rsidRDefault="00E7178F">
        <w:pPr>
          <w:pStyle w:val="Footer"/>
          <w:jc w:val="center"/>
        </w:pPr>
        <w:r w:rsidRPr="00D163EA">
          <w:rPr>
            <w:rFonts w:ascii="Times New Roman" w:hAnsi="Times New Roman" w:cs="Times New Roman"/>
          </w:rPr>
          <w:fldChar w:fldCharType="begin"/>
        </w:r>
        <w:r w:rsidRPr="00D163EA">
          <w:rPr>
            <w:rFonts w:ascii="Times New Roman" w:hAnsi="Times New Roman" w:cs="Times New Roman"/>
          </w:rPr>
          <w:instrText xml:space="preserve"> PAGE   \* MERGEFORMAT </w:instrText>
        </w:r>
        <w:r w:rsidRPr="00D163E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D163E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04E4A" w:rsidRDefault="00E7178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8F"/>
    <w:rsid w:val="009B6100"/>
    <w:rsid w:val="00E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03468-F6E4-4CDB-84EE-7B48086A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8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17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78F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E71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Dhanesh  M</dc:creator>
  <cp:keywords/>
  <dc:description/>
  <cp:lastModifiedBy>Dhanesh  M</cp:lastModifiedBy>
  <cp:revision>1</cp:revision>
  <dcterms:created xsi:type="dcterms:W3CDTF">2025-10-21T09:50:00Z</dcterms:created>
  <dcterms:modified xsi:type="dcterms:W3CDTF">2025-10-21T09:51:00Z</dcterms:modified>
</cp:coreProperties>
</file>