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14B8361" w14:textId="77777777" w:rsidR="00276895" w:rsidRPr="00244990" w:rsidRDefault="00276895" w:rsidP="00276895">
      <w:pPr>
        <w:spacing w:beforeLines="50" w:before="156"/>
        <w:outlineLvl w:val="0"/>
        <w:rPr>
          <w:sz w:val="23"/>
          <w:szCs w:val="23"/>
        </w:rPr>
      </w:pPr>
      <w:bookmarkStart w:id="0" w:name="_Hlk204885957"/>
      <w:bookmarkStart w:id="1" w:name="_Hlk204889261"/>
      <w:bookmarkStart w:id="2" w:name="_Toc25594"/>
      <w:r w:rsidRPr="00244990">
        <w:rPr>
          <w:sz w:val="23"/>
          <w:szCs w:val="23"/>
        </w:rPr>
        <w:t>Appendix</w:t>
      </w:r>
      <w:r w:rsidRPr="00244990">
        <w:rPr>
          <w:rFonts w:hint="eastAsia"/>
          <w:sz w:val="23"/>
          <w:szCs w:val="23"/>
        </w:rPr>
        <w:t xml:space="preserve"> </w:t>
      </w:r>
      <w:r w:rsidRPr="00244990">
        <w:rPr>
          <w:sz w:val="23"/>
          <w:szCs w:val="23"/>
        </w:rPr>
        <w:t xml:space="preserve">Table 1. Variance </w:t>
      </w:r>
      <w:r w:rsidRPr="00244990">
        <w:rPr>
          <w:rFonts w:hint="eastAsia"/>
          <w:sz w:val="23"/>
          <w:szCs w:val="23"/>
        </w:rPr>
        <w:t>i</w:t>
      </w:r>
      <w:r w:rsidRPr="00244990">
        <w:rPr>
          <w:sz w:val="23"/>
          <w:szCs w:val="23"/>
        </w:rPr>
        <w:t xml:space="preserve">nflation </w:t>
      </w:r>
      <w:r w:rsidRPr="00244990">
        <w:rPr>
          <w:rFonts w:hint="eastAsia"/>
          <w:sz w:val="23"/>
          <w:szCs w:val="23"/>
        </w:rPr>
        <w:t>f</w:t>
      </w:r>
      <w:r w:rsidRPr="00244990">
        <w:rPr>
          <w:sz w:val="23"/>
          <w:szCs w:val="23"/>
        </w:rPr>
        <w:t xml:space="preserve">actor (VIF) </w:t>
      </w:r>
      <w:r w:rsidRPr="00244990">
        <w:rPr>
          <w:rFonts w:hint="eastAsia"/>
          <w:sz w:val="23"/>
          <w:szCs w:val="23"/>
        </w:rPr>
        <w:t>t</w:t>
      </w:r>
      <w:r w:rsidRPr="00244990">
        <w:rPr>
          <w:sz w:val="23"/>
          <w:szCs w:val="23"/>
        </w:rPr>
        <w:t xml:space="preserve">est </w:t>
      </w:r>
      <w:r w:rsidRPr="00244990">
        <w:rPr>
          <w:rFonts w:hint="eastAsia"/>
          <w:sz w:val="23"/>
          <w:szCs w:val="23"/>
        </w:rPr>
        <w:t>r</w:t>
      </w:r>
      <w:r w:rsidRPr="00244990">
        <w:rPr>
          <w:sz w:val="23"/>
          <w:szCs w:val="23"/>
        </w:rPr>
        <w:t xml:space="preserve">esults: </w:t>
      </w:r>
      <w:r w:rsidRPr="00244990">
        <w:rPr>
          <w:rFonts w:hint="eastAsia"/>
          <w:sz w:val="23"/>
          <w:szCs w:val="23"/>
        </w:rPr>
        <w:t>e</w:t>
      </w:r>
      <w:r w:rsidRPr="00244990">
        <w:rPr>
          <w:sz w:val="23"/>
          <w:szCs w:val="23"/>
        </w:rPr>
        <w:t xml:space="preserve">xcluding vs. </w:t>
      </w:r>
      <w:r w:rsidRPr="00244990">
        <w:rPr>
          <w:rFonts w:hint="eastAsia"/>
          <w:sz w:val="23"/>
          <w:szCs w:val="23"/>
        </w:rPr>
        <w:t>i</w:t>
      </w:r>
      <w:r w:rsidRPr="00244990">
        <w:rPr>
          <w:sz w:val="23"/>
          <w:szCs w:val="23"/>
        </w:rPr>
        <w:t xml:space="preserve">ncluding </w:t>
      </w:r>
      <w:r w:rsidRPr="00244990">
        <w:rPr>
          <w:rFonts w:hint="eastAsia"/>
          <w:sz w:val="23"/>
          <w:szCs w:val="23"/>
        </w:rPr>
        <w:t>m</w:t>
      </w:r>
      <w:r w:rsidRPr="00244990">
        <w:rPr>
          <w:sz w:val="23"/>
          <w:szCs w:val="23"/>
        </w:rPr>
        <w:t xml:space="preserve">ain </w:t>
      </w:r>
      <w:r w:rsidRPr="00244990">
        <w:rPr>
          <w:rFonts w:hint="eastAsia"/>
          <w:sz w:val="23"/>
          <w:szCs w:val="23"/>
        </w:rPr>
        <w:t>e</w:t>
      </w:r>
      <w:r w:rsidRPr="00244990">
        <w:rPr>
          <w:sz w:val="23"/>
          <w:szCs w:val="23"/>
        </w:rPr>
        <w:t>ffects</w:t>
      </w:r>
      <w:bookmarkEnd w:id="2"/>
    </w:p>
    <w:tbl>
      <w:tblPr>
        <w:tblStyle w:val="1"/>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06"/>
        <w:gridCol w:w="973"/>
        <w:gridCol w:w="1673"/>
        <w:gridCol w:w="2013"/>
        <w:gridCol w:w="1148"/>
        <w:gridCol w:w="1673"/>
      </w:tblGrid>
      <w:tr w:rsidR="00276895" w:rsidRPr="00244990" w14:paraId="157887AC" w14:textId="77777777" w:rsidTr="00885770">
        <w:trPr>
          <w:trHeight w:val="283"/>
        </w:trPr>
        <w:tc>
          <w:tcPr>
            <w:tcW w:w="2397" w:type="pct"/>
            <w:gridSpan w:val="3"/>
            <w:tcBorders>
              <w:top w:val="single" w:sz="8" w:space="0" w:color="auto"/>
              <w:bottom w:val="single" w:sz="4" w:space="0" w:color="auto"/>
            </w:tcBorders>
            <w:vAlign w:val="center"/>
          </w:tcPr>
          <w:p w14:paraId="08FBF955" w14:textId="77777777" w:rsidR="00276895" w:rsidRPr="00244990" w:rsidRDefault="00276895" w:rsidP="00885770">
            <w:pPr>
              <w:jc w:val="center"/>
              <w:rPr>
                <w:rFonts w:ascii="Times New Roman" w:eastAsia="SimSun" w:hAnsi="Times New Roman" w:cs="Times New Roman"/>
                <w:b/>
                <w:bCs/>
                <w:sz w:val="18"/>
                <w:szCs w:val="18"/>
                <w14:ligatures w14:val="none"/>
              </w:rPr>
            </w:pPr>
            <w:r w:rsidRPr="00244990">
              <w:rPr>
                <w:rFonts w:ascii="Times New Roman" w:eastAsia="SimSun" w:hAnsi="Times New Roman" w:cs="Times New Roman"/>
                <w:b/>
                <w:bCs/>
                <w:sz w:val="18"/>
                <w14:ligatures w14:val="none"/>
              </w:rPr>
              <w:t>Excluding</w:t>
            </w:r>
            <w:r w:rsidRPr="00244990">
              <w:rPr>
                <w:rFonts w:ascii="Times New Roman" w:eastAsia="SimSun" w:hAnsi="Times New Roman" w:cs="Times New Roman" w:hint="eastAsia"/>
                <w:b/>
                <w:bCs/>
                <w:sz w:val="18"/>
                <w14:ligatures w14:val="none"/>
              </w:rPr>
              <w:t xml:space="preserve"> </w:t>
            </w:r>
            <w:r w:rsidRPr="00244990">
              <w:rPr>
                <w:rFonts w:ascii="Times New Roman" w:eastAsia="SimSun" w:hAnsi="Times New Roman" w:cs="Times New Roman"/>
                <w:b/>
                <w:bCs/>
                <w:sz w:val="18"/>
                <w14:ligatures w14:val="none"/>
              </w:rPr>
              <w:t>Main Effects</w:t>
            </w:r>
          </w:p>
        </w:tc>
        <w:tc>
          <w:tcPr>
            <w:tcW w:w="2603" w:type="pct"/>
            <w:gridSpan w:val="3"/>
            <w:tcBorders>
              <w:top w:val="single" w:sz="8" w:space="0" w:color="auto"/>
              <w:bottom w:val="single" w:sz="4" w:space="0" w:color="auto"/>
            </w:tcBorders>
            <w:vAlign w:val="center"/>
          </w:tcPr>
          <w:p w14:paraId="4598E43B" w14:textId="77777777" w:rsidR="00276895" w:rsidRPr="00244990" w:rsidRDefault="00276895" w:rsidP="00885770">
            <w:pPr>
              <w:jc w:val="center"/>
              <w:rPr>
                <w:rFonts w:ascii="Times New Roman" w:eastAsia="SimSun" w:hAnsi="Times New Roman" w:cs="Times New Roman"/>
                <w:b/>
                <w:bCs/>
                <w:sz w:val="18"/>
                <w:szCs w:val="18"/>
                <w14:ligatures w14:val="none"/>
              </w:rPr>
            </w:pPr>
            <w:r w:rsidRPr="00244990">
              <w:rPr>
                <w:rFonts w:ascii="Times New Roman" w:eastAsia="SimSun" w:hAnsi="Times New Roman" w:cs="Times New Roman"/>
                <w:b/>
                <w:bCs/>
                <w:sz w:val="18"/>
                <w14:ligatures w14:val="none"/>
              </w:rPr>
              <w:t>Including Main Effects</w:t>
            </w:r>
          </w:p>
        </w:tc>
      </w:tr>
      <w:tr w:rsidR="00276895" w:rsidRPr="00244990" w14:paraId="772FBD93" w14:textId="77777777" w:rsidTr="00885770">
        <w:trPr>
          <w:trHeight w:val="283"/>
        </w:trPr>
        <w:tc>
          <w:tcPr>
            <w:tcW w:w="972" w:type="pct"/>
            <w:tcBorders>
              <w:top w:val="single" w:sz="4" w:space="0" w:color="auto"/>
              <w:bottom w:val="single" w:sz="4" w:space="0" w:color="auto"/>
            </w:tcBorders>
            <w:vAlign w:val="center"/>
          </w:tcPr>
          <w:p w14:paraId="4BF99BF6" w14:textId="77777777" w:rsidR="00276895" w:rsidRPr="00244990" w:rsidRDefault="00276895" w:rsidP="00885770">
            <w:pPr>
              <w:jc w:val="center"/>
              <w:rPr>
                <w:rFonts w:ascii="Times New Roman" w:eastAsia="SimSun" w:hAnsi="Times New Roman" w:cs="Times New Roman"/>
                <w:sz w:val="18"/>
                <w:szCs w:val="18"/>
                <w14:ligatures w14:val="none"/>
              </w:rPr>
            </w:pPr>
            <w:r w:rsidRPr="00244990">
              <w:rPr>
                <w:rFonts w:ascii="Times New Roman" w:eastAsia="SimSun" w:hAnsi="Times New Roman" w:cs="Times New Roman" w:hint="eastAsia"/>
                <w:sz w:val="18"/>
                <w:szCs w:val="18"/>
                <w14:ligatures w14:val="none"/>
              </w:rPr>
              <w:t>Variable</w:t>
            </w:r>
          </w:p>
        </w:tc>
        <w:tc>
          <w:tcPr>
            <w:tcW w:w="524" w:type="pct"/>
            <w:tcBorders>
              <w:top w:val="single" w:sz="4" w:space="0" w:color="auto"/>
              <w:bottom w:val="single" w:sz="4" w:space="0" w:color="auto"/>
            </w:tcBorders>
            <w:vAlign w:val="center"/>
          </w:tcPr>
          <w:p w14:paraId="41E11B56" w14:textId="77777777" w:rsidR="00276895" w:rsidRPr="00244990" w:rsidRDefault="00276895" w:rsidP="00885770">
            <w:pPr>
              <w:jc w:val="center"/>
              <w:rPr>
                <w:rFonts w:ascii="Times New Roman" w:eastAsia="SimSun" w:hAnsi="Times New Roman" w:cs="Times New Roman"/>
                <w:sz w:val="18"/>
                <w:szCs w:val="18"/>
                <w14:ligatures w14:val="none"/>
              </w:rPr>
            </w:pPr>
            <w:r w:rsidRPr="00244990">
              <w:rPr>
                <w:rFonts w:ascii="Times New Roman" w:eastAsia="SimSun" w:hAnsi="Times New Roman" w:cs="Times New Roman" w:hint="eastAsia"/>
                <w:sz w:val="18"/>
                <w:szCs w:val="18"/>
                <w14:ligatures w14:val="none"/>
              </w:rPr>
              <w:t>VIF</w:t>
            </w:r>
          </w:p>
        </w:tc>
        <w:tc>
          <w:tcPr>
            <w:tcW w:w="901" w:type="pct"/>
            <w:tcBorders>
              <w:top w:val="single" w:sz="4" w:space="0" w:color="auto"/>
              <w:bottom w:val="single" w:sz="4" w:space="0" w:color="auto"/>
            </w:tcBorders>
            <w:vAlign w:val="center"/>
          </w:tcPr>
          <w:p w14:paraId="73E28C74" w14:textId="77777777" w:rsidR="00276895" w:rsidRPr="00244990" w:rsidRDefault="00276895" w:rsidP="00885770">
            <w:pPr>
              <w:jc w:val="center"/>
              <w:rPr>
                <w:rFonts w:ascii="Times New Roman" w:eastAsia="SimSun" w:hAnsi="Times New Roman" w:cs="Times New Roman"/>
                <w:sz w:val="18"/>
                <w:szCs w:val="18"/>
                <w14:ligatures w14:val="none"/>
              </w:rPr>
            </w:pPr>
            <w:r w:rsidRPr="00244990">
              <w:rPr>
                <w:rFonts w:ascii="Times New Roman" w:eastAsia="SimSun" w:hAnsi="Times New Roman" w:cs="Times New Roman" w:hint="eastAsia"/>
                <w:sz w:val="18"/>
                <w:szCs w:val="18"/>
                <w14:ligatures w14:val="none"/>
              </w:rPr>
              <w:t>1/VIF</w:t>
            </w:r>
          </w:p>
        </w:tc>
        <w:tc>
          <w:tcPr>
            <w:tcW w:w="1084" w:type="pct"/>
            <w:tcBorders>
              <w:top w:val="single" w:sz="4" w:space="0" w:color="auto"/>
              <w:bottom w:val="single" w:sz="4" w:space="0" w:color="auto"/>
            </w:tcBorders>
            <w:vAlign w:val="center"/>
          </w:tcPr>
          <w:p w14:paraId="553332A7" w14:textId="77777777" w:rsidR="00276895" w:rsidRPr="00244990" w:rsidRDefault="00276895" w:rsidP="00885770">
            <w:pPr>
              <w:jc w:val="center"/>
              <w:rPr>
                <w:rFonts w:ascii="Times New Roman" w:eastAsia="SimSun" w:hAnsi="Times New Roman" w:cs="Times New Roman"/>
                <w:sz w:val="18"/>
                <w:szCs w:val="18"/>
                <w14:ligatures w14:val="none"/>
              </w:rPr>
            </w:pPr>
            <w:r w:rsidRPr="00244990">
              <w:rPr>
                <w:rFonts w:ascii="Times New Roman" w:eastAsia="SimSun" w:hAnsi="Times New Roman" w:cs="Times New Roman" w:hint="eastAsia"/>
                <w:sz w:val="18"/>
                <w:szCs w:val="18"/>
                <w14:ligatures w14:val="none"/>
              </w:rPr>
              <w:t>Variable</w:t>
            </w:r>
          </w:p>
        </w:tc>
        <w:tc>
          <w:tcPr>
            <w:tcW w:w="618" w:type="pct"/>
            <w:tcBorders>
              <w:top w:val="single" w:sz="4" w:space="0" w:color="auto"/>
              <w:bottom w:val="single" w:sz="4" w:space="0" w:color="auto"/>
            </w:tcBorders>
            <w:vAlign w:val="center"/>
          </w:tcPr>
          <w:p w14:paraId="282B1BE4" w14:textId="77777777" w:rsidR="00276895" w:rsidRPr="00244990" w:rsidRDefault="00276895" w:rsidP="00885770">
            <w:pPr>
              <w:jc w:val="center"/>
              <w:rPr>
                <w:rFonts w:ascii="Times New Roman" w:eastAsia="SimSun" w:hAnsi="Times New Roman" w:cs="Times New Roman"/>
                <w:sz w:val="18"/>
                <w:szCs w:val="18"/>
                <w14:ligatures w14:val="none"/>
              </w:rPr>
            </w:pPr>
            <w:r w:rsidRPr="00244990">
              <w:rPr>
                <w:rFonts w:ascii="Times New Roman" w:eastAsia="SimSun" w:hAnsi="Times New Roman" w:cs="Times New Roman" w:hint="eastAsia"/>
                <w:sz w:val="18"/>
                <w:szCs w:val="18"/>
                <w14:ligatures w14:val="none"/>
              </w:rPr>
              <w:t>VIF</w:t>
            </w:r>
          </w:p>
        </w:tc>
        <w:tc>
          <w:tcPr>
            <w:tcW w:w="901" w:type="pct"/>
            <w:tcBorders>
              <w:top w:val="single" w:sz="4" w:space="0" w:color="auto"/>
              <w:bottom w:val="single" w:sz="4" w:space="0" w:color="auto"/>
            </w:tcBorders>
            <w:vAlign w:val="center"/>
          </w:tcPr>
          <w:p w14:paraId="18D9D0E6" w14:textId="77777777" w:rsidR="00276895" w:rsidRPr="00244990" w:rsidRDefault="00276895" w:rsidP="00885770">
            <w:pPr>
              <w:jc w:val="center"/>
              <w:rPr>
                <w:rFonts w:ascii="Times New Roman" w:eastAsia="SimSun" w:hAnsi="Times New Roman" w:cs="Times New Roman"/>
                <w:sz w:val="18"/>
                <w:szCs w:val="18"/>
                <w14:ligatures w14:val="none"/>
              </w:rPr>
            </w:pPr>
            <w:r w:rsidRPr="00244990">
              <w:rPr>
                <w:rFonts w:ascii="Times New Roman" w:eastAsia="SimSun" w:hAnsi="Times New Roman" w:cs="Times New Roman" w:hint="eastAsia"/>
                <w:sz w:val="18"/>
                <w:szCs w:val="18"/>
                <w14:ligatures w14:val="none"/>
              </w:rPr>
              <w:t>1/VIF</w:t>
            </w:r>
          </w:p>
        </w:tc>
      </w:tr>
      <w:tr w:rsidR="00276895" w:rsidRPr="00244990" w14:paraId="17DA8610" w14:textId="77777777" w:rsidTr="00885770">
        <w:trPr>
          <w:trHeight w:val="283"/>
        </w:trPr>
        <w:tc>
          <w:tcPr>
            <w:tcW w:w="972" w:type="pct"/>
            <w:tcBorders>
              <w:top w:val="single" w:sz="4" w:space="0" w:color="auto"/>
            </w:tcBorders>
            <w:vAlign w:val="center"/>
          </w:tcPr>
          <w:p w14:paraId="7D88AF2D" w14:textId="77777777" w:rsidR="00276895" w:rsidRPr="00244990" w:rsidRDefault="00276895" w:rsidP="00885770">
            <w:pPr>
              <w:rPr>
                <w:rFonts w:ascii="Times New Roman" w:eastAsia="SimSun" w:hAnsi="Times New Roman" w:cs="Times New Roman"/>
                <w:b/>
                <w:bCs/>
                <w:i/>
                <w:iCs/>
                <w:sz w:val="18"/>
                <w:szCs w:val="18"/>
                <w14:ligatures w14:val="none"/>
              </w:rPr>
            </w:pPr>
            <w:r w:rsidRPr="00244990">
              <w:rPr>
                <w:rFonts w:ascii="Times New Roman" w:eastAsia="SimSun" w:hAnsi="Times New Roman" w:cs="Times New Roman" w:hint="eastAsia"/>
                <w:b/>
                <w:bCs/>
                <w:i/>
                <w:iCs/>
                <w:sz w:val="18"/>
                <w:szCs w:val="18"/>
                <w14:ligatures w14:val="none"/>
              </w:rPr>
              <w:t>ET</w:t>
            </w:r>
          </w:p>
        </w:tc>
        <w:tc>
          <w:tcPr>
            <w:tcW w:w="524" w:type="pct"/>
            <w:tcBorders>
              <w:top w:val="single" w:sz="4" w:space="0" w:color="auto"/>
            </w:tcBorders>
            <w:vAlign w:val="center"/>
          </w:tcPr>
          <w:p w14:paraId="7FB55E6F" w14:textId="77777777" w:rsidR="00276895" w:rsidRPr="00244990" w:rsidRDefault="00276895" w:rsidP="00885770">
            <w:pPr>
              <w:jc w:val="center"/>
              <w:rPr>
                <w:rFonts w:ascii="Times New Roman" w:eastAsia="SimSun" w:hAnsi="Times New Roman" w:cs="Times New Roman"/>
                <w:b/>
                <w:bCs/>
                <w:sz w:val="18"/>
                <w:szCs w:val="18"/>
                <w14:ligatures w14:val="none"/>
              </w:rPr>
            </w:pPr>
            <w:r w:rsidRPr="00244990">
              <w:rPr>
                <w:rFonts w:ascii="Times New Roman" w:eastAsia="SimSun" w:hAnsi="Times New Roman" w:cs="Times New Roman" w:hint="eastAsia"/>
                <w:b/>
                <w:bCs/>
                <w:sz w:val="18"/>
                <w:szCs w:val="18"/>
                <w14:ligatures w14:val="none"/>
              </w:rPr>
              <w:t>1.25</w:t>
            </w:r>
          </w:p>
        </w:tc>
        <w:tc>
          <w:tcPr>
            <w:tcW w:w="901" w:type="pct"/>
            <w:tcBorders>
              <w:top w:val="single" w:sz="4" w:space="0" w:color="auto"/>
            </w:tcBorders>
            <w:vAlign w:val="center"/>
          </w:tcPr>
          <w:p w14:paraId="6BF4C9B9" w14:textId="77777777" w:rsidR="00276895" w:rsidRPr="00244990" w:rsidRDefault="00276895" w:rsidP="00885770">
            <w:pPr>
              <w:jc w:val="center"/>
              <w:rPr>
                <w:rFonts w:ascii="Times New Roman" w:eastAsia="SimSun" w:hAnsi="Times New Roman" w:cs="Times New Roman"/>
                <w:sz w:val="18"/>
                <w:szCs w:val="18"/>
                <w14:ligatures w14:val="none"/>
              </w:rPr>
            </w:pPr>
            <w:r w:rsidRPr="00244990">
              <w:rPr>
                <w:rFonts w:ascii="Times New Roman" w:eastAsia="SimSun" w:hAnsi="Times New Roman" w:cs="Times New Roman" w:hint="eastAsia"/>
                <w:sz w:val="18"/>
                <w:szCs w:val="18"/>
                <w14:ligatures w14:val="none"/>
              </w:rPr>
              <w:t>0.801165</w:t>
            </w:r>
          </w:p>
        </w:tc>
        <w:tc>
          <w:tcPr>
            <w:tcW w:w="1084" w:type="pct"/>
            <w:tcBorders>
              <w:top w:val="single" w:sz="4" w:space="0" w:color="auto"/>
            </w:tcBorders>
            <w:vAlign w:val="center"/>
          </w:tcPr>
          <w:p w14:paraId="28EBB2B9" w14:textId="77777777" w:rsidR="00276895" w:rsidRPr="00244990" w:rsidRDefault="00276895" w:rsidP="00885770">
            <w:pPr>
              <w:rPr>
                <w:rFonts w:ascii="Times New Roman" w:eastAsia="SimSun" w:hAnsi="Times New Roman" w:cs="Times New Roman"/>
                <w:b/>
                <w:bCs/>
                <w:i/>
                <w:iCs/>
                <w:sz w:val="18"/>
                <w:szCs w:val="18"/>
                <w14:ligatures w14:val="none"/>
              </w:rPr>
            </w:pPr>
            <w:r w:rsidRPr="00244990">
              <w:rPr>
                <w:rFonts w:ascii="Times New Roman" w:eastAsia="SimSun" w:hAnsi="Times New Roman" w:cs="Times New Roman" w:hint="eastAsia"/>
                <w:b/>
                <w:bCs/>
                <w:i/>
                <w:iCs/>
                <w:sz w:val="18"/>
                <w:szCs w:val="18"/>
                <w14:ligatures w14:val="none"/>
              </w:rPr>
              <w:t>ET</w:t>
            </w:r>
          </w:p>
        </w:tc>
        <w:tc>
          <w:tcPr>
            <w:tcW w:w="618" w:type="pct"/>
            <w:tcBorders>
              <w:top w:val="single" w:sz="4" w:space="0" w:color="auto"/>
            </w:tcBorders>
            <w:vAlign w:val="center"/>
          </w:tcPr>
          <w:p w14:paraId="75342810" w14:textId="77777777" w:rsidR="00276895" w:rsidRPr="00244990" w:rsidRDefault="00276895" w:rsidP="00885770">
            <w:pPr>
              <w:jc w:val="center"/>
              <w:rPr>
                <w:rFonts w:ascii="Times New Roman" w:eastAsia="SimSun" w:hAnsi="Times New Roman" w:cs="Times New Roman"/>
                <w:b/>
                <w:bCs/>
                <w:sz w:val="18"/>
                <w:szCs w:val="18"/>
                <w14:ligatures w14:val="none"/>
              </w:rPr>
            </w:pPr>
            <w:r w:rsidRPr="00244990">
              <w:rPr>
                <w:rFonts w:ascii="Times New Roman" w:eastAsia="SimSun" w:hAnsi="Times New Roman" w:cs="Times New Roman" w:hint="eastAsia"/>
                <w:b/>
                <w:bCs/>
                <w:sz w:val="18"/>
                <w:szCs w:val="18"/>
                <w14:ligatures w14:val="none"/>
              </w:rPr>
              <w:t>14.92</w:t>
            </w:r>
          </w:p>
        </w:tc>
        <w:tc>
          <w:tcPr>
            <w:tcW w:w="901" w:type="pct"/>
            <w:tcBorders>
              <w:top w:val="single" w:sz="4" w:space="0" w:color="auto"/>
            </w:tcBorders>
            <w:vAlign w:val="center"/>
          </w:tcPr>
          <w:p w14:paraId="6CF1EB3D" w14:textId="77777777" w:rsidR="00276895" w:rsidRPr="00244990" w:rsidRDefault="00276895" w:rsidP="00885770">
            <w:pPr>
              <w:jc w:val="center"/>
              <w:rPr>
                <w:rFonts w:ascii="Times New Roman" w:eastAsia="SimSun" w:hAnsi="Times New Roman" w:cs="Times New Roman"/>
                <w:sz w:val="18"/>
                <w:szCs w:val="18"/>
                <w14:ligatures w14:val="none"/>
              </w:rPr>
            </w:pPr>
            <w:r w:rsidRPr="00244990">
              <w:rPr>
                <w:rFonts w:ascii="Times New Roman" w:eastAsia="SimSun" w:hAnsi="Times New Roman" w:cs="Times New Roman" w:hint="eastAsia"/>
                <w:sz w:val="18"/>
                <w:szCs w:val="18"/>
                <w14:ligatures w14:val="none"/>
              </w:rPr>
              <w:t>0.067021</w:t>
            </w:r>
          </w:p>
        </w:tc>
      </w:tr>
      <w:tr w:rsidR="00276895" w:rsidRPr="00244990" w14:paraId="5A2FB86B" w14:textId="77777777" w:rsidTr="00885770">
        <w:trPr>
          <w:trHeight w:val="283"/>
        </w:trPr>
        <w:tc>
          <w:tcPr>
            <w:tcW w:w="972" w:type="pct"/>
            <w:vAlign w:val="center"/>
          </w:tcPr>
          <w:p w14:paraId="3555D3E1" w14:textId="77777777" w:rsidR="00276895" w:rsidRPr="00244990" w:rsidRDefault="00276895" w:rsidP="00885770">
            <w:pPr>
              <w:rPr>
                <w:rFonts w:ascii="Times New Roman" w:eastAsia="SimSun" w:hAnsi="Times New Roman" w:cs="Times New Roman"/>
                <w:i/>
                <w:iCs/>
                <w:sz w:val="18"/>
                <w:szCs w:val="18"/>
                <w14:ligatures w14:val="none"/>
              </w:rPr>
            </w:pPr>
          </w:p>
        </w:tc>
        <w:tc>
          <w:tcPr>
            <w:tcW w:w="524" w:type="pct"/>
            <w:vAlign w:val="center"/>
          </w:tcPr>
          <w:p w14:paraId="38AE1DD4" w14:textId="77777777" w:rsidR="00276895" w:rsidRPr="00244990" w:rsidRDefault="00276895" w:rsidP="00885770">
            <w:pPr>
              <w:jc w:val="center"/>
              <w:rPr>
                <w:rFonts w:ascii="Times New Roman" w:eastAsia="SimSun" w:hAnsi="Times New Roman" w:cs="Times New Roman"/>
                <w:sz w:val="18"/>
                <w:szCs w:val="18"/>
                <w14:ligatures w14:val="none"/>
              </w:rPr>
            </w:pPr>
          </w:p>
        </w:tc>
        <w:tc>
          <w:tcPr>
            <w:tcW w:w="901" w:type="pct"/>
            <w:vAlign w:val="center"/>
          </w:tcPr>
          <w:p w14:paraId="0ABB259C" w14:textId="77777777" w:rsidR="00276895" w:rsidRPr="00244990" w:rsidRDefault="00276895" w:rsidP="00885770">
            <w:pPr>
              <w:jc w:val="center"/>
              <w:rPr>
                <w:rFonts w:ascii="Times New Roman" w:eastAsia="SimSun" w:hAnsi="Times New Roman" w:cs="Times New Roman"/>
                <w:sz w:val="18"/>
                <w:szCs w:val="18"/>
                <w14:ligatures w14:val="none"/>
              </w:rPr>
            </w:pPr>
          </w:p>
        </w:tc>
        <w:tc>
          <w:tcPr>
            <w:tcW w:w="1084" w:type="pct"/>
            <w:vAlign w:val="center"/>
          </w:tcPr>
          <w:p w14:paraId="489E921C" w14:textId="77777777" w:rsidR="00276895" w:rsidRPr="00244990" w:rsidRDefault="00276895" w:rsidP="00885770">
            <w:pPr>
              <w:rPr>
                <w:rFonts w:ascii="Times New Roman" w:eastAsia="SimSun" w:hAnsi="Times New Roman" w:cs="Times New Roman"/>
                <w:b/>
                <w:bCs/>
                <w:i/>
                <w:iCs/>
                <w:sz w:val="18"/>
                <w:szCs w:val="18"/>
                <w14:ligatures w14:val="none"/>
              </w:rPr>
            </w:pPr>
            <w:r w:rsidRPr="00244990">
              <w:rPr>
                <w:rFonts w:ascii="Times New Roman" w:eastAsia="SimSun" w:hAnsi="Times New Roman" w:cs="Times New Roman" w:hint="eastAsia"/>
                <w:b/>
                <w:bCs/>
                <w:i/>
                <w:iCs/>
                <w:sz w:val="18"/>
                <w:szCs w:val="18"/>
                <w14:ligatures w14:val="none"/>
              </w:rPr>
              <w:t>TURNOVER</w:t>
            </w:r>
          </w:p>
        </w:tc>
        <w:tc>
          <w:tcPr>
            <w:tcW w:w="618" w:type="pct"/>
            <w:vAlign w:val="center"/>
          </w:tcPr>
          <w:p w14:paraId="06581E1B" w14:textId="77777777" w:rsidR="00276895" w:rsidRPr="00244990" w:rsidRDefault="00276895" w:rsidP="00885770">
            <w:pPr>
              <w:jc w:val="center"/>
              <w:rPr>
                <w:rFonts w:ascii="Times New Roman" w:eastAsia="SimSun" w:hAnsi="Times New Roman" w:cs="Times New Roman"/>
                <w:b/>
                <w:bCs/>
                <w:sz w:val="18"/>
                <w:szCs w:val="18"/>
                <w14:ligatures w14:val="none"/>
              </w:rPr>
            </w:pPr>
            <w:r w:rsidRPr="00244990">
              <w:rPr>
                <w:rFonts w:ascii="Times New Roman" w:eastAsia="SimSun" w:hAnsi="Times New Roman" w:cs="Times New Roman" w:hint="eastAsia"/>
                <w:b/>
                <w:bCs/>
                <w:sz w:val="18"/>
                <w:szCs w:val="18"/>
                <w14:ligatures w14:val="none"/>
              </w:rPr>
              <w:t>12.70</w:t>
            </w:r>
          </w:p>
        </w:tc>
        <w:tc>
          <w:tcPr>
            <w:tcW w:w="901" w:type="pct"/>
            <w:vAlign w:val="center"/>
          </w:tcPr>
          <w:p w14:paraId="7D87B4CB" w14:textId="77777777" w:rsidR="00276895" w:rsidRPr="00244990" w:rsidRDefault="00276895" w:rsidP="00885770">
            <w:pPr>
              <w:jc w:val="center"/>
              <w:rPr>
                <w:rFonts w:ascii="Times New Roman" w:eastAsia="SimSun" w:hAnsi="Times New Roman" w:cs="Times New Roman"/>
                <w:sz w:val="18"/>
                <w:szCs w:val="18"/>
                <w14:ligatures w14:val="none"/>
              </w:rPr>
            </w:pPr>
            <w:r w:rsidRPr="00244990">
              <w:rPr>
                <w:rFonts w:ascii="Times New Roman" w:eastAsia="SimSun" w:hAnsi="Times New Roman" w:cs="Times New Roman" w:hint="eastAsia"/>
                <w:sz w:val="18"/>
                <w:szCs w:val="18"/>
                <w14:ligatures w14:val="none"/>
              </w:rPr>
              <w:t>0.078741</w:t>
            </w:r>
          </w:p>
        </w:tc>
      </w:tr>
      <w:tr w:rsidR="00276895" w:rsidRPr="00244990" w14:paraId="4F62DFA4" w14:textId="77777777" w:rsidTr="00885770">
        <w:trPr>
          <w:trHeight w:val="283"/>
        </w:trPr>
        <w:tc>
          <w:tcPr>
            <w:tcW w:w="972" w:type="pct"/>
            <w:vAlign w:val="center"/>
          </w:tcPr>
          <w:p w14:paraId="73C2D7A1" w14:textId="77777777" w:rsidR="00276895" w:rsidRPr="00244990" w:rsidRDefault="00276895" w:rsidP="00885770">
            <w:pPr>
              <w:rPr>
                <w:rFonts w:ascii="Times New Roman" w:eastAsia="SimSun" w:hAnsi="Times New Roman" w:cs="Times New Roman"/>
                <w:i/>
                <w:iCs/>
                <w:sz w:val="18"/>
                <w:szCs w:val="18"/>
                <w14:ligatures w14:val="none"/>
              </w:rPr>
            </w:pPr>
          </w:p>
        </w:tc>
        <w:tc>
          <w:tcPr>
            <w:tcW w:w="524" w:type="pct"/>
            <w:vAlign w:val="center"/>
          </w:tcPr>
          <w:p w14:paraId="14D737DF" w14:textId="77777777" w:rsidR="00276895" w:rsidRPr="00244990" w:rsidRDefault="00276895" w:rsidP="00885770">
            <w:pPr>
              <w:jc w:val="center"/>
              <w:rPr>
                <w:rFonts w:ascii="Times New Roman" w:eastAsia="SimSun" w:hAnsi="Times New Roman" w:cs="Times New Roman"/>
                <w:sz w:val="18"/>
                <w:szCs w:val="18"/>
                <w14:ligatures w14:val="none"/>
              </w:rPr>
            </w:pPr>
          </w:p>
        </w:tc>
        <w:tc>
          <w:tcPr>
            <w:tcW w:w="901" w:type="pct"/>
            <w:vAlign w:val="center"/>
          </w:tcPr>
          <w:p w14:paraId="1F872D92" w14:textId="77777777" w:rsidR="00276895" w:rsidRPr="00244990" w:rsidRDefault="00276895" w:rsidP="00885770">
            <w:pPr>
              <w:jc w:val="center"/>
              <w:rPr>
                <w:rFonts w:ascii="Times New Roman" w:eastAsia="SimSun" w:hAnsi="Times New Roman" w:cs="Times New Roman"/>
                <w:sz w:val="18"/>
                <w:szCs w:val="18"/>
                <w14:ligatures w14:val="none"/>
              </w:rPr>
            </w:pPr>
          </w:p>
        </w:tc>
        <w:tc>
          <w:tcPr>
            <w:tcW w:w="1084" w:type="pct"/>
            <w:vAlign w:val="center"/>
          </w:tcPr>
          <w:p w14:paraId="1FEBFF6D" w14:textId="77777777" w:rsidR="00276895" w:rsidRPr="00244990" w:rsidRDefault="00276895" w:rsidP="00885770">
            <w:pPr>
              <w:rPr>
                <w:rFonts w:ascii="Times New Roman" w:eastAsia="SimSun" w:hAnsi="Times New Roman" w:cs="Times New Roman"/>
                <w:b/>
                <w:bCs/>
                <w:i/>
                <w:iCs/>
                <w:sz w:val="18"/>
                <w:szCs w:val="18"/>
                <w14:ligatures w14:val="none"/>
              </w:rPr>
            </w:pPr>
            <w:r w:rsidRPr="00244990">
              <w:rPr>
                <w:rFonts w:ascii="Times New Roman" w:eastAsia="SimSun" w:hAnsi="Times New Roman" w:cs="Times New Roman" w:hint="eastAsia"/>
                <w:b/>
                <w:bCs/>
                <w:i/>
                <w:iCs/>
                <w:sz w:val="18"/>
                <w:szCs w:val="18"/>
                <w14:ligatures w14:val="none"/>
              </w:rPr>
              <w:t>BHCOMP</w:t>
            </w:r>
          </w:p>
        </w:tc>
        <w:tc>
          <w:tcPr>
            <w:tcW w:w="618" w:type="pct"/>
            <w:vAlign w:val="center"/>
          </w:tcPr>
          <w:p w14:paraId="3BB2B3B7" w14:textId="77777777" w:rsidR="00276895" w:rsidRPr="00244990" w:rsidRDefault="00276895" w:rsidP="00885770">
            <w:pPr>
              <w:jc w:val="center"/>
              <w:rPr>
                <w:rFonts w:ascii="Times New Roman" w:eastAsia="SimSun" w:hAnsi="Times New Roman" w:cs="Times New Roman"/>
                <w:b/>
                <w:bCs/>
                <w:sz w:val="18"/>
                <w:szCs w:val="18"/>
                <w14:ligatures w14:val="none"/>
              </w:rPr>
            </w:pPr>
            <w:r w:rsidRPr="00244990">
              <w:rPr>
                <w:rFonts w:ascii="Times New Roman" w:eastAsia="SimSun" w:hAnsi="Times New Roman" w:cs="Times New Roman" w:hint="eastAsia"/>
                <w:b/>
                <w:bCs/>
                <w:sz w:val="18"/>
                <w:szCs w:val="18"/>
                <w14:ligatures w14:val="none"/>
              </w:rPr>
              <w:t>3.24</w:t>
            </w:r>
          </w:p>
        </w:tc>
        <w:tc>
          <w:tcPr>
            <w:tcW w:w="901" w:type="pct"/>
            <w:vAlign w:val="center"/>
          </w:tcPr>
          <w:p w14:paraId="51A55962" w14:textId="77777777" w:rsidR="00276895" w:rsidRPr="00244990" w:rsidRDefault="00276895" w:rsidP="00885770">
            <w:pPr>
              <w:jc w:val="center"/>
              <w:rPr>
                <w:rFonts w:ascii="Times New Roman" w:eastAsia="SimSun" w:hAnsi="Times New Roman" w:cs="Times New Roman"/>
                <w:sz w:val="18"/>
                <w:szCs w:val="18"/>
                <w14:ligatures w14:val="none"/>
              </w:rPr>
            </w:pPr>
            <w:r w:rsidRPr="00244990">
              <w:rPr>
                <w:rFonts w:ascii="Times New Roman" w:eastAsia="SimSun" w:hAnsi="Times New Roman" w:cs="Times New Roman" w:hint="eastAsia"/>
                <w:sz w:val="18"/>
                <w:szCs w:val="18"/>
                <w14:ligatures w14:val="none"/>
              </w:rPr>
              <w:t>0.308922</w:t>
            </w:r>
          </w:p>
        </w:tc>
      </w:tr>
      <w:tr w:rsidR="00276895" w:rsidRPr="00244990" w14:paraId="50728456" w14:textId="77777777" w:rsidTr="00885770">
        <w:trPr>
          <w:trHeight w:val="283"/>
        </w:trPr>
        <w:tc>
          <w:tcPr>
            <w:tcW w:w="972" w:type="pct"/>
            <w:vAlign w:val="center"/>
          </w:tcPr>
          <w:p w14:paraId="1F2A64A8" w14:textId="77777777" w:rsidR="00276895" w:rsidRPr="00244990" w:rsidRDefault="00276895" w:rsidP="00885770">
            <w:pPr>
              <w:rPr>
                <w:rFonts w:ascii="Times New Roman" w:eastAsia="SimSun" w:hAnsi="Times New Roman" w:cs="Times New Roman"/>
                <w:i/>
                <w:iCs/>
                <w:sz w:val="18"/>
                <w:szCs w:val="18"/>
                <w14:ligatures w14:val="none"/>
              </w:rPr>
            </w:pPr>
            <w:r w:rsidRPr="00244990">
              <w:rPr>
                <w:rFonts w:ascii="Times New Roman" w:eastAsia="SimSun" w:hAnsi="Times New Roman" w:cs="Times New Roman" w:hint="eastAsia"/>
                <w:i/>
                <w:iCs/>
                <w:sz w:val="18"/>
                <w:szCs w:val="18"/>
                <w14:ligatures w14:val="none"/>
              </w:rPr>
              <w:t>Size</w:t>
            </w:r>
          </w:p>
        </w:tc>
        <w:tc>
          <w:tcPr>
            <w:tcW w:w="524" w:type="pct"/>
            <w:vAlign w:val="center"/>
          </w:tcPr>
          <w:p w14:paraId="38643ED9" w14:textId="77777777" w:rsidR="00276895" w:rsidRPr="00244990" w:rsidRDefault="00276895" w:rsidP="00885770">
            <w:pPr>
              <w:jc w:val="center"/>
              <w:rPr>
                <w:rFonts w:ascii="Times New Roman" w:eastAsia="SimSun" w:hAnsi="Times New Roman" w:cs="Times New Roman"/>
                <w:sz w:val="18"/>
                <w:szCs w:val="18"/>
                <w14:ligatures w14:val="none"/>
              </w:rPr>
            </w:pPr>
            <w:r w:rsidRPr="00244990">
              <w:rPr>
                <w:rFonts w:ascii="Times New Roman" w:eastAsia="SimSun" w:hAnsi="Times New Roman" w:cs="Times New Roman" w:hint="eastAsia"/>
                <w:sz w:val="18"/>
                <w:szCs w:val="18"/>
                <w14:ligatures w14:val="none"/>
              </w:rPr>
              <w:t>2.16</w:t>
            </w:r>
          </w:p>
        </w:tc>
        <w:tc>
          <w:tcPr>
            <w:tcW w:w="901" w:type="pct"/>
            <w:vAlign w:val="center"/>
          </w:tcPr>
          <w:p w14:paraId="78CBDF0C" w14:textId="77777777" w:rsidR="00276895" w:rsidRPr="00244990" w:rsidRDefault="00276895" w:rsidP="00885770">
            <w:pPr>
              <w:jc w:val="center"/>
              <w:rPr>
                <w:rFonts w:ascii="Times New Roman" w:eastAsia="SimSun" w:hAnsi="Times New Roman" w:cs="Times New Roman"/>
                <w:sz w:val="18"/>
                <w:szCs w:val="18"/>
                <w14:ligatures w14:val="none"/>
              </w:rPr>
            </w:pPr>
            <w:r w:rsidRPr="00244990">
              <w:rPr>
                <w:rFonts w:ascii="Times New Roman" w:eastAsia="SimSun" w:hAnsi="Times New Roman" w:cs="Times New Roman" w:hint="eastAsia"/>
                <w:sz w:val="18"/>
                <w:szCs w:val="18"/>
                <w14:ligatures w14:val="none"/>
              </w:rPr>
              <w:t>0.463135</w:t>
            </w:r>
          </w:p>
        </w:tc>
        <w:tc>
          <w:tcPr>
            <w:tcW w:w="1084" w:type="pct"/>
            <w:vAlign w:val="center"/>
          </w:tcPr>
          <w:p w14:paraId="4038D5DB" w14:textId="77777777" w:rsidR="00276895" w:rsidRPr="00244990" w:rsidRDefault="00276895" w:rsidP="00885770">
            <w:pPr>
              <w:rPr>
                <w:rFonts w:ascii="Times New Roman" w:eastAsia="SimSun" w:hAnsi="Times New Roman" w:cs="Times New Roman"/>
                <w:i/>
                <w:iCs/>
                <w:sz w:val="18"/>
                <w:szCs w:val="18"/>
                <w14:ligatures w14:val="none"/>
              </w:rPr>
            </w:pPr>
            <w:r w:rsidRPr="00244990">
              <w:rPr>
                <w:rFonts w:ascii="Times New Roman" w:eastAsia="SimSun" w:hAnsi="Times New Roman" w:cs="Times New Roman" w:hint="eastAsia"/>
                <w:i/>
                <w:iCs/>
                <w:sz w:val="18"/>
                <w:szCs w:val="18"/>
                <w14:ligatures w14:val="none"/>
              </w:rPr>
              <w:t>Size</w:t>
            </w:r>
          </w:p>
        </w:tc>
        <w:tc>
          <w:tcPr>
            <w:tcW w:w="618" w:type="pct"/>
            <w:vAlign w:val="center"/>
          </w:tcPr>
          <w:p w14:paraId="5F710E32" w14:textId="77777777" w:rsidR="00276895" w:rsidRPr="00244990" w:rsidRDefault="00276895" w:rsidP="00885770">
            <w:pPr>
              <w:jc w:val="center"/>
              <w:rPr>
                <w:rFonts w:ascii="Times New Roman" w:eastAsia="SimSun" w:hAnsi="Times New Roman" w:cs="Times New Roman"/>
                <w:sz w:val="18"/>
                <w:szCs w:val="18"/>
                <w14:ligatures w14:val="none"/>
              </w:rPr>
            </w:pPr>
            <w:r w:rsidRPr="00244990">
              <w:rPr>
                <w:rFonts w:ascii="Times New Roman" w:eastAsia="SimSun" w:hAnsi="Times New Roman" w:cs="Times New Roman" w:hint="eastAsia"/>
                <w:sz w:val="18"/>
                <w:szCs w:val="18"/>
                <w14:ligatures w14:val="none"/>
              </w:rPr>
              <w:t>2.17</w:t>
            </w:r>
          </w:p>
        </w:tc>
        <w:tc>
          <w:tcPr>
            <w:tcW w:w="901" w:type="pct"/>
            <w:vAlign w:val="center"/>
          </w:tcPr>
          <w:p w14:paraId="0F3A73A0" w14:textId="77777777" w:rsidR="00276895" w:rsidRPr="00244990" w:rsidRDefault="00276895" w:rsidP="00885770">
            <w:pPr>
              <w:jc w:val="center"/>
              <w:rPr>
                <w:rFonts w:ascii="Times New Roman" w:eastAsia="SimSun" w:hAnsi="Times New Roman" w:cs="Times New Roman"/>
                <w:sz w:val="18"/>
                <w:szCs w:val="18"/>
                <w14:ligatures w14:val="none"/>
              </w:rPr>
            </w:pPr>
            <w:r w:rsidRPr="00244990">
              <w:rPr>
                <w:rFonts w:ascii="Times New Roman" w:eastAsia="SimSun" w:hAnsi="Times New Roman" w:cs="Times New Roman" w:hint="eastAsia"/>
                <w:sz w:val="18"/>
                <w:szCs w:val="18"/>
                <w14:ligatures w14:val="none"/>
              </w:rPr>
              <w:t>0.460752</w:t>
            </w:r>
          </w:p>
        </w:tc>
      </w:tr>
      <w:tr w:rsidR="00276895" w:rsidRPr="00244990" w14:paraId="55C3BE4B" w14:textId="77777777" w:rsidTr="00885770">
        <w:trPr>
          <w:trHeight w:val="283"/>
        </w:trPr>
        <w:tc>
          <w:tcPr>
            <w:tcW w:w="972" w:type="pct"/>
            <w:vAlign w:val="center"/>
          </w:tcPr>
          <w:p w14:paraId="544BAE75" w14:textId="77777777" w:rsidR="00276895" w:rsidRPr="00244990" w:rsidRDefault="00276895" w:rsidP="00885770">
            <w:pPr>
              <w:rPr>
                <w:rFonts w:ascii="Times New Roman" w:eastAsia="SimSun" w:hAnsi="Times New Roman" w:cs="Times New Roman"/>
                <w:i/>
                <w:iCs/>
                <w:sz w:val="18"/>
                <w:szCs w:val="18"/>
                <w14:ligatures w14:val="none"/>
              </w:rPr>
            </w:pPr>
            <w:r w:rsidRPr="00244990">
              <w:rPr>
                <w:rFonts w:ascii="Times New Roman" w:eastAsia="SimSun" w:hAnsi="Times New Roman" w:cs="Times New Roman" w:hint="eastAsia"/>
                <w:i/>
                <w:iCs/>
                <w:sz w:val="18"/>
                <w:szCs w:val="18"/>
                <w14:ligatures w14:val="none"/>
              </w:rPr>
              <w:t>Inst</w:t>
            </w:r>
          </w:p>
        </w:tc>
        <w:tc>
          <w:tcPr>
            <w:tcW w:w="524" w:type="pct"/>
            <w:vAlign w:val="center"/>
          </w:tcPr>
          <w:p w14:paraId="7670A8D3" w14:textId="77777777" w:rsidR="00276895" w:rsidRPr="00244990" w:rsidRDefault="00276895" w:rsidP="00885770">
            <w:pPr>
              <w:jc w:val="center"/>
              <w:rPr>
                <w:rFonts w:ascii="Times New Roman" w:eastAsia="SimSun" w:hAnsi="Times New Roman" w:cs="Times New Roman"/>
                <w:sz w:val="18"/>
                <w:szCs w:val="18"/>
                <w14:ligatures w14:val="none"/>
              </w:rPr>
            </w:pPr>
            <w:r w:rsidRPr="00244990">
              <w:rPr>
                <w:rFonts w:ascii="Times New Roman" w:eastAsia="SimSun" w:hAnsi="Times New Roman" w:cs="Times New Roman" w:hint="eastAsia"/>
                <w:sz w:val="18"/>
                <w:szCs w:val="18"/>
                <w14:ligatures w14:val="none"/>
              </w:rPr>
              <w:t>1.84</w:t>
            </w:r>
          </w:p>
        </w:tc>
        <w:tc>
          <w:tcPr>
            <w:tcW w:w="901" w:type="pct"/>
            <w:vAlign w:val="center"/>
          </w:tcPr>
          <w:p w14:paraId="5B099D30" w14:textId="77777777" w:rsidR="00276895" w:rsidRPr="00244990" w:rsidRDefault="00276895" w:rsidP="00885770">
            <w:pPr>
              <w:jc w:val="center"/>
              <w:rPr>
                <w:rFonts w:ascii="Times New Roman" w:eastAsia="SimSun" w:hAnsi="Times New Roman" w:cs="Times New Roman"/>
                <w:sz w:val="18"/>
                <w:szCs w:val="18"/>
                <w14:ligatures w14:val="none"/>
              </w:rPr>
            </w:pPr>
            <w:r w:rsidRPr="00244990">
              <w:rPr>
                <w:rFonts w:ascii="Times New Roman" w:eastAsia="SimSun" w:hAnsi="Times New Roman" w:cs="Times New Roman" w:hint="eastAsia"/>
                <w:sz w:val="18"/>
                <w:szCs w:val="18"/>
                <w14:ligatures w14:val="none"/>
              </w:rPr>
              <w:t>0.543074</w:t>
            </w:r>
          </w:p>
        </w:tc>
        <w:tc>
          <w:tcPr>
            <w:tcW w:w="1084" w:type="pct"/>
            <w:vAlign w:val="center"/>
          </w:tcPr>
          <w:p w14:paraId="1AE02211" w14:textId="77777777" w:rsidR="00276895" w:rsidRPr="00244990" w:rsidRDefault="00276895" w:rsidP="00885770">
            <w:pPr>
              <w:rPr>
                <w:rFonts w:ascii="Times New Roman" w:eastAsia="SimSun" w:hAnsi="Times New Roman" w:cs="Times New Roman"/>
                <w:i/>
                <w:iCs/>
                <w:sz w:val="18"/>
                <w:szCs w:val="18"/>
                <w14:ligatures w14:val="none"/>
              </w:rPr>
            </w:pPr>
            <w:r w:rsidRPr="00244990">
              <w:rPr>
                <w:rFonts w:ascii="Times New Roman" w:eastAsia="SimSun" w:hAnsi="Times New Roman" w:cs="Times New Roman" w:hint="eastAsia"/>
                <w:i/>
                <w:iCs/>
                <w:sz w:val="18"/>
                <w:szCs w:val="18"/>
                <w14:ligatures w14:val="none"/>
              </w:rPr>
              <w:t>Inst</w:t>
            </w:r>
          </w:p>
        </w:tc>
        <w:tc>
          <w:tcPr>
            <w:tcW w:w="618" w:type="pct"/>
            <w:vAlign w:val="center"/>
          </w:tcPr>
          <w:p w14:paraId="2387A1AC" w14:textId="77777777" w:rsidR="00276895" w:rsidRPr="00244990" w:rsidRDefault="00276895" w:rsidP="00885770">
            <w:pPr>
              <w:jc w:val="center"/>
              <w:rPr>
                <w:rFonts w:ascii="Times New Roman" w:eastAsia="SimSun" w:hAnsi="Times New Roman" w:cs="Times New Roman"/>
                <w:sz w:val="18"/>
                <w:szCs w:val="18"/>
                <w14:ligatures w14:val="none"/>
              </w:rPr>
            </w:pPr>
            <w:r w:rsidRPr="00244990">
              <w:rPr>
                <w:rFonts w:ascii="Times New Roman" w:eastAsia="SimSun" w:hAnsi="Times New Roman" w:cs="Times New Roman" w:hint="eastAsia"/>
                <w:sz w:val="18"/>
                <w:szCs w:val="18"/>
                <w14:ligatures w14:val="none"/>
              </w:rPr>
              <w:t>1.90</w:t>
            </w:r>
          </w:p>
        </w:tc>
        <w:tc>
          <w:tcPr>
            <w:tcW w:w="901" w:type="pct"/>
            <w:vAlign w:val="center"/>
          </w:tcPr>
          <w:p w14:paraId="2551FF81" w14:textId="77777777" w:rsidR="00276895" w:rsidRPr="00244990" w:rsidRDefault="00276895" w:rsidP="00885770">
            <w:pPr>
              <w:jc w:val="center"/>
              <w:rPr>
                <w:rFonts w:ascii="Times New Roman" w:eastAsia="SimSun" w:hAnsi="Times New Roman" w:cs="Times New Roman"/>
                <w:sz w:val="18"/>
                <w:szCs w:val="18"/>
                <w14:ligatures w14:val="none"/>
              </w:rPr>
            </w:pPr>
            <w:r w:rsidRPr="00244990">
              <w:rPr>
                <w:rFonts w:ascii="Times New Roman" w:eastAsia="SimSun" w:hAnsi="Times New Roman" w:cs="Times New Roman" w:hint="eastAsia"/>
                <w:sz w:val="18"/>
                <w:szCs w:val="18"/>
                <w14:ligatures w14:val="none"/>
              </w:rPr>
              <w:t>0.525664</w:t>
            </w:r>
          </w:p>
        </w:tc>
      </w:tr>
      <w:tr w:rsidR="00276895" w:rsidRPr="00244990" w14:paraId="0DDAFA17" w14:textId="77777777" w:rsidTr="00885770">
        <w:trPr>
          <w:trHeight w:val="283"/>
        </w:trPr>
        <w:tc>
          <w:tcPr>
            <w:tcW w:w="972" w:type="pct"/>
            <w:vAlign w:val="center"/>
          </w:tcPr>
          <w:p w14:paraId="5168398F" w14:textId="77777777" w:rsidR="00276895" w:rsidRPr="00244990" w:rsidRDefault="00276895" w:rsidP="00885770">
            <w:pPr>
              <w:rPr>
                <w:rFonts w:ascii="Times New Roman" w:eastAsia="SimSun" w:hAnsi="Times New Roman" w:cs="Times New Roman"/>
                <w:i/>
                <w:iCs/>
                <w:sz w:val="18"/>
                <w:szCs w:val="18"/>
                <w14:ligatures w14:val="none"/>
              </w:rPr>
            </w:pPr>
            <w:r w:rsidRPr="00244990">
              <w:rPr>
                <w:rFonts w:ascii="Times New Roman" w:eastAsia="SimSun" w:hAnsi="Times New Roman" w:cs="Times New Roman" w:hint="eastAsia"/>
                <w:i/>
                <w:iCs/>
                <w:sz w:val="18"/>
                <w:szCs w:val="18"/>
                <w14:ligatures w14:val="none"/>
              </w:rPr>
              <w:t>BM</w:t>
            </w:r>
          </w:p>
        </w:tc>
        <w:tc>
          <w:tcPr>
            <w:tcW w:w="524" w:type="pct"/>
            <w:vAlign w:val="center"/>
          </w:tcPr>
          <w:p w14:paraId="2674F586" w14:textId="77777777" w:rsidR="00276895" w:rsidRPr="00244990" w:rsidRDefault="00276895" w:rsidP="00885770">
            <w:pPr>
              <w:jc w:val="center"/>
              <w:rPr>
                <w:rFonts w:ascii="Times New Roman" w:eastAsia="SimSun" w:hAnsi="Times New Roman" w:cs="Times New Roman"/>
                <w:sz w:val="18"/>
                <w:szCs w:val="18"/>
                <w14:ligatures w14:val="none"/>
              </w:rPr>
            </w:pPr>
            <w:r w:rsidRPr="00244990">
              <w:rPr>
                <w:rFonts w:ascii="Times New Roman" w:eastAsia="SimSun" w:hAnsi="Times New Roman" w:cs="Times New Roman" w:hint="eastAsia"/>
                <w:sz w:val="18"/>
                <w:szCs w:val="18"/>
                <w14:ligatures w14:val="none"/>
              </w:rPr>
              <w:t>1.75</w:t>
            </w:r>
          </w:p>
        </w:tc>
        <w:tc>
          <w:tcPr>
            <w:tcW w:w="901" w:type="pct"/>
            <w:vAlign w:val="center"/>
          </w:tcPr>
          <w:p w14:paraId="6FFBCF99" w14:textId="77777777" w:rsidR="00276895" w:rsidRPr="00244990" w:rsidRDefault="00276895" w:rsidP="00885770">
            <w:pPr>
              <w:jc w:val="center"/>
              <w:rPr>
                <w:rFonts w:ascii="Times New Roman" w:eastAsia="SimSun" w:hAnsi="Times New Roman" w:cs="Times New Roman"/>
                <w:sz w:val="18"/>
                <w:szCs w:val="18"/>
                <w14:ligatures w14:val="none"/>
              </w:rPr>
            </w:pPr>
            <w:r w:rsidRPr="00244990">
              <w:rPr>
                <w:rFonts w:ascii="Times New Roman" w:eastAsia="SimSun" w:hAnsi="Times New Roman" w:cs="Times New Roman" w:hint="eastAsia"/>
                <w:sz w:val="18"/>
                <w:szCs w:val="18"/>
                <w14:ligatures w14:val="none"/>
              </w:rPr>
              <w:t>0.571804</w:t>
            </w:r>
          </w:p>
        </w:tc>
        <w:tc>
          <w:tcPr>
            <w:tcW w:w="1084" w:type="pct"/>
            <w:vAlign w:val="center"/>
          </w:tcPr>
          <w:p w14:paraId="2A580A15" w14:textId="77777777" w:rsidR="00276895" w:rsidRPr="00244990" w:rsidRDefault="00276895" w:rsidP="00885770">
            <w:pPr>
              <w:rPr>
                <w:rFonts w:ascii="Times New Roman" w:eastAsia="SimSun" w:hAnsi="Times New Roman" w:cs="Times New Roman"/>
                <w:i/>
                <w:iCs/>
                <w:sz w:val="18"/>
                <w:szCs w:val="18"/>
                <w14:ligatures w14:val="none"/>
              </w:rPr>
            </w:pPr>
            <w:r w:rsidRPr="00244990">
              <w:rPr>
                <w:rFonts w:ascii="Times New Roman" w:eastAsia="SimSun" w:hAnsi="Times New Roman" w:cs="Times New Roman" w:hint="eastAsia"/>
                <w:i/>
                <w:iCs/>
                <w:sz w:val="18"/>
                <w:szCs w:val="18"/>
                <w14:ligatures w14:val="none"/>
              </w:rPr>
              <w:t>Top1</w:t>
            </w:r>
          </w:p>
        </w:tc>
        <w:tc>
          <w:tcPr>
            <w:tcW w:w="618" w:type="pct"/>
            <w:vAlign w:val="center"/>
          </w:tcPr>
          <w:p w14:paraId="0E8797E1" w14:textId="77777777" w:rsidR="00276895" w:rsidRPr="00244990" w:rsidRDefault="00276895" w:rsidP="00885770">
            <w:pPr>
              <w:jc w:val="center"/>
              <w:rPr>
                <w:rFonts w:ascii="Times New Roman" w:eastAsia="SimSun" w:hAnsi="Times New Roman" w:cs="Times New Roman"/>
                <w:sz w:val="18"/>
                <w:szCs w:val="18"/>
                <w14:ligatures w14:val="none"/>
              </w:rPr>
            </w:pPr>
            <w:r w:rsidRPr="00244990">
              <w:rPr>
                <w:rFonts w:ascii="Times New Roman" w:eastAsia="SimSun" w:hAnsi="Times New Roman" w:cs="Times New Roman" w:hint="eastAsia"/>
                <w:sz w:val="18"/>
                <w:szCs w:val="18"/>
                <w14:ligatures w14:val="none"/>
              </w:rPr>
              <w:t>1.81</w:t>
            </w:r>
          </w:p>
        </w:tc>
        <w:tc>
          <w:tcPr>
            <w:tcW w:w="901" w:type="pct"/>
            <w:vAlign w:val="center"/>
          </w:tcPr>
          <w:p w14:paraId="02DA5AD3" w14:textId="77777777" w:rsidR="00276895" w:rsidRPr="00244990" w:rsidRDefault="00276895" w:rsidP="00885770">
            <w:pPr>
              <w:jc w:val="center"/>
              <w:rPr>
                <w:rFonts w:ascii="Times New Roman" w:eastAsia="SimSun" w:hAnsi="Times New Roman" w:cs="Times New Roman"/>
                <w:sz w:val="18"/>
                <w:szCs w:val="18"/>
                <w14:ligatures w14:val="none"/>
              </w:rPr>
            </w:pPr>
            <w:r w:rsidRPr="00244990">
              <w:rPr>
                <w:rFonts w:ascii="Times New Roman" w:eastAsia="SimSun" w:hAnsi="Times New Roman" w:cs="Times New Roman" w:hint="eastAsia"/>
                <w:sz w:val="18"/>
                <w:szCs w:val="18"/>
                <w14:ligatures w14:val="none"/>
              </w:rPr>
              <w:t>0.551630</w:t>
            </w:r>
          </w:p>
        </w:tc>
      </w:tr>
      <w:tr w:rsidR="00276895" w:rsidRPr="00244990" w14:paraId="751B82B2" w14:textId="77777777" w:rsidTr="00885770">
        <w:trPr>
          <w:trHeight w:val="283"/>
        </w:trPr>
        <w:tc>
          <w:tcPr>
            <w:tcW w:w="972" w:type="pct"/>
            <w:vAlign w:val="center"/>
          </w:tcPr>
          <w:p w14:paraId="24B908FE" w14:textId="77777777" w:rsidR="00276895" w:rsidRPr="00244990" w:rsidRDefault="00276895" w:rsidP="00885770">
            <w:pPr>
              <w:rPr>
                <w:rFonts w:ascii="Times New Roman" w:eastAsia="SimSun" w:hAnsi="Times New Roman" w:cs="Times New Roman"/>
                <w:i/>
                <w:iCs/>
                <w:sz w:val="18"/>
                <w:szCs w:val="18"/>
                <w14:ligatures w14:val="none"/>
              </w:rPr>
            </w:pPr>
            <w:r w:rsidRPr="00244990">
              <w:rPr>
                <w:rFonts w:ascii="Times New Roman" w:eastAsia="SimSun" w:hAnsi="Times New Roman" w:cs="Times New Roman" w:hint="eastAsia"/>
                <w:i/>
                <w:iCs/>
                <w:sz w:val="18"/>
                <w:szCs w:val="18"/>
                <w14:ligatures w14:val="none"/>
              </w:rPr>
              <w:t>Lev</w:t>
            </w:r>
          </w:p>
        </w:tc>
        <w:tc>
          <w:tcPr>
            <w:tcW w:w="524" w:type="pct"/>
            <w:vAlign w:val="center"/>
          </w:tcPr>
          <w:p w14:paraId="699AD170" w14:textId="77777777" w:rsidR="00276895" w:rsidRPr="00244990" w:rsidRDefault="00276895" w:rsidP="00885770">
            <w:pPr>
              <w:jc w:val="center"/>
              <w:rPr>
                <w:rFonts w:ascii="Times New Roman" w:eastAsia="SimSun" w:hAnsi="Times New Roman" w:cs="Times New Roman"/>
                <w:sz w:val="18"/>
                <w:szCs w:val="18"/>
                <w14:ligatures w14:val="none"/>
              </w:rPr>
            </w:pPr>
            <w:r w:rsidRPr="00244990">
              <w:rPr>
                <w:rFonts w:ascii="Times New Roman" w:eastAsia="SimSun" w:hAnsi="Times New Roman" w:cs="Times New Roman" w:hint="eastAsia"/>
                <w:sz w:val="18"/>
                <w:szCs w:val="18"/>
                <w14:ligatures w14:val="none"/>
              </w:rPr>
              <w:t>1.67</w:t>
            </w:r>
          </w:p>
        </w:tc>
        <w:tc>
          <w:tcPr>
            <w:tcW w:w="901" w:type="pct"/>
            <w:vAlign w:val="center"/>
          </w:tcPr>
          <w:p w14:paraId="7361955E" w14:textId="77777777" w:rsidR="00276895" w:rsidRPr="00244990" w:rsidRDefault="00276895" w:rsidP="00885770">
            <w:pPr>
              <w:jc w:val="center"/>
              <w:rPr>
                <w:rFonts w:ascii="Times New Roman" w:eastAsia="SimSun" w:hAnsi="Times New Roman" w:cs="Times New Roman"/>
                <w:sz w:val="18"/>
                <w:szCs w:val="18"/>
                <w14:ligatures w14:val="none"/>
              </w:rPr>
            </w:pPr>
            <w:r w:rsidRPr="00244990">
              <w:rPr>
                <w:rFonts w:ascii="Times New Roman" w:eastAsia="SimSun" w:hAnsi="Times New Roman" w:cs="Times New Roman" w:hint="eastAsia"/>
                <w:sz w:val="18"/>
                <w:szCs w:val="18"/>
                <w14:ligatures w14:val="none"/>
              </w:rPr>
              <w:t>0.599582</w:t>
            </w:r>
          </w:p>
        </w:tc>
        <w:tc>
          <w:tcPr>
            <w:tcW w:w="1084" w:type="pct"/>
            <w:vAlign w:val="center"/>
          </w:tcPr>
          <w:p w14:paraId="01AC35A2" w14:textId="77777777" w:rsidR="00276895" w:rsidRPr="00244990" w:rsidRDefault="00276895" w:rsidP="00885770">
            <w:pPr>
              <w:rPr>
                <w:rFonts w:ascii="Times New Roman" w:eastAsia="SimSun" w:hAnsi="Times New Roman" w:cs="Times New Roman"/>
                <w:i/>
                <w:iCs/>
                <w:sz w:val="18"/>
                <w:szCs w:val="18"/>
                <w14:ligatures w14:val="none"/>
              </w:rPr>
            </w:pPr>
            <w:r w:rsidRPr="00244990">
              <w:rPr>
                <w:rFonts w:ascii="Times New Roman" w:eastAsia="SimSun" w:hAnsi="Times New Roman" w:cs="Times New Roman" w:hint="eastAsia"/>
                <w:i/>
                <w:iCs/>
                <w:sz w:val="18"/>
                <w:szCs w:val="18"/>
                <w14:ligatures w14:val="none"/>
              </w:rPr>
              <w:t>BM</w:t>
            </w:r>
          </w:p>
        </w:tc>
        <w:tc>
          <w:tcPr>
            <w:tcW w:w="618" w:type="pct"/>
            <w:vAlign w:val="center"/>
          </w:tcPr>
          <w:p w14:paraId="46922C57" w14:textId="77777777" w:rsidR="00276895" w:rsidRPr="00244990" w:rsidRDefault="00276895" w:rsidP="00885770">
            <w:pPr>
              <w:jc w:val="center"/>
              <w:rPr>
                <w:rFonts w:ascii="Times New Roman" w:eastAsia="SimSun" w:hAnsi="Times New Roman" w:cs="Times New Roman"/>
                <w:sz w:val="18"/>
                <w:szCs w:val="18"/>
                <w14:ligatures w14:val="none"/>
              </w:rPr>
            </w:pPr>
            <w:r w:rsidRPr="00244990">
              <w:rPr>
                <w:rFonts w:ascii="Times New Roman" w:eastAsia="SimSun" w:hAnsi="Times New Roman" w:cs="Times New Roman" w:hint="eastAsia"/>
                <w:sz w:val="18"/>
                <w:szCs w:val="18"/>
                <w14:ligatures w14:val="none"/>
              </w:rPr>
              <w:t>1.78</w:t>
            </w:r>
          </w:p>
        </w:tc>
        <w:tc>
          <w:tcPr>
            <w:tcW w:w="901" w:type="pct"/>
            <w:vAlign w:val="center"/>
          </w:tcPr>
          <w:p w14:paraId="70BBF10D" w14:textId="77777777" w:rsidR="00276895" w:rsidRPr="00244990" w:rsidRDefault="00276895" w:rsidP="00885770">
            <w:pPr>
              <w:jc w:val="center"/>
              <w:rPr>
                <w:rFonts w:ascii="Times New Roman" w:eastAsia="SimSun" w:hAnsi="Times New Roman" w:cs="Times New Roman"/>
                <w:sz w:val="18"/>
                <w:szCs w:val="18"/>
                <w14:ligatures w14:val="none"/>
              </w:rPr>
            </w:pPr>
            <w:r w:rsidRPr="00244990">
              <w:rPr>
                <w:rFonts w:ascii="Times New Roman" w:eastAsia="SimSun" w:hAnsi="Times New Roman" w:cs="Times New Roman" w:hint="eastAsia"/>
                <w:sz w:val="18"/>
                <w:szCs w:val="18"/>
                <w14:ligatures w14:val="none"/>
              </w:rPr>
              <w:t>0.563223</w:t>
            </w:r>
          </w:p>
        </w:tc>
      </w:tr>
      <w:tr w:rsidR="00276895" w:rsidRPr="00244990" w14:paraId="7ED60FE8" w14:textId="77777777" w:rsidTr="00885770">
        <w:trPr>
          <w:trHeight w:val="283"/>
        </w:trPr>
        <w:tc>
          <w:tcPr>
            <w:tcW w:w="972" w:type="pct"/>
            <w:vAlign w:val="center"/>
          </w:tcPr>
          <w:p w14:paraId="3B71D3FC" w14:textId="77777777" w:rsidR="00276895" w:rsidRPr="00244990" w:rsidRDefault="00276895" w:rsidP="00885770">
            <w:pPr>
              <w:rPr>
                <w:rFonts w:ascii="Times New Roman" w:eastAsia="SimSun" w:hAnsi="Times New Roman" w:cs="Times New Roman"/>
                <w:i/>
                <w:iCs/>
                <w:sz w:val="18"/>
                <w:szCs w:val="18"/>
                <w14:ligatures w14:val="none"/>
              </w:rPr>
            </w:pPr>
            <w:r w:rsidRPr="00244990">
              <w:rPr>
                <w:rFonts w:ascii="Times New Roman" w:eastAsia="SimSun" w:hAnsi="Times New Roman" w:cs="Times New Roman" w:hint="eastAsia"/>
                <w:i/>
                <w:iCs/>
                <w:sz w:val="18"/>
                <w:szCs w:val="18"/>
                <w14:ligatures w14:val="none"/>
              </w:rPr>
              <w:t>ROA</w:t>
            </w:r>
          </w:p>
        </w:tc>
        <w:tc>
          <w:tcPr>
            <w:tcW w:w="524" w:type="pct"/>
            <w:vAlign w:val="center"/>
          </w:tcPr>
          <w:p w14:paraId="18DE44FD" w14:textId="77777777" w:rsidR="00276895" w:rsidRPr="00244990" w:rsidRDefault="00276895" w:rsidP="00885770">
            <w:pPr>
              <w:jc w:val="center"/>
              <w:rPr>
                <w:rFonts w:ascii="Times New Roman" w:eastAsia="SimSun" w:hAnsi="Times New Roman" w:cs="Times New Roman"/>
                <w:sz w:val="18"/>
                <w:szCs w:val="18"/>
                <w14:ligatures w14:val="none"/>
              </w:rPr>
            </w:pPr>
            <w:r w:rsidRPr="00244990">
              <w:rPr>
                <w:rFonts w:ascii="Times New Roman" w:eastAsia="SimSun" w:hAnsi="Times New Roman" w:cs="Times New Roman" w:hint="eastAsia"/>
                <w:sz w:val="18"/>
                <w:szCs w:val="18"/>
                <w14:ligatures w14:val="none"/>
              </w:rPr>
              <w:t>1.62</w:t>
            </w:r>
          </w:p>
        </w:tc>
        <w:tc>
          <w:tcPr>
            <w:tcW w:w="901" w:type="pct"/>
            <w:vAlign w:val="center"/>
          </w:tcPr>
          <w:p w14:paraId="22095A9B" w14:textId="77777777" w:rsidR="00276895" w:rsidRPr="00244990" w:rsidRDefault="00276895" w:rsidP="00885770">
            <w:pPr>
              <w:jc w:val="center"/>
              <w:rPr>
                <w:rFonts w:ascii="Times New Roman" w:eastAsia="SimSun" w:hAnsi="Times New Roman" w:cs="Times New Roman"/>
                <w:sz w:val="18"/>
                <w:szCs w:val="18"/>
                <w14:ligatures w14:val="none"/>
              </w:rPr>
            </w:pPr>
            <w:r w:rsidRPr="00244990">
              <w:rPr>
                <w:rFonts w:ascii="Times New Roman" w:eastAsia="SimSun" w:hAnsi="Times New Roman" w:cs="Times New Roman" w:hint="eastAsia"/>
                <w:sz w:val="18"/>
                <w:szCs w:val="18"/>
                <w14:ligatures w14:val="none"/>
              </w:rPr>
              <w:t>0.618723</w:t>
            </w:r>
          </w:p>
        </w:tc>
        <w:tc>
          <w:tcPr>
            <w:tcW w:w="1084" w:type="pct"/>
            <w:vAlign w:val="center"/>
          </w:tcPr>
          <w:p w14:paraId="5BE5A4BA" w14:textId="77777777" w:rsidR="00276895" w:rsidRPr="00244990" w:rsidRDefault="00276895" w:rsidP="00885770">
            <w:pPr>
              <w:rPr>
                <w:rFonts w:ascii="Times New Roman" w:eastAsia="SimSun" w:hAnsi="Times New Roman" w:cs="Times New Roman"/>
                <w:i/>
                <w:iCs/>
                <w:sz w:val="18"/>
                <w:szCs w:val="18"/>
                <w14:ligatures w14:val="none"/>
              </w:rPr>
            </w:pPr>
            <w:r w:rsidRPr="00244990">
              <w:rPr>
                <w:rFonts w:ascii="Times New Roman" w:eastAsia="SimSun" w:hAnsi="Times New Roman" w:cs="Times New Roman" w:hint="eastAsia"/>
                <w:i/>
                <w:iCs/>
                <w:sz w:val="18"/>
                <w:szCs w:val="18"/>
                <w14:ligatures w14:val="none"/>
              </w:rPr>
              <w:t>Lev</w:t>
            </w:r>
          </w:p>
        </w:tc>
        <w:tc>
          <w:tcPr>
            <w:tcW w:w="618" w:type="pct"/>
            <w:vAlign w:val="center"/>
          </w:tcPr>
          <w:p w14:paraId="13ED6B29" w14:textId="77777777" w:rsidR="00276895" w:rsidRPr="00244990" w:rsidRDefault="00276895" w:rsidP="00885770">
            <w:pPr>
              <w:jc w:val="center"/>
              <w:rPr>
                <w:rFonts w:ascii="Times New Roman" w:eastAsia="SimSun" w:hAnsi="Times New Roman" w:cs="Times New Roman"/>
                <w:sz w:val="18"/>
                <w:szCs w:val="18"/>
                <w14:ligatures w14:val="none"/>
              </w:rPr>
            </w:pPr>
            <w:r w:rsidRPr="00244990">
              <w:rPr>
                <w:rFonts w:ascii="Times New Roman" w:eastAsia="SimSun" w:hAnsi="Times New Roman" w:cs="Times New Roman" w:hint="eastAsia"/>
                <w:sz w:val="18"/>
                <w:szCs w:val="18"/>
                <w14:ligatures w14:val="none"/>
              </w:rPr>
              <w:t>1.67</w:t>
            </w:r>
          </w:p>
        </w:tc>
        <w:tc>
          <w:tcPr>
            <w:tcW w:w="901" w:type="pct"/>
            <w:vAlign w:val="center"/>
          </w:tcPr>
          <w:p w14:paraId="1634B37A" w14:textId="77777777" w:rsidR="00276895" w:rsidRPr="00244990" w:rsidRDefault="00276895" w:rsidP="00885770">
            <w:pPr>
              <w:jc w:val="center"/>
              <w:rPr>
                <w:rFonts w:ascii="Times New Roman" w:eastAsia="SimSun" w:hAnsi="Times New Roman" w:cs="Times New Roman"/>
                <w:sz w:val="18"/>
                <w:szCs w:val="18"/>
                <w14:ligatures w14:val="none"/>
              </w:rPr>
            </w:pPr>
            <w:r w:rsidRPr="00244990">
              <w:rPr>
                <w:rFonts w:ascii="Times New Roman" w:eastAsia="SimSun" w:hAnsi="Times New Roman" w:cs="Times New Roman" w:hint="eastAsia"/>
                <w:sz w:val="18"/>
                <w:szCs w:val="18"/>
                <w14:ligatures w14:val="none"/>
              </w:rPr>
              <w:t>0.598212</w:t>
            </w:r>
          </w:p>
        </w:tc>
      </w:tr>
      <w:tr w:rsidR="00276895" w:rsidRPr="00244990" w14:paraId="7D19ABF5" w14:textId="77777777" w:rsidTr="00885770">
        <w:trPr>
          <w:trHeight w:val="283"/>
        </w:trPr>
        <w:tc>
          <w:tcPr>
            <w:tcW w:w="972" w:type="pct"/>
            <w:vAlign w:val="center"/>
          </w:tcPr>
          <w:p w14:paraId="752D2725" w14:textId="77777777" w:rsidR="00276895" w:rsidRPr="00244990" w:rsidRDefault="00276895" w:rsidP="00885770">
            <w:pPr>
              <w:rPr>
                <w:rFonts w:ascii="Times New Roman" w:eastAsia="SimSun" w:hAnsi="Times New Roman" w:cs="Times New Roman"/>
                <w:i/>
                <w:iCs/>
                <w:sz w:val="18"/>
                <w:szCs w:val="18"/>
                <w14:ligatures w14:val="none"/>
              </w:rPr>
            </w:pPr>
            <w:r w:rsidRPr="00244990">
              <w:rPr>
                <w:rFonts w:ascii="Times New Roman" w:eastAsia="SimSun" w:hAnsi="Times New Roman" w:cs="Times New Roman" w:hint="eastAsia"/>
                <w:i/>
                <w:iCs/>
                <w:sz w:val="18"/>
                <w:szCs w:val="18"/>
                <w14:ligatures w14:val="none"/>
              </w:rPr>
              <w:t>Top1</w:t>
            </w:r>
          </w:p>
        </w:tc>
        <w:tc>
          <w:tcPr>
            <w:tcW w:w="524" w:type="pct"/>
            <w:vAlign w:val="center"/>
          </w:tcPr>
          <w:p w14:paraId="6043BDFC" w14:textId="77777777" w:rsidR="00276895" w:rsidRPr="00244990" w:rsidRDefault="00276895" w:rsidP="00885770">
            <w:pPr>
              <w:jc w:val="center"/>
              <w:rPr>
                <w:rFonts w:ascii="Times New Roman" w:eastAsia="SimSun" w:hAnsi="Times New Roman" w:cs="Times New Roman"/>
                <w:sz w:val="18"/>
                <w:szCs w:val="18"/>
                <w14:ligatures w14:val="none"/>
              </w:rPr>
            </w:pPr>
            <w:r w:rsidRPr="00244990">
              <w:rPr>
                <w:rFonts w:ascii="Times New Roman" w:eastAsia="SimSun" w:hAnsi="Times New Roman" w:cs="Times New Roman" w:hint="eastAsia"/>
                <w:sz w:val="18"/>
                <w:szCs w:val="18"/>
                <w14:ligatures w14:val="none"/>
              </w:rPr>
              <w:t>1.45</w:t>
            </w:r>
          </w:p>
        </w:tc>
        <w:tc>
          <w:tcPr>
            <w:tcW w:w="901" w:type="pct"/>
            <w:vAlign w:val="center"/>
          </w:tcPr>
          <w:p w14:paraId="21DC5D04" w14:textId="77777777" w:rsidR="00276895" w:rsidRPr="00244990" w:rsidRDefault="00276895" w:rsidP="00885770">
            <w:pPr>
              <w:jc w:val="center"/>
              <w:rPr>
                <w:rFonts w:ascii="Times New Roman" w:eastAsia="SimSun" w:hAnsi="Times New Roman" w:cs="Times New Roman"/>
                <w:sz w:val="18"/>
                <w:szCs w:val="18"/>
                <w14:ligatures w14:val="none"/>
              </w:rPr>
            </w:pPr>
            <w:r w:rsidRPr="00244990">
              <w:rPr>
                <w:rFonts w:ascii="Times New Roman" w:eastAsia="SimSun" w:hAnsi="Times New Roman" w:cs="Times New Roman" w:hint="eastAsia"/>
                <w:sz w:val="18"/>
                <w:szCs w:val="18"/>
                <w14:ligatures w14:val="none"/>
              </w:rPr>
              <w:t>0.692011</w:t>
            </w:r>
          </w:p>
        </w:tc>
        <w:tc>
          <w:tcPr>
            <w:tcW w:w="1084" w:type="pct"/>
            <w:vAlign w:val="center"/>
          </w:tcPr>
          <w:p w14:paraId="1DE92E95" w14:textId="77777777" w:rsidR="00276895" w:rsidRPr="00244990" w:rsidRDefault="00276895" w:rsidP="00885770">
            <w:pPr>
              <w:rPr>
                <w:rFonts w:ascii="Times New Roman" w:eastAsia="SimSun" w:hAnsi="Times New Roman" w:cs="Times New Roman"/>
                <w:i/>
                <w:iCs/>
                <w:sz w:val="18"/>
                <w:szCs w:val="18"/>
                <w14:ligatures w14:val="none"/>
              </w:rPr>
            </w:pPr>
            <w:r w:rsidRPr="00244990">
              <w:rPr>
                <w:rFonts w:ascii="Times New Roman" w:eastAsia="SimSun" w:hAnsi="Times New Roman" w:cs="Times New Roman" w:hint="eastAsia"/>
                <w:i/>
                <w:iCs/>
                <w:sz w:val="18"/>
                <w:szCs w:val="18"/>
                <w14:ligatures w14:val="none"/>
              </w:rPr>
              <w:t>ROA</w:t>
            </w:r>
          </w:p>
        </w:tc>
        <w:tc>
          <w:tcPr>
            <w:tcW w:w="618" w:type="pct"/>
            <w:vAlign w:val="center"/>
          </w:tcPr>
          <w:p w14:paraId="15ACD296" w14:textId="77777777" w:rsidR="00276895" w:rsidRPr="00244990" w:rsidRDefault="00276895" w:rsidP="00885770">
            <w:pPr>
              <w:jc w:val="center"/>
              <w:rPr>
                <w:rFonts w:ascii="Times New Roman" w:eastAsia="SimSun" w:hAnsi="Times New Roman" w:cs="Times New Roman"/>
                <w:sz w:val="18"/>
                <w:szCs w:val="18"/>
                <w14:ligatures w14:val="none"/>
              </w:rPr>
            </w:pPr>
            <w:r w:rsidRPr="00244990">
              <w:rPr>
                <w:rFonts w:ascii="Times New Roman" w:eastAsia="SimSun" w:hAnsi="Times New Roman" w:cs="Times New Roman" w:hint="eastAsia"/>
                <w:sz w:val="18"/>
                <w:szCs w:val="18"/>
                <w14:ligatures w14:val="none"/>
              </w:rPr>
              <w:t>1.63</w:t>
            </w:r>
          </w:p>
        </w:tc>
        <w:tc>
          <w:tcPr>
            <w:tcW w:w="901" w:type="pct"/>
            <w:vAlign w:val="center"/>
          </w:tcPr>
          <w:p w14:paraId="221790C5" w14:textId="77777777" w:rsidR="00276895" w:rsidRPr="00244990" w:rsidRDefault="00276895" w:rsidP="00885770">
            <w:pPr>
              <w:jc w:val="center"/>
              <w:rPr>
                <w:rFonts w:ascii="Times New Roman" w:eastAsia="SimSun" w:hAnsi="Times New Roman" w:cs="Times New Roman"/>
                <w:sz w:val="18"/>
                <w:szCs w:val="18"/>
                <w14:ligatures w14:val="none"/>
              </w:rPr>
            </w:pPr>
            <w:r w:rsidRPr="00244990">
              <w:rPr>
                <w:rFonts w:ascii="Times New Roman" w:eastAsia="SimSun" w:hAnsi="Times New Roman" w:cs="Times New Roman" w:hint="eastAsia"/>
                <w:sz w:val="18"/>
                <w:szCs w:val="18"/>
                <w14:ligatures w14:val="none"/>
              </w:rPr>
              <w:t>0.614155</w:t>
            </w:r>
          </w:p>
        </w:tc>
      </w:tr>
      <w:tr w:rsidR="00276895" w:rsidRPr="00244990" w14:paraId="695B9679" w14:textId="77777777" w:rsidTr="00885770">
        <w:trPr>
          <w:trHeight w:val="283"/>
        </w:trPr>
        <w:tc>
          <w:tcPr>
            <w:tcW w:w="972" w:type="pct"/>
            <w:vAlign w:val="center"/>
          </w:tcPr>
          <w:p w14:paraId="5CE6C067" w14:textId="77777777" w:rsidR="00276895" w:rsidRPr="00244990" w:rsidRDefault="00276895" w:rsidP="00885770">
            <w:pPr>
              <w:rPr>
                <w:rFonts w:ascii="Times New Roman" w:eastAsia="SimSun" w:hAnsi="Times New Roman" w:cs="Times New Roman"/>
                <w:i/>
                <w:iCs/>
                <w:sz w:val="18"/>
                <w:szCs w:val="18"/>
                <w14:ligatures w14:val="none"/>
              </w:rPr>
            </w:pPr>
            <w:r w:rsidRPr="00244990">
              <w:rPr>
                <w:rFonts w:ascii="Times New Roman" w:eastAsia="SimSun" w:hAnsi="Times New Roman" w:cs="Times New Roman" w:hint="eastAsia"/>
                <w:i/>
                <w:iCs/>
                <w:sz w:val="18"/>
                <w:szCs w:val="18"/>
                <w14:ligatures w14:val="none"/>
              </w:rPr>
              <w:t>OCF</w:t>
            </w:r>
          </w:p>
        </w:tc>
        <w:tc>
          <w:tcPr>
            <w:tcW w:w="524" w:type="pct"/>
            <w:vAlign w:val="center"/>
          </w:tcPr>
          <w:p w14:paraId="1B700690" w14:textId="77777777" w:rsidR="00276895" w:rsidRPr="00244990" w:rsidRDefault="00276895" w:rsidP="00885770">
            <w:pPr>
              <w:jc w:val="center"/>
              <w:rPr>
                <w:rFonts w:ascii="Times New Roman" w:eastAsia="SimSun" w:hAnsi="Times New Roman" w:cs="Times New Roman"/>
                <w:sz w:val="18"/>
                <w:szCs w:val="18"/>
                <w14:ligatures w14:val="none"/>
              </w:rPr>
            </w:pPr>
            <w:r w:rsidRPr="00244990">
              <w:rPr>
                <w:rFonts w:ascii="Times New Roman" w:eastAsia="SimSun" w:hAnsi="Times New Roman" w:cs="Times New Roman" w:hint="eastAsia"/>
                <w:sz w:val="18"/>
                <w:szCs w:val="18"/>
                <w14:ligatures w14:val="none"/>
              </w:rPr>
              <w:t>1.24</w:t>
            </w:r>
          </w:p>
        </w:tc>
        <w:tc>
          <w:tcPr>
            <w:tcW w:w="901" w:type="pct"/>
            <w:vAlign w:val="center"/>
          </w:tcPr>
          <w:p w14:paraId="33B87F4E" w14:textId="77777777" w:rsidR="00276895" w:rsidRPr="00244990" w:rsidRDefault="00276895" w:rsidP="00885770">
            <w:pPr>
              <w:jc w:val="center"/>
              <w:rPr>
                <w:rFonts w:ascii="Times New Roman" w:eastAsia="SimSun" w:hAnsi="Times New Roman" w:cs="Times New Roman"/>
                <w:sz w:val="18"/>
                <w:szCs w:val="18"/>
                <w14:ligatures w14:val="none"/>
              </w:rPr>
            </w:pPr>
            <w:r w:rsidRPr="00244990">
              <w:rPr>
                <w:rFonts w:ascii="Times New Roman" w:eastAsia="SimSun" w:hAnsi="Times New Roman" w:cs="Times New Roman" w:hint="eastAsia"/>
                <w:sz w:val="18"/>
                <w:szCs w:val="18"/>
                <w14:ligatures w14:val="none"/>
              </w:rPr>
              <w:t>0.803908</w:t>
            </w:r>
          </w:p>
        </w:tc>
        <w:tc>
          <w:tcPr>
            <w:tcW w:w="1084" w:type="pct"/>
            <w:vAlign w:val="center"/>
          </w:tcPr>
          <w:p w14:paraId="47F8A7A1" w14:textId="77777777" w:rsidR="00276895" w:rsidRPr="00244990" w:rsidRDefault="00276895" w:rsidP="00885770">
            <w:pPr>
              <w:rPr>
                <w:rFonts w:ascii="Times New Roman" w:eastAsia="SimSun" w:hAnsi="Times New Roman" w:cs="Times New Roman"/>
                <w:i/>
                <w:iCs/>
                <w:sz w:val="18"/>
                <w:szCs w:val="18"/>
                <w14:ligatures w14:val="none"/>
              </w:rPr>
            </w:pPr>
            <w:r w:rsidRPr="00244990">
              <w:rPr>
                <w:rFonts w:ascii="Times New Roman" w:eastAsia="SimSun" w:hAnsi="Times New Roman" w:cs="Times New Roman" w:hint="eastAsia"/>
                <w:i/>
                <w:iCs/>
                <w:sz w:val="18"/>
                <w:szCs w:val="18"/>
                <w14:ligatures w14:val="none"/>
              </w:rPr>
              <w:t>OCF</w:t>
            </w:r>
          </w:p>
        </w:tc>
        <w:tc>
          <w:tcPr>
            <w:tcW w:w="618" w:type="pct"/>
            <w:vAlign w:val="center"/>
          </w:tcPr>
          <w:p w14:paraId="2943B297" w14:textId="77777777" w:rsidR="00276895" w:rsidRPr="00244990" w:rsidRDefault="00276895" w:rsidP="00885770">
            <w:pPr>
              <w:jc w:val="center"/>
              <w:rPr>
                <w:rFonts w:ascii="Times New Roman" w:eastAsia="SimSun" w:hAnsi="Times New Roman" w:cs="Times New Roman"/>
                <w:sz w:val="18"/>
                <w:szCs w:val="18"/>
                <w14:ligatures w14:val="none"/>
              </w:rPr>
            </w:pPr>
            <w:r w:rsidRPr="00244990">
              <w:rPr>
                <w:rFonts w:ascii="Times New Roman" w:eastAsia="SimSun" w:hAnsi="Times New Roman" w:cs="Times New Roman" w:hint="eastAsia"/>
                <w:sz w:val="18"/>
                <w:szCs w:val="18"/>
                <w14:ligatures w14:val="none"/>
              </w:rPr>
              <w:t>1.24</w:t>
            </w:r>
          </w:p>
        </w:tc>
        <w:tc>
          <w:tcPr>
            <w:tcW w:w="901" w:type="pct"/>
            <w:vAlign w:val="center"/>
          </w:tcPr>
          <w:p w14:paraId="2527224C" w14:textId="77777777" w:rsidR="00276895" w:rsidRPr="00244990" w:rsidRDefault="00276895" w:rsidP="00885770">
            <w:pPr>
              <w:jc w:val="center"/>
              <w:rPr>
                <w:rFonts w:ascii="Times New Roman" w:eastAsia="SimSun" w:hAnsi="Times New Roman" w:cs="Times New Roman"/>
                <w:sz w:val="18"/>
                <w:szCs w:val="18"/>
                <w14:ligatures w14:val="none"/>
              </w:rPr>
            </w:pPr>
            <w:r w:rsidRPr="00244990">
              <w:rPr>
                <w:rFonts w:ascii="Times New Roman" w:eastAsia="SimSun" w:hAnsi="Times New Roman" w:cs="Times New Roman" w:hint="eastAsia"/>
                <w:sz w:val="18"/>
                <w:szCs w:val="18"/>
                <w14:ligatures w14:val="none"/>
              </w:rPr>
              <w:t>0.803783</w:t>
            </w:r>
          </w:p>
        </w:tc>
      </w:tr>
      <w:tr w:rsidR="00276895" w:rsidRPr="00244990" w14:paraId="190B7E10" w14:textId="77777777" w:rsidTr="00885770">
        <w:trPr>
          <w:trHeight w:val="283"/>
        </w:trPr>
        <w:tc>
          <w:tcPr>
            <w:tcW w:w="972" w:type="pct"/>
            <w:vAlign w:val="center"/>
          </w:tcPr>
          <w:p w14:paraId="79A88A21" w14:textId="77777777" w:rsidR="00276895" w:rsidRPr="00244990" w:rsidRDefault="00276895" w:rsidP="00885770">
            <w:pPr>
              <w:rPr>
                <w:rFonts w:ascii="Times New Roman" w:eastAsia="SimSun" w:hAnsi="Times New Roman" w:cs="Times New Roman"/>
                <w:i/>
                <w:iCs/>
                <w:sz w:val="18"/>
                <w:szCs w:val="18"/>
                <w14:ligatures w14:val="none"/>
              </w:rPr>
            </w:pPr>
            <w:r w:rsidRPr="00244990">
              <w:rPr>
                <w:rFonts w:ascii="Times New Roman" w:eastAsia="SimSun" w:hAnsi="Times New Roman" w:cs="Times New Roman" w:hint="eastAsia"/>
                <w:i/>
                <w:iCs/>
                <w:sz w:val="18"/>
                <w:szCs w:val="18"/>
                <w14:ligatures w14:val="none"/>
              </w:rPr>
              <w:t>Big4</w:t>
            </w:r>
          </w:p>
        </w:tc>
        <w:tc>
          <w:tcPr>
            <w:tcW w:w="524" w:type="pct"/>
            <w:vAlign w:val="center"/>
          </w:tcPr>
          <w:p w14:paraId="51C7FC96" w14:textId="77777777" w:rsidR="00276895" w:rsidRPr="00244990" w:rsidRDefault="00276895" w:rsidP="00885770">
            <w:pPr>
              <w:jc w:val="center"/>
              <w:rPr>
                <w:rFonts w:ascii="Times New Roman" w:eastAsia="SimSun" w:hAnsi="Times New Roman" w:cs="Times New Roman"/>
                <w:sz w:val="18"/>
                <w:szCs w:val="18"/>
                <w14:ligatures w14:val="none"/>
              </w:rPr>
            </w:pPr>
            <w:r w:rsidRPr="00244990">
              <w:rPr>
                <w:rFonts w:ascii="Times New Roman" w:eastAsia="SimSun" w:hAnsi="Times New Roman" w:cs="Times New Roman" w:hint="eastAsia"/>
                <w:sz w:val="18"/>
                <w:szCs w:val="18"/>
                <w14:ligatures w14:val="none"/>
              </w:rPr>
              <w:t>1.17</w:t>
            </w:r>
          </w:p>
        </w:tc>
        <w:tc>
          <w:tcPr>
            <w:tcW w:w="901" w:type="pct"/>
            <w:vAlign w:val="center"/>
          </w:tcPr>
          <w:p w14:paraId="0031F637" w14:textId="77777777" w:rsidR="00276895" w:rsidRPr="00244990" w:rsidRDefault="00276895" w:rsidP="00885770">
            <w:pPr>
              <w:jc w:val="center"/>
              <w:rPr>
                <w:rFonts w:ascii="Times New Roman" w:eastAsia="SimSun" w:hAnsi="Times New Roman" w:cs="Times New Roman"/>
                <w:sz w:val="18"/>
                <w:szCs w:val="18"/>
                <w14:ligatures w14:val="none"/>
              </w:rPr>
            </w:pPr>
            <w:r w:rsidRPr="00244990">
              <w:rPr>
                <w:rFonts w:ascii="Times New Roman" w:eastAsia="SimSun" w:hAnsi="Times New Roman" w:cs="Times New Roman" w:hint="eastAsia"/>
                <w:sz w:val="18"/>
                <w:szCs w:val="18"/>
                <w14:ligatures w14:val="none"/>
              </w:rPr>
              <w:t>0.856207</w:t>
            </w:r>
          </w:p>
        </w:tc>
        <w:tc>
          <w:tcPr>
            <w:tcW w:w="1084" w:type="pct"/>
            <w:vAlign w:val="center"/>
          </w:tcPr>
          <w:p w14:paraId="17BF48CA" w14:textId="77777777" w:rsidR="00276895" w:rsidRPr="00244990" w:rsidRDefault="00276895" w:rsidP="00885770">
            <w:pPr>
              <w:rPr>
                <w:rFonts w:ascii="Times New Roman" w:eastAsia="SimSun" w:hAnsi="Times New Roman" w:cs="Times New Roman"/>
                <w:i/>
                <w:iCs/>
                <w:sz w:val="18"/>
                <w:szCs w:val="18"/>
                <w14:ligatures w14:val="none"/>
              </w:rPr>
            </w:pPr>
            <w:r w:rsidRPr="00244990">
              <w:rPr>
                <w:rFonts w:ascii="Times New Roman" w:eastAsia="SimSun" w:hAnsi="Times New Roman" w:cs="Times New Roman" w:hint="eastAsia"/>
                <w:i/>
                <w:iCs/>
                <w:sz w:val="18"/>
                <w:szCs w:val="18"/>
                <w14:ligatures w14:val="none"/>
              </w:rPr>
              <w:t>Big4</w:t>
            </w:r>
          </w:p>
        </w:tc>
        <w:tc>
          <w:tcPr>
            <w:tcW w:w="618" w:type="pct"/>
            <w:vAlign w:val="center"/>
          </w:tcPr>
          <w:p w14:paraId="205838B1" w14:textId="77777777" w:rsidR="00276895" w:rsidRPr="00244990" w:rsidRDefault="00276895" w:rsidP="00885770">
            <w:pPr>
              <w:jc w:val="center"/>
              <w:rPr>
                <w:rFonts w:ascii="Times New Roman" w:eastAsia="SimSun" w:hAnsi="Times New Roman" w:cs="Times New Roman"/>
                <w:sz w:val="18"/>
                <w:szCs w:val="18"/>
                <w14:ligatures w14:val="none"/>
              </w:rPr>
            </w:pPr>
            <w:r w:rsidRPr="00244990">
              <w:rPr>
                <w:rFonts w:ascii="Times New Roman" w:eastAsia="SimSun" w:hAnsi="Times New Roman" w:cs="Times New Roman" w:hint="eastAsia"/>
                <w:sz w:val="18"/>
                <w:szCs w:val="18"/>
                <w14:ligatures w14:val="none"/>
              </w:rPr>
              <w:t>1.18</w:t>
            </w:r>
          </w:p>
        </w:tc>
        <w:tc>
          <w:tcPr>
            <w:tcW w:w="901" w:type="pct"/>
            <w:vAlign w:val="center"/>
          </w:tcPr>
          <w:p w14:paraId="73838ED5" w14:textId="77777777" w:rsidR="00276895" w:rsidRPr="00244990" w:rsidRDefault="00276895" w:rsidP="00885770">
            <w:pPr>
              <w:jc w:val="center"/>
              <w:rPr>
                <w:rFonts w:ascii="Times New Roman" w:eastAsia="SimSun" w:hAnsi="Times New Roman" w:cs="Times New Roman"/>
                <w:sz w:val="18"/>
                <w:szCs w:val="18"/>
                <w14:ligatures w14:val="none"/>
              </w:rPr>
            </w:pPr>
            <w:r w:rsidRPr="00244990">
              <w:rPr>
                <w:rFonts w:ascii="Times New Roman" w:eastAsia="SimSun" w:hAnsi="Times New Roman" w:cs="Times New Roman" w:hint="eastAsia"/>
                <w:sz w:val="18"/>
                <w:szCs w:val="18"/>
                <w14:ligatures w14:val="none"/>
              </w:rPr>
              <w:t>0.850551</w:t>
            </w:r>
          </w:p>
        </w:tc>
      </w:tr>
      <w:tr w:rsidR="00276895" w:rsidRPr="00244990" w14:paraId="5480EA1D" w14:textId="77777777" w:rsidTr="00885770">
        <w:trPr>
          <w:trHeight w:val="283"/>
        </w:trPr>
        <w:tc>
          <w:tcPr>
            <w:tcW w:w="972" w:type="pct"/>
            <w:vAlign w:val="center"/>
          </w:tcPr>
          <w:p w14:paraId="68EFE8E0" w14:textId="77777777" w:rsidR="00276895" w:rsidRPr="00244990" w:rsidRDefault="00276895" w:rsidP="00885770">
            <w:pPr>
              <w:rPr>
                <w:rFonts w:ascii="Times New Roman" w:eastAsia="SimSun" w:hAnsi="Times New Roman" w:cs="Times New Roman"/>
                <w:i/>
                <w:iCs/>
                <w:sz w:val="18"/>
                <w:szCs w:val="18"/>
                <w14:ligatures w14:val="none"/>
              </w:rPr>
            </w:pPr>
            <w:r w:rsidRPr="00244990">
              <w:rPr>
                <w:rFonts w:ascii="Times New Roman" w:eastAsia="SimSun" w:hAnsi="Times New Roman" w:cs="Times New Roman" w:hint="eastAsia"/>
                <w:i/>
                <w:iCs/>
                <w:sz w:val="18"/>
                <w:szCs w:val="18"/>
                <w14:ligatures w14:val="none"/>
              </w:rPr>
              <w:t>Growth</w:t>
            </w:r>
          </w:p>
        </w:tc>
        <w:tc>
          <w:tcPr>
            <w:tcW w:w="524" w:type="pct"/>
            <w:vAlign w:val="center"/>
          </w:tcPr>
          <w:p w14:paraId="56C5DB00" w14:textId="77777777" w:rsidR="00276895" w:rsidRPr="00244990" w:rsidRDefault="00276895" w:rsidP="00885770">
            <w:pPr>
              <w:jc w:val="center"/>
              <w:rPr>
                <w:rFonts w:ascii="Times New Roman" w:eastAsia="SimSun" w:hAnsi="Times New Roman" w:cs="Times New Roman"/>
                <w:sz w:val="18"/>
                <w:szCs w:val="18"/>
                <w14:ligatures w14:val="none"/>
              </w:rPr>
            </w:pPr>
            <w:r w:rsidRPr="00244990">
              <w:rPr>
                <w:rFonts w:ascii="Times New Roman" w:eastAsia="SimSun" w:hAnsi="Times New Roman" w:cs="Times New Roman" w:hint="eastAsia"/>
                <w:sz w:val="18"/>
                <w:szCs w:val="18"/>
                <w14:ligatures w14:val="none"/>
              </w:rPr>
              <w:t>1.14</w:t>
            </w:r>
          </w:p>
        </w:tc>
        <w:tc>
          <w:tcPr>
            <w:tcW w:w="901" w:type="pct"/>
            <w:vAlign w:val="center"/>
          </w:tcPr>
          <w:p w14:paraId="7F6F71FA" w14:textId="77777777" w:rsidR="00276895" w:rsidRPr="00244990" w:rsidRDefault="00276895" w:rsidP="00885770">
            <w:pPr>
              <w:jc w:val="center"/>
              <w:rPr>
                <w:rFonts w:ascii="Times New Roman" w:eastAsia="SimSun" w:hAnsi="Times New Roman" w:cs="Times New Roman"/>
                <w:sz w:val="18"/>
                <w:szCs w:val="18"/>
                <w14:ligatures w14:val="none"/>
              </w:rPr>
            </w:pPr>
            <w:r w:rsidRPr="00244990">
              <w:rPr>
                <w:rFonts w:ascii="Times New Roman" w:eastAsia="SimSun" w:hAnsi="Times New Roman" w:cs="Times New Roman" w:hint="eastAsia"/>
                <w:sz w:val="18"/>
                <w:szCs w:val="18"/>
                <w14:ligatures w14:val="none"/>
              </w:rPr>
              <w:t>0.880655</w:t>
            </w:r>
          </w:p>
        </w:tc>
        <w:tc>
          <w:tcPr>
            <w:tcW w:w="1084" w:type="pct"/>
            <w:vAlign w:val="center"/>
          </w:tcPr>
          <w:p w14:paraId="717481FF" w14:textId="77777777" w:rsidR="00276895" w:rsidRPr="00244990" w:rsidRDefault="00276895" w:rsidP="00885770">
            <w:pPr>
              <w:rPr>
                <w:rFonts w:ascii="Times New Roman" w:eastAsia="SimSun" w:hAnsi="Times New Roman" w:cs="Times New Roman"/>
                <w:i/>
                <w:iCs/>
                <w:sz w:val="18"/>
                <w:szCs w:val="18"/>
                <w14:ligatures w14:val="none"/>
              </w:rPr>
            </w:pPr>
            <w:r w:rsidRPr="00244990">
              <w:rPr>
                <w:rFonts w:ascii="Times New Roman" w:eastAsia="SimSun" w:hAnsi="Times New Roman" w:cs="Times New Roman" w:hint="eastAsia"/>
                <w:i/>
                <w:iCs/>
                <w:sz w:val="18"/>
                <w:szCs w:val="18"/>
                <w14:ligatures w14:val="none"/>
              </w:rPr>
              <w:t>Growth</w:t>
            </w:r>
          </w:p>
        </w:tc>
        <w:tc>
          <w:tcPr>
            <w:tcW w:w="618" w:type="pct"/>
            <w:vAlign w:val="center"/>
          </w:tcPr>
          <w:p w14:paraId="1DAC0F59" w14:textId="77777777" w:rsidR="00276895" w:rsidRPr="00244990" w:rsidRDefault="00276895" w:rsidP="00885770">
            <w:pPr>
              <w:jc w:val="center"/>
              <w:rPr>
                <w:rFonts w:ascii="Times New Roman" w:eastAsia="SimSun" w:hAnsi="Times New Roman" w:cs="Times New Roman"/>
                <w:sz w:val="18"/>
                <w:szCs w:val="18"/>
                <w14:ligatures w14:val="none"/>
              </w:rPr>
            </w:pPr>
            <w:r w:rsidRPr="00244990">
              <w:rPr>
                <w:rFonts w:ascii="Times New Roman" w:eastAsia="SimSun" w:hAnsi="Times New Roman" w:cs="Times New Roman" w:hint="eastAsia"/>
                <w:sz w:val="18"/>
                <w:szCs w:val="18"/>
                <w14:ligatures w14:val="none"/>
              </w:rPr>
              <w:t>1.14</w:t>
            </w:r>
          </w:p>
        </w:tc>
        <w:tc>
          <w:tcPr>
            <w:tcW w:w="901" w:type="pct"/>
            <w:vAlign w:val="center"/>
          </w:tcPr>
          <w:p w14:paraId="6CD5789C" w14:textId="77777777" w:rsidR="00276895" w:rsidRPr="00244990" w:rsidRDefault="00276895" w:rsidP="00885770">
            <w:pPr>
              <w:jc w:val="center"/>
              <w:rPr>
                <w:rFonts w:ascii="Times New Roman" w:eastAsia="SimSun" w:hAnsi="Times New Roman" w:cs="Times New Roman"/>
                <w:sz w:val="18"/>
                <w:szCs w:val="18"/>
                <w14:ligatures w14:val="none"/>
              </w:rPr>
            </w:pPr>
            <w:r w:rsidRPr="00244990">
              <w:rPr>
                <w:rFonts w:ascii="Times New Roman" w:eastAsia="SimSun" w:hAnsi="Times New Roman" w:cs="Times New Roman" w:hint="eastAsia"/>
                <w:sz w:val="18"/>
                <w:szCs w:val="18"/>
                <w14:ligatures w14:val="none"/>
              </w:rPr>
              <w:t>0.878855</w:t>
            </w:r>
          </w:p>
        </w:tc>
      </w:tr>
      <w:tr w:rsidR="00276895" w:rsidRPr="00244990" w14:paraId="25AFB4D9" w14:textId="77777777" w:rsidTr="00885770">
        <w:trPr>
          <w:trHeight w:val="283"/>
        </w:trPr>
        <w:tc>
          <w:tcPr>
            <w:tcW w:w="972" w:type="pct"/>
            <w:vAlign w:val="center"/>
          </w:tcPr>
          <w:p w14:paraId="70A234AC" w14:textId="77777777" w:rsidR="00276895" w:rsidRPr="00244990" w:rsidRDefault="00276895" w:rsidP="00885770">
            <w:pPr>
              <w:rPr>
                <w:rFonts w:ascii="Times New Roman" w:eastAsia="SimSun" w:hAnsi="Times New Roman" w:cs="Times New Roman"/>
                <w:i/>
                <w:iCs/>
                <w:sz w:val="18"/>
                <w:szCs w:val="18"/>
                <w14:ligatures w14:val="none"/>
              </w:rPr>
            </w:pPr>
            <w:r w:rsidRPr="00244990">
              <w:rPr>
                <w:rFonts w:ascii="Times New Roman" w:eastAsia="SimSun" w:hAnsi="Times New Roman" w:cs="Times New Roman" w:hint="eastAsia"/>
                <w:i/>
                <w:iCs/>
                <w:sz w:val="18"/>
                <w:szCs w:val="18"/>
                <w14:ligatures w14:val="none"/>
              </w:rPr>
              <w:t>Dual</w:t>
            </w:r>
          </w:p>
        </w:tc>
        <w:tc>
          <w:tcPr>
            <w:tcW w:w="524" w:type="pct"/>
            <w:vAlign w:val="center"/>
          </w:tcPr>
          <w:p w14:paraId="19CB9808" w14:textId="77777777" w:rsidR="00276895" w:rsidRPr="00244990" w:rsidRDefault="00276895" w:rsidP="00885770">
            <w:pPr>
              <w:jc w:val="center"/>
              <w:rPr>
                <w:rFonts w:ascii="Times New Roman" w:eastAsia="SimSun" w:hAnsi="Times New Roman" w:cs="Times New Roman"/>
                <w:sz w:val="18"/>
                <w:szCs w:val="18"/>
                <w14:ligatures w14:val="none"/>
              </w:rPr>
            </w:pPr>
            <w:r w:rsidRPr="00244990">
              <w:rPr>
                <w:rFonts w:ascii="Times New Roman" w:eastAsia="SimSun" w:hAnsi="Times New Roman" w:cs="Times New Roman" w:hint="eastAsia"/>
                <w:sz w:val="18"/>
                <w:szCs w:val="18"/>
                <w14:ligatures w14:val="none"/>
              </w:rPr>
              <w:t>1.09</w:t>
            </w:r>
          </w:p>
        </w:tc>
        <w:tc>
          <w:tcPr>
            <w:tcW w:w="901" w:type="pct"/>
            <w:vAlign w:val="center"/>
          </w:tcPr>
          <w:p w14:paraId="329433F6" w14:textId="77777777" w:rsidR="00276895" w:rsidRPr="00244990" w:rsidRDefault="00276895" w:rsidP="00885770">
            <w:pPr>
              <w:jc w:val="center"/>
              <w:rPr>
                <w:rFonts w:ascii="Times New Roman" w:eastAsia="SimSun" w:hAnsi="Times New Roman" w:cs="Times New Roman"/>
                <w:sz w:val="18"/>
                <w:szCs w:val="18"/>
                <w14:ligatures w14:val="none"/>
              </w:rPr>
            </w:pPr>
            <w:r w:rsidRPr="00244990">
              <w:rPr>
                <w:rFonts w:ascii="Times New Roman" w:eastAsia="SimSun" w:hAnsi="Times New Roman" w:cs="Times New Roman" w:hint="eastAsia"/>
                <w:sz w:val="18"/>
                <w:szCs w:val="18"/>
                <w14:ligatures w14:val="none"/>
              </w:rPr>
              <w:t>0.917845</w:t>
            </w:r>
          </w:p>
        </w:tc>
        <w:tc>
          <w:tcPr>
            <w:tcW w:w="1084" w:type="pct"/>
            <w:vAlign w:val="center"/>
          </w:tcPr>
          <w:p w14:paraId="7A9A4206" w14:textId="77777777" w:rsidR="00276895" w:rsidRPr="00244990" w:rsidRDefault="00276895" w:rsidP="00885770">
            <w:pPr>
              <w:rPr>
                <w:rFonts w:ascii="Times New Roman" w:eastAsia="SimSun" w:hAnsi="Times New Roman" w:cs="Times New Roman"/>
                <w:i/>
                <w:iCs/>
                <w:sz w:val="18"/>
                <w:szCs w:val="18"/>
                <w14:ligatures w14:val="none"/>
              </w:rPr>
            </w:pPr>
            <w:r w:rsidRPr="00244990">
              <w:rPr>
                <w:rFonts w:ascii="Times New Roman" w:eastAsia="SimSun" w:hAnsi="Times New Roman" w:cs="Times New Roman" w:hint="eastAsia"/>
                <w:i/>
                <w:iCs/>
                <w:sz w:val="18"/>
                <w:szCs w:val="18"/>
                <w14:ligatures w14:val="none"/>
              </w:rPr>
              <w:t>Age</w:t>
            </w:r>
          </w:p>
        </w:tc>
        <w:tc>
          <w:tcPr>
            <w:tcW w:w="618" w:type="pct"/>
            <w:vAlign w:val="center"/>
          </w:tcPr>
          <w:p w14:paraId="0AE3E255" w14:textId="77777777" w:rsidR="00276895" w:rsidRPr="00244990" w:rsidRDefault="00276895" w:rsidP="00885770">
            <w:pPr>
              <w:jc w:val="center"/>
              <w:rPr>
                <w:rFonts w:ascii="Times New Roman" w:eastAsia="SimSun" w:hAnsi="Times New Roman" w:cs="Times New Roman"/>
                <w:sz w:val="18"/>
                <w:szCs w:val="18"/>
                <w14:ligatures w14:val="none"/>
              </w:rPr>
            </w:pPr>
            <w:r w:rsidRPr="00244990">
              <w:rPr>
                <w:rFonts w:ascii="Times New Roman" w:eastAsia="SimSun" w:hAnsi="Times New Roman" w:cs="Times New Roman" w:hint="eastAsia"/>
                <w:sz w:val="18"/>
                <w:szCs w:val="18"/>
                <w14:ligatures w14:val="none"/>
              </w:rPr>
              <w:t>1.09</w:t>
            </w:r>
          </w:p>
        </w:tc>
        <w:tc>
          <w:tcPr>
            <w:tcW w:w="901" w:type="pct"/>
            <w:vAlign w:val="center"/>
          </w:tcPr>
          <w:p w14:paraId="636E9DFC" w14:textId="77777777" w:rsidR="00276895" w:rsidRPr="00244990" w:rsidRDefault="00276895" w:rsidP="00885770">
            <w:pPr>
              <w:jc w:val="center"/>
              <w:rPr>
                <w:rFonts w:ascii="Times New Roman" w:eastAsia="SimSun" w:hAnsi="Times New Roman" w:cs="Times New Roman"/>
                <w:sz w:val="18"/>
                <w:szCs w:val="18"/>
                <w14:ligatures w14:val="none"/>
              </w:rPr>
            </w:pPr>
            <w:r w:rsidRPr="00244990">
              <w:rPr>
                <w:rFonts w:ascii="Times New Roman" w:eastAsia="SimSun" w:hAnsi="Times New Roman" w:cs="Times New Roman" w:hint="eastAsia"/>
                <w:sz w:val="18"/>
                <w:szCs w:val="18"/>
                <w14:ligatures w14:val="none"/>
              </w:rPr>
              <w:t>0.913321</w:t>
            </w:r>
          </w:p>
        </w:tc>
      </w:tr>
      <w:tr w:rsidR="00276895" w:rsidRPr="00244990" w14:paraId="4902BEB0" w14:textId="77777777" w:rsidTr="00885770">
        <w:trPr>
          <w:trHeight w:val="283"/>
        </w:trPr>
        <w:tc>
          <w:tcPr>
            <w:tcW w:w="972" w:type="pct"/>
            <w:vAlign w:val="center"/>
          </w:tcPr>
          <w:p w14:paraId="60B9BCAD" w14:textId="77777777" w:rsidR="00276895" w:rsidRPr="00244990" w:rsidRDefault="00276895" w:rsidP="00885770">
            <w:pPr>
              <w:rPr>
                <w:rFonts w:ascii="Times New Roman" w:eastAsia="SimSun" w:hAnsi="Times New Roman" w:cs="Times New Roman"/>
                <w:i/>
                <w:iCs/>
                <w:sz w:val="18"/>
                <w:szCs w:val="18"/>
                <w14:ligatures w14:val="none"/>
              </w:rPr>
            </w:pPr>
            <w:r w:rsidRPr="00244990">
              <w:rPr>
                <w:rFonts w:ascii="Times New Roman" w:eastAsia="SimSun" w:hAnsi="Times New Roman" w:cs="Times New Roman" w:hint="eastAsia"/>
                <w:i/>
                <w:iCs/>
                <w:sz w:val="18"/>
                <w:szCs w:val="18"/>
                <w14:ligatures w14:val="none"/>
              </w:rPr>
              <w:t>Age</w:t>
            </w:r>
          </w:p>
        </w:tc>
        <w:tc>
          <w:tcPr>
            <w:tcW w:w="524" w:type="pct"/>
            <w:vAlign w:val="center"/>
          </w:tcPr>
          <w:p w14:paraId="50881C80" w14:textId="77777777" w:rsidR="00276895" w:rsidRPr="00244990" w:rsidRDefault="00276895" w:rsidP="00885770">
            <w:pPr>
              <w:jc w:val="center"/>
              <w:rPr>
                <w:rFonts w:ascii="Times New Roman" w:eastAsia="SimSun" w:hAnsi="Times New Roman" w:cs="Times New Roman"/>
                <w:sz w:val="18"/>
                <w:szCs w:val="18"/>
                <w14:ligatures w14:val="none"/>
              </w:rPr>
            </w:pPr>
            <w:r w:rsidRPr="00244990">
              <w:rPr>
                <w:rFonts w:ascii="Times New Roman" w:eastAsia="SimSun" w:hAnsi="Times New Roman" w:cs="Times New Roman" w:hint="eastAsia"/>
                <w:sz w:val="18"/>
                <w:szCs w:val="18"/>
                <w14:ligatures w14:val="none"/>
              </w:rPr>
              <w:t>1.09</w:t>
            </w:r>
          </w:p>
        </w:tc>
        <w:tc>
          <w:tcPr>
            <w:tcW w:w="901" w:type="pct"/>
            <w:vAlign w:val="center"/>
          </w:tcPr>
          <w:p w14:paraId="10BA4AAC" w14:textId="77777777" w:rsidR="00276895" w:rsidRPr="00244990" w:rsidRDefault="00276895" w:rsidP="00885770">
            <w:pPr>
              <w:jc w:val="center"/>
              <w:rPr>
                <w:rFonts w:ascii="Times New Roman" w:eastAsia="SimSun" w:hAnsi="Times New Roman" w:cs="Times New Roman"/>
                <w:sz w:val="18"/>
                <w:szCs w:val="18"/>
                <w14:ligatures w14:val="none"/>
              </w:rPr>
            </w:pPr>
            <w:r w:rsidRPr="00244990">
              <w:rPr>
                <w:rFonts w:ascii="Times New Roman" w:eastAsia="SimSun" w:hAnsi="Times New Roman" w:cs="Times New Roman" w:hint="eastAsia"/>
                <w:sz w:val="18"/>
                <w:szCs w:val="18"/>
                <w14:ligatures w14:val="none"/>
              </w:rPr>
              <w:t>0.918291</w:t>
            </w:r>
          </w:p>
        </w:tc>
        <w:tc>
          <w:tcPr>
            <w:tcW w:w="1084" w:type="pct"/>
            <w:vAlign w:val="center"/>
          </w:tcPr>
          <w:p w14:paraId="55CF58BD" w14:textId="77777777" w:rsidR="00276895" w:rsidRPr="00244990" w:rsidRDefault="00276895" w:rsidP="00885770">
            <w:pPr>
              <w:rPr>
                <w:rFonts w:ascii="Times New Roman" w:eastAsia="SimSun" w:hAnsi="Times New Roman" w:cs="Times New Roman"/>
                <w:i/>
                <w:iCs/>
                <w:sz w:val="18"/>
                <w:szCs w:val="18"/>
                <w14:ligatures w14:val="none"/>
              </w:rPr>
            </w:pPr>
            <w:r w:rsidRPr="00244990">
              <w:rPr>
                <w:rFonts w:ascii="Times New Roman" w:eastAsia="SimSun" w:hAnsi="Times New Roman" w:cs="Times New Roman" w:hint="eastAsia"/>
                <w:i/>
                <w:iCs/>
                <w:sz w:val="18"/>
                <w:szCs w:val="18"/>
                <w14:ligatures w14:val="none"/>
              </w:rPr>
              <w:t>Dual</w:t>
            </w:r>
          </w:p>
        </w:tc>
        <w:tc>
          <w:tcPr>
            <w:tcW w:w="618" w:type="pct"/>
            <w:vAlign w:val="center"/>
          </w:tcPr>
          <w:p w14:paraId="0E8C239A" w14:textId="77777777" w:rsidR="00276895" w:rsidRPr="00244990" w:rsidRDefault="00276895" w:rsidP="00885770">
            <w:pPr>
              <w:jc w:val="center"/>
              <w:rPr>
                <w:rFonts w:ascii="Times New Roman" w:eastAsia="SimSun" w:hAnsi="Times New Roman" w:cs="Times New Roman"/>
                <w:sz w:val="18"/>
                <w:szCs w:val="18"/>
                <w14:ligatures w14:val="none"/>
              </w:rPr>
            </w:pPr>
            <w:r w:rsidRPr="00244990">
              <w:rPr>
                <w:rFonts w:ascii="Times New Roman" w:eastAsia="SimSun" w:hAnsi="Times New Roman" w:cs="Times New Roman" w:hint="eastAsia"/>
                <w:sz w:val="18"/>
                <w:szCs w:val="18"/>
                <w14:ligatures w14:val="none"/>
              </w:rPr>
              <w:t>1.09</w:t>
            </w:r>
          </w:p>
        </w:tc>
        <w:tc>
          <w:tcPr>
            <w:tcW w:w="901" w:type="pct"/>
            <w:vAlign w:val="center"/>
          </w:tcPr>
          <w:p w14:paraId="313E95BA" w14:textId="77777777" w:rsidR="00276895" w:rsidRPr="00244990" w:rsidRDefault="00276895" w:rsidP="00885770">
            <w:pPr>
              <w:jc w:val="center"/>
              <w:rPr>
                <w:rFonts w:ascii="Times New Roman" w:eastAsia="SimSun" w:hAnsi="Times New Roman" w:cs="Times New Roman"/>
                <w:sz w:val="18"/>
                <w:szCs w:val="18"/>
                <w14:ligatures w14:val="none"/>
              </w:rPr>
            </w:pPr>
            <w:r w:rsidRPr="00244990">
              <w:rPr>
                <w:rFonts w:ascii="Times New Roman" w:eastAsia="SimSun" w:hAnsi="Times New Roman" w:cs="Times New Roman" w:hint="eastAsia"/>
                <w:sz w:val="18"/>
                <w:szCs w:val="18"/>
                <w14:ligatures w14:val="none"/>
              </w:rPr>
              <w:t>0.917653</w:t>
            </w:r>
          </w:p>
        </w:tc>
      </w:tr>
      <w:tr w:rsidR="00276895" w:rsidRPr="00244990" w14:paraId="416A9179" w14:textId="77777777" w:rsidTr="00885770">
        <w:trPr>
          <w:trHeight w:val="283"/>
        </w:trPr>
        <w:tc>
          <w:tcPr>
            <w:tcW w:w="972" w:type="pct"/>
            <w:vAlign w:val="center"/>
          </w:tcPr>
          <w:p w14:paraId="095A2FAC" w14:textId="77777777" w:rsidR="00276895" w:rsidRPr="00244990" w:rsidRDefault="00276895" w:rsidP="00885770">
            <w:pPr>
              <w:rPr>
                <w:rFonts w:ascii="Times New Roman" w:eastAsia="SimSun" w:hAnsi="Times New Roman" w:cs="Times New Roman"/>
                <w:i/>
                <w:iCs/>
                <w:sz w:val="18"/>
                <w:szCs w:val="18"/>
                <w14:ligatures w14:val="none"/>
              </w:rPr>
            </w:pPr>
            <w:r w:rsidRPr="00244990">
              <w:rPr>
                <w:rFonts w:ascii="Times New Roman" w:eastAsia="SimSun" w:hAnsi="Times New Roman" w:cs="Times New Roman" w:hint="eastAsia"/>
                <w:i/>
                <w:iCs/>
                <w:sz w:val="18"/>
                <w:szCs w:val="18"/>
                <w14:ligatures w14:val="none"/>
              </w:rPr>
              <w:t>DA</w:t>
            </w:r>
          </w:p>
        </w:tc>
        <w:tc>
          <w:tcPr>
            <w:tcW w:w="524" w:type="pct"/>
            <w:vAlign w:val="center"/>
          </w:tcPr>
          <w:p w14:paraId="63E382C5" w14:textId="77777777" w:rsidR="00276895" w:rsidRPr="00244990" w:rsidRDefault="00276895" w:rsidP="00885770">
            <w:pPr>
              <w:jc w:val="center"/>
              <w:rPr>
                <w:rFonts w:ascii="Times New Roman" w:eastAsia="SimSun" w:hAnsi="Times New Roman" w:cs="Times New Roman"/>
                <w:sz w:val="18"/>
                <w:szCs w:val="18"/>
                <w14:ligatures w14:val="none"/>
              </w:rPr>
            </w:pPr>
            <w:r w:rsidRPr="00244990">
              <w:rPr>
                <w:rFonts w:ascii="Times New Roman" w:eastAsia="SimSun" w:hAnsi="Times New Roman" w:cs="Times New Roman" w:hint="eastAsia"/>
                <w:sz w:val="18"/>
                <w:szCs w:val="18"/>
                <w14:ligatures w14:val="none"/>
              </w:rPr>
              <w:t>1.09</w:t>
            </w:r>
          </w:p>
        </w:tc>
        <w:tc>
          <w:tcPr>
            <w:tcW w:w="901" w:type="pct"/>
            <w:vAlign w:val="center"/>
          </w:tcPr>
          <w:p w14:paraId="2A1C9CA1" w14:textId="77777777" w:rsidR="00276895" w:rsidRPr="00244990" w:rsidRDefault="00276895" w:rsidP="00885770">
            <w:pPr>
              <w:jc w:val="center"/>
              <w:rPr>
                <w:rFonts w:ascii="Times New Roman" w:eastAsia="SimSun" w:hAnsi="Times New Roman" w:cs="Times New Roman"/>
                <w:sz w:val="18"/>
                <w:szCs w:val="18"/>
                <w14:ligatures w14:val="none"/>
              </w:rPr>
            </w:pPr>
            <w:r w:rsidRPr="00244990">
              <w:rPr>
                <w:rFonts w:ascii="Times New Roman" w:eastAsia="SimSun" w:hAnsi="Times New Roman" w:cs="Times New Roman" w:hint="eastAsia"/>
                <w:sz w:val="18"/>
                <w:szCs w:val="18"/>
                <w14:ligatures w14:val="none"/>
              </w:rPr>
              <w:t>0.919180</w:t>
            </w:r>
          </w:p>
        </w:tc>
        <w:tc>
          <w:tcPr>
            <w:tcW w:w="1084" w:type="pct"/>
            <w:vAlign w:val="center"/>
          </w:tcPr>
          <w:p w14:paraId="26B196E5" w14:textId="77777777" w:rsidR="00276895" w:rsidRPr="00244990" w:rsidRDefault="00276895" w:rsidP="00885770">
            <w:pPr>
              <w:rPr>
                <w:rFonts w:ascii="Times New Roman" w:eastAsia="SimSun" w:hAnsi="Times New Roman" w:cs="Times New Roman"/>
                <w:i/>
                <w:iCs/>
                <w:sz w:val="18"/>
                <w:szCs w:val="18"/>
                <w14:ligatures w14:val="none"/>
              </w:rPr>
            </w:pPr>
            <w:r w:rsidRPr="00244990">
              <w:rPr>
                <w:rFonts w:ascii="Times New Roman" w:eastAsia="SimSun" w:hAnsi="Times New Roman" w:cs="Times New Roman" w:hint="eastAsia"/>
                <w:i/>
                <w:iCs/>
                <w:sz w:val="18"/>
                <w:szCs w:val="18"/>
                <w14:ligatures w14:val="none"/>
              </w:rPr>
              <w:t>DA</w:t>
            </w:r>
          </w:p>
        </w:tc>
        <w:tc>
          <w:tcPr>
            <w:tcW w:w="618" w:type="pct"/>
            <w:vAlign w:val="center"/>
          </w:tcPr>
          <w:p w14:paraId="05F690D5" w14:textId="77777777" w:rsidR="00276895" w:rsidRPr="00244990" w:rsidRDefault="00276895" w:rsidP="00885770">
            <w:pPr>
              <w:jc w:val="center"/>
              <w:rPr>
                <w:rFonts w:ascii="Times New Roman" w:eastAsia="SimSun" w:hAnsi="Times New Roman" w:cs="Times New Roman"/>
                <w:sz w:val="18"/>
                <w:szCs w:val="18"/>
                <w14:ligatures w14:val="none"/>
              </w:rPr>
            </w:pPr>
            <w:r w:rsidRPr="00244990">
              <w:rPr>
                <w:rFonts w:ascii="Times New Roman" w:eastAsia="SimSun" w:hAnsi="Times New Roman" w:cs="Times New Roman" w:hint="eastAsia"/>
                <w:sz w:val="18"/>
                <w:szCs w:val="18"/>
                <w14:ligatures w14:val="none"/>
              </w:rPr>
              <w:t>1.09</w:t>
            </w:r>
          </w:p>
        </w:tc>
        <w:tc>
          <w:tcPr>
            <w:tcW w:w="901" w:type="pct"/>
            <w:vAlign w:val="center"/>
          </w:tcPr>
          <w:p w14:paraId="5F1EF359" w14:textId="77777777" w:rsidR="00276895" w:rsidRPr="00244990" w:rsidRDefault="00276895" w:rsidP="00885770">
            <w:pPr>
              <w:jc w:val="center"/>
              <w:rPr>
                <w:rFonts w:ascii="Times New Roman" w:eastAsia="SimSun" w:hAnsi="Times New Roman" w:cs="Times New Roman"/>
                <w:sz w:val="18"/>
                <w:szCs w:val="18"/>
                <w14:ligatures w14:val="none"/>
              </w:rPr>
            </w:pPr>
            <w:r w:rsidRPr="00244990">
              <w:rPr>
                <w:rFonts w:ascii="Times New Roman" w:eastAsia="SimSun" w:hAnsi="Times New Roman" w:cs="Times New Roman" w:hint="eastAsia"/>
                <w:sz w:val="18"/>
                <w:szCs w:val="18"/>
                <w14:ligatures w14:val="none"/>
              </w:rPr>
              <w:t>0.919077</w:t>
            </w:r>
          </w:p>
        </w:tc>
      </w:tr>
      <w:tr w:rsidR="00276895" w:rsidRPr="00244990" w14:paraId="1EF0A007" w14:textId="77777777" w:rsidTr="00885770">
        <w:trPr>
          <w:trHeight w:val="283"/>
        </w:trPr>
        <w:tc>
          <w:tcPr>
            <w:tcW w:w="972" w:type="pct"/>
            <w:vAlign w:val="center"/>
          </w:tcPr>
          <w:p w14:paraId="305B9744" w14:textId="77777777" w:rsidR="00276895" w:rsidRPr="00244990" w:rsidRDefault="00276895" w:rsidP="00885770">
            <w:pPr>
              <w:rPr>
                <w:rFonts w:ascii="Times New Roman" w:eastAsia="SimSun" w:hAnsi="Times New Roman" w:cs="Times New Roman"/>
                <w:i/>
                <w:iCs/>
                <w:sz w:val="18"/>
                <w:szCs w:val="18"/>
                <w14:ligatures w14:val="none"/>
              </w:rPr>
            </w:pPr>
            <w:r w:rsidRPr="00244990">
              <w:rPr>
                <w:rFonts w:ascii="Times New Roman" w:eastAsia="SimSun" w:hAnsi="Times New Roman" w:cs="Times New Roman" w:hint="eastAsia"/>
                <w:i/>
                <w:iCs/>
                <w:sz w:val="18"/>
                <w:szCs w:val="18"/>
                <w14:ligatures w14:val="none"/>
              </w:rPr>
              <w:t>Dir</w:t>
            </w:r>
          </w:p>
        </w:tc>
        <w:tc>
          <w:tcPr>
            <w:tcW w:w="524" w:type="pct"/>
            <w:vAlign w:val="center"/>
          </w:tcPr>
          <w:p w14:paraId="44C6CA0B" w14:textId="77777777" w:rsidR="00276895" w:rsidRPr="00244990" w:rsidRDefault="00276895" w:rsidP="00885770">
            <w:pPr>
              <w:jc w:val="center"/>
              <w:rPr>
                <w:rFonts w:ascii="Times New Roman" w:eastAsia="SimSun" w:hAnsi="Times New Roman" w:cs="Times New Roman"/>
                <w:sz w:val="18"/>
                <w:szCs w:val="18"/>
                <w14:ligatures w14:val="none"/>
              </w:rPr>
            </w:pPr>
            <w:r w:rsidRPr="00244990">
              <w:rPr>
                <w:rFonts w:ascii="Times New Roman" w:eastAsia="SimSun" w:hAnsi="Times New Roman" w:cs="Times New Roman" w:hint="eastAsia"/>
                <w:sz w:val="18"/>
                <w:szCs w:val="18"/>
                <w14:ligatures w14:val="none"/>
              </w:rPr>
              <w:t>1.03</w:t>
            </w:r>
          </w:p>
        </w:tc>
        <w:tc>
          <w:tcPr>
            <w:tcW w:w="901" w:type="pct"/>
            <w:vAlign w:val="center"/>
          </w:tcPr>
          <w:p w14:paraId="1941E6A2" w14:textId="77777777" w:rsidR="00276895" w:rsidRPr="00244990" w:rsidRDefault="00276895" w:rsidP="00885770">
            <w:pPr>
              <w:jc w:val="center"/>
              <w:rPr>
                <w:rFonts w:ascii="Times New Roman" w:eastAsia="SimSun" w:hAnsi="Times New Roman" w:cs="Times New Roman"/>
                <w:sz w:val="18"/>
                <w:szCs w:val="18"/>
                <w14:ligatures w14:val="none"/>
              </w:rPr>
            </w:pPr>
            <w:r w:rsidRPr="00244990">
              <w:rPr>
                <w:rFonts w:ascii="Times New Roman" w:eastAsia="SimSun" w:hAnsi="Times New Roman" w:cs="Times New Roman" w:hint="eastAsia"/>
                <w:sz w:val="18"/>
                <w:szCs w:val="18"/>
                <w14:ligatures w14:val="none"/>
              </w:rPr>
              <w:t>0.966481</w:t>
            </w:r>
          </w:p>
        </w:tc>
        <w:tc>
          <w:tcPr>
            <w:tcW w:w="1084" w:type="pct"/>
            <w:vAlign w:val="center"/>
          </w:tcPr>
          <w:p w14:paraId="10399824" w14:textId="77777777" w:rsidR="00276895" w:rsidRPr="00244990" w:rsidRDefault="00276895" w:rsidP="00885770">
            <w:pPr>
              <w:rPr>
                <w:rFonts w:ascii="Times New Roman" w:eastAsia="SimSun" w:hAnsi="Times New Roman" w:cs="Times New Roman"/>
                <w:i/>
                <w:iCs/>
                <w:sz w:val="18"/>
                <w:szCs w:val="18"/>
                <w14:ligatures w14:val="none"/>
              </w:rPr>
            </w:pPr>
            <w:r w:rsidRPr="00244990">
              <w:rPr>
                <w:rFonts w:ascii="Times New Roman" w:eastAsia="SimSun" w:hAnsi="Times New Roman" w:cs="Times New Roman" w:hint="eastAsia"/>
                <w:i/>
                <w:iCs/>
                <w:sz w:val="18"/>
                <w:szCs w:val="18"/>
                <w14:ligatures w14:val="none"/>
              </w:rPr>
              <w:t>Dir</w:t>
            </w:r>
          </w:p>
        </w:tc>
        <w:tc>
          <w:tcPr>
            <w:tcW w:w="618" w:type="pct"/>
            <w:vAlign w:val="center"/>
          </w:tcPr>
          <w:p w14:paraId="0C8E54E7" w14:textId="77777777" w:rsidR="00276895" w:rsidRPr="00244990" w:rsidRDefault="00276895" w:rsidP="00885770">
            <w:pPr>
              <w:jc w:val="center"/>
              <w:rPr>
                <w:rFonts w:ascii="Times New Roman" w:eastAsia="SimSun" w:hAnsi="Times New Roman" w:cs="Times New Roman"/>
                <w:sz w:val="18"/>
                <w:szCs w:val="18"/>
                <w14:ligatures w14:val="none"/>
              </w:rPr>
            </w:pPr>
            <w:r w:rsidRPr="00244990">
              <w:rPr>
                <w:rFonts w:ascii="Times New Roman" w:eastAsia="SimSun" w:hAnsi="Times New Roman" w:cs="Times New Roman" w:hint="eastAsia"/>
                <w:sz w:val="18"/>
                <w:szCs w:val="18"/>
                <w14:ligatures w14:val="none"/>
              </w:rPr>
              <w:t>1.04</w:t>
            </w:r>
          </w:p>
        </w:tc>
        <w:tc>
          <w:tcPr>
            <w:tcW w:w="901" w:type="pct"/>
            <w:vAlign w:val="center"/>
          </w:tcPr>
          <w:p w14:paraId="4B5BE1C2" w14:textId="77777777" w:rsidR="00276895" w:rsidRPr="00244990" w:rsidRDefault="00276895" w:rsidP="00885770">
            <w:pPr>
              <w:jc w:val="center"/>
              <w:rPr>
                <w:rFonts w:ascii="Times New Roman" w:eastAsia="SimSun" w:hAnsi="Times New Roman" w:cs="Times New Roman"/>
                <w:sz w:val="18"/>
                <w:szCs w:val="18"/>
                <w14:ligatures w14:val="none"/>
              </w:rPr>
            </w:pPr>
            <w:r w:rsidRPr="00244990">
              <w:rPr>
                <w:rFonts w:ascii="Times New Roman" w:eastAsia="SimSun" w:hAnsi="Times New Roman" w:cs="Times New Roman" w:hint="eastAsia"/>
                <w:sz w:val="18"/>
                <w:szCs w:val="18"/>
                <w14:ligatures w14:val="none"/>
              </w:rPr>
              <w:t>0.965511</w:t>
            </w:r>
          </w:p>
        </w:tc>
      </w:tr>
      <w:tr w:rsidR="00276895" w:rsidRPr="00244990" w14:paraId="6DDC0D53" w14:textId="77777777" w:rsidTr="00885770">
        <w:trPr>
          <w:trHeight w:val="283"/>
        </w:trPr>
        <w:tc>
          <w:tcPr>
            <w:tcW w:w="972" w:type="pct"/>
            <w:tcBorders>
              <w:bottom w:val="single" w:sz="8" w:space="0" w:color="auto"/>
            </w:tcBorders>
            <w:vAlign w:val="center"/>
          </w:tcPr>
          <w:p w14:paraId="1037EA23" w14:textId="77777777" w:rsidR="00276895" w:rsidRPr="00244990" w:rsidRDefault="00276895" w:rsidP="00885770">
            <w:pPr>
              <w:jc w:val="center"/>
              <w:rPr>
                <w:rFonts w:ascii="Times New Roman" w:eastAsia="SimSun" w:hAnsi="Times New Roman" w:cs="Times New Roman"/>
                <w:sz w:val="18"/>
                <w:szCs w:val="18"/>
                <w14:ligatures w14:val="none"/>
              </w:rPr>
            </w:pPr>
            <w:r w:rsidRPr="00244990">
              <w:rPr>
                <w:rFonts w:ascii="Times New Roman" w:eastAsia="SimSun" w:hAnsi="Times New Roman" w:cs="Times New Roman" w:hint="eastAsia"/>
                <w:sz w:val="18"/>
                <w:szCs w:val="18"/>
                <w14:ligatures w14:val="none"/>
              </w:rPr>
              <w:t>Mean VIF</w:t>
            </w:r>
          </w:p>
        </w:tc>
        <w:tc>
          <w:tcPr>
            <w:tcW w:w="524" w:type="pct"/>
            <w:tcBorders>
              <w:bottom w:val="single" w:sz="8" w:space="0" w:color="auto"/>
            </w:tcBorders>
            <w:vAlign w:val="center"/>
          </w:tcPr>
          <w:p w14:paraId="4C1E0007" w14:textId="77777777" w:rsidR="00276895" w:rsidRPr="00244990" w:rsidRDefault="00276895" w:rsidP="00885770">
            <w:pPr>
              <w:jc w:val="center"/>
              <w:rPr>
                <w:rFonts w:ascii="Times New Roman" w:eastAsia="SimSun" w:hAnsi="Times New Roman" w:cs="Times New Roman"/>
                <w:b/>
                <w:bCs/>
                <w:sz w:val="18"/>
                <w:szCs w:val="18"/>
                <w14:ligatures w14:val="none"/>
              </w:rPr>
            </w:pPr>
            <w:r w:rsidRPr="00244990">
              <w:rPr>
                <w:rFonts w:ascii="Times New Roman" w:eastAsia="SimSun" w:hAnsi="Times New Roman" w:cs="Times New Roman" w:hint="eastAsia"/>
                <w:b/>
                <w:bCs/>
                <w:sz w:val="18"/>
                <w:szCs w:val="18"/>
                <w14:ligatures w14:val="none"/>
              </w:rPr>
              <w:t>1.40</w:t>
            </w:r>
          </w:p>
        </w:tc>
        <w:tc>
          <w:tcPr>
            <w:tcW w:w="901" w:type="pct"/>
            <w:tcBorders>
              <w:bottom w:val="single" w:sz="8" w:space="0" w:color="auto"/>
            </w:tcBorders>
            <w:vAlign w:val="center"/>
          </w:tcPr>
          <w:p w14:paraId="35F3F90A" w14:textId="77777777" w:rsidR="00276895" w:rsidRPr="00244990" w:rsidRDefault="00276895" w:rsidP="00885770">
            <w:pPr>
              <w:jc w:val="center"/>
              <w:rPr>
                <w:rFonts w:ascii="Times New Roman" w:eastAsia="SimSun" w:hAnsi="Times New Roman" w:cs="Times New Roman"/>
                <w:sz w:val="18"/>
                <w:szCs w:val="18"/>
                <w14:ligatures w14:val="none"/>
              </w:rPr>
            </w:pPr>
            <w:r w:rsidRPr="00244990">
              <w:rPr>
                <w:rFonts w:ascii="Times New Roman" w:eastAsia="SimSun" w:hAnsi="Times New Roman" w:cs="Times New Roman" w:hint="eastAsia"/>
                <w:sz w:val="18"/>
                <w:szCs w:val="18"/>
                <w14:ligatures w14:val="none"/>
              </w:rPr>
              <w:t>-</w:t>
            </w:r>
          </w:p>
        </w:tc>
        <w:tc>
          <w:tcPr>
            <w:tcW w:w="1084" w:type="pct"/>
            <w:tcBorders>
              <w:bottom w:val="single" w:sz="8" w:space="0" w:color="auto"/>
            </w:tcBorders>
            <w:vAlign w:val="center"/>
          </w:tcPr>
          <w:p w14:paraId="6BA5CF12" w14:textId="77777777" w:rsidR="00276895" w:rsidRPr="00244990" w:rsidRDefault="00276895" w:rsidP="00885770">
            <w:pPr>
              <w:jc w:val="center"/>
              <w:rPr>
                <w:rFonts w:ascii="Times New Roman" w:eastAsia="SimSun" w:hAnsi="Times New Roman" w:cs="Times New Roman"/>
                <w:sz w:val="18"/>
                <w:szCs w:val="18"/>
                <w14:ligatures w14:val="none"/>
              </w:rPr>
            </w:pPr>
            <w:r w:rsidRPr="00244990">
              <w:rPr>
                <w:rFonts w:ascii="Times New Roman" w:eastAsia="SimSun" w:hAnsi="Times New Roman" w:cs="Times New Roman" w:hint="eastAsia"/>
                <w:sz w:val="18"/>
                <w:szCs w:val="18"/>
                <w14:ligatures w14:val="none"/>
              </w:rPr>
              <w:t>Mean VIF</w:t>
            </w:r>
          </w:p>
        </w:tc>
        <w:tc>
          <w:tcPr>
            <w:tcW w:w="618" w:type="pct"/>
            <w:tcBorders>
              <w:bottom w:val="single" w:sz="8" w:space="0" w:color="auto"/>
            </w:tcBorders>
            <w:vAlign w:val="center"/>
          </w:tcPr>
          <w:p w14:paraId="5305C898" w14:textId="77777777" w:rsidR="00276895" w:rsidRPr="00244990" w:rsidRDefault="00276895" w:rsidP="00885770">
            <w:pPr>
              <w:jc w:val="center"/>
              <w:rPr>
                <w:rFonts w:ascii="Times New Roman" w:eastAsia="SimSun" w:hAnsi="Times New Roman" w:cs="Times New Roman"/>
                <w:b/>
                <w:bCs/>
                <w:sz w:val="18"/>
                <w:szCs w:val="18"/>
                <w14:ligatures w14:val="none"/>
              </w:rPr>
            </w:pPr>
            <w:r w:rsidRPr="00244990">
              <w:rPr>
                <w:rFonts w:ascii="Times New Roman" w:eastAsia="SimSun" w:hAnsi="Times New Roman" w:cs="Times New Roman" w:hint="eastAsia"/>
                <w:b/>
                <w:bCs/>
                <w:sz w:val="18"/>
                <w:szCs w:val="18"/>
                <w14:ligatures w14:val="none"/>
              </w:rPr>
              <w:t>3.11</w:t>
            </w:r>
          </w:p>
        </w:tc>
        <w:tc>
          <w:tcPr>
            <w:tcW w:w="901" w:type="pct"/>
            <w:tcBorders>
              <w:bottom w:val="single" w:sz="8" w:space="0" w:color="auto"/>
            </w:tcBorders>
            <w:vAlign w:val="center"/>
          </w:tcPr>
          <w:p w14:paraId="1FED4E28" w14:textId="77777777" w:rsidR="00276895" w:rsidRPr="00244990" w:rsidRDefault="00276895" w:rsidP="00885770">
            <w:pPr>
              <w:jc w:val="center"/>
              <w:rPr>
                <w:rFonts w:ascii="Times New Roman" w:eastAsia="SimSun" w:hAnsi="Times New Roman" w:cs="Times New Roman"/>
                <w:sz w:val="18"/>
                <w:szCs w:val="18"/>
                <w14:ligatures w14:val="none"/>
              </w:rPr>
            </w:pPr>
            <w:r w:rsidRPr="00244990">
              <w:rPr>
                <w:rFonts w:ascii="Times New Roman" w:eastAsia="SimSun" w:hAnsi="Times New Roman" w:cs="Times New Roman" w:hint="eastAsia"/>
                <w:sz w:val="18"/>
                <w:szCs w:val="18"/>
                <w14:ligatures w14:val="none"/>
              </w:rPr>
              <w:t>-</w:t>
            </w:r>
          </w:p>
        </w:tc>
      </w:tr>
    </w:tbl>
    <w:p w14:paraId="2DF81D38" w14:textId="77777777" w:rsidR="00276895" w:rsidRPr="00244990" w:rsidRDefault="00276895" w:rsidP="00276895">
      <w:pPr>
        <w:tabs>
          <w:tab w:val="left" w:pos="7855"/>
        </w:tabs>
        <w:rPr>
          <w:rFonts w:eastAsia="DengXian"/>
          <w:sz w:val="18"/>
          <w:szCs w:val="18"/>
        </w:rPr>
      </w:pPr>
      <w:r w:rsidRPr="00244990">
        <w:rPr>
          <w:rFonts w:eastAsia="DengXian" w:hint="eastAsia"/>
          <w:sz w:val="18"/>
          <w:szCs w:val="18"/>
        </w:rPr>
        <w:t>Note(s): Stata</w:t>
      </w:r>
      <w:r w:rsidRPr="00244990">
        <w:rPr>
          <w:rFonts w:eastAsia="DengXian"/>
          <w:sz w:val="18"/>
          <w:szCs w:val="18"/>
        </w:rPr>
        <w:t>’</w:t>
      </w:r>
      <w:r w:rsidRPr="00244990">
        <w:rPr>
          <w:rFonts w:eastAsia="DengXian" w:hint="eastAsia"/>
          <w:sz w:val="18"/>
          <w:szCs w:val="18"/>
        </w:rPr>
        <w:t xml:space="preserve">s </w:t>
      </w:r>
      <w:r w:rsidRPr="00244990">
        <w:rPr>
          <w:rFonts w:eastAsia="DengXian" w:hint="eastAsia"/>
          <w:i/>
          <w:iCs/>
          <w:sz w:val="18"/>
          <w:szCs w:val="18"/>
        </w:rPr>
        <w:t>estat vif</w:t>
      </w:r>
      <w:r w:rsidRPr="00244990">
        <w:rPr>
          <w:rFonts w:eastAsia="DengXian" w:hint="eastAsia"/>
          <w:sz w:val="18"/>
          <w:szCs w:val="18"/>
        </w:rPr>
        <w:t xml:space="preserve"> command does not support post-estimation after the </w:t>
      </w:r>
      <w:r w:rsidRPr="00244990">
        <w:rPr>
          <w:rFonts w:eastAsia="DengXian" w:hint="eastAsia"/>
          <w:i/>
          <w:iCs/>
          <w:sz w:val="18"/>
          <w:szCs w:val="18"/>
        </w:rPr>
        <w:t>reghdfe</w:t>
      </w:r>
      <w:r w:rsidRPr="00244990">
        <w:rPr>
          <w:rFonts w:eastAsia="DengXian" w:hint="eastAsia"/>
          <w:sz w:val="18"/>
          <w:szCs w:val="18"/>
        </w:rPr>
        <w:t xml:space="preserve"> procedure, as it is only available after standard OLS regressions such as regress. To assess multicollinearity among the explanatory variables, we conducted a VIF analysis using the same set of variables (excluding fixed effects) with the regress command. </w:t>
      </w:r>
      <w:r w:rsidRPr="00244990">
        <w:rPr>
          <w:rFonts w:eastAsia="DengXian"/>
          <w:sz w:val="18"/>
          <w:szCs w:val="18"/>
        </w:rPr>
        <w:t xml:space="preserve">The results showed that when </w:t>
      </w:r>
      <w:r w:rsidRPr="00244990">
        <w:rPr>
          <w:rFonts w:eastAsia="DengXian" w:hint="eastAsia"/>
          <w:sz w:val="18"/>
          <w:szCs w:val="18"/>
        </w:rPr>
        <w:t xml:space="preserve">the </w:t>
      </w:r>
      <w:r w:rsidRPr="00244990">
        <w:rPr>
          <w:rFonts w:eastAsia="DengXian"/>
          <w:sz w:val="18"/>
          <w:szCs w:val="18"/>
        </w:rPr>
        <w:t xml:space="preserve">main effects were excluded, all VIF values </w:t>
      </w:r>
      <w:r w:rsidRPr="00244990">
        <w:rPr>
          <w:rFonts w:eastAsia="DengXian" w:hint="eastAsia"/>
          <w:sz w:val="18"/>
          <w:szCs w:val="18"/>
        </w:rPr>
        <w:t>are</w:t>
      </w:r>
      <w:r w:rsidRPr="00244990">
        <w:rPr>
          <w:rFonts w:eastAsia="DengXian"/>
          <w:sz w:val="18"/>
          <w:szCs w:val="18"/>
        </w:rPr>
        <w:t xml:space="preserve"> below 2.2 (mean VIF = 1.40), suggesting that multicollinearity </w:t>
      </w:r>
      <w:r w:rsidRPr="00244990">
        <w:rPr>
          <w:rFonts w:eastAsia="DengXian" w:hint="eastAsia"/>
          <w:sz w:val="18"/>
          <w:szCs w:val="18"/>
        </w:rPr>
        <w:t>is</w:t>
      </w:r>
      <w:r w:rsidRPr="00244990">
        <w:rPr>
          <w:rFonts w:eastAsia="DengXian"/>
          <w:sz w:val="18"/>
          <w:szCs w:val="18"/>
        </w:rPr>
        <w:t xml:space="preserve"> not a concern. When </w:t>
      </w:r>
      <w:r w:rsidRPr="00244990">
        <w:rPr>
          <w:rFonts w:eastAsia="DengXian" w:hint="eastAsia"/>
          <w:sz w:val="18"/>
          <w:szCs w:val="18"/>
        </w:rPr>
        <w:t xml:space="preserve">the </w:t>
      </w:r>
      <w:r w:rsidRPr="00244990">
        <w:rPr>
          <w:rFonts w:eastAsia="DengXian"/>
          <w:sz w:val="18"/>
          <w:szCs w:val="18"/>
        </w:rPr>
        <w:t xml:space="preserve">main effects </w:t>
      </w:r>
      <w:r w:rsidRPr="00244990">
        <w:rPr>
          <w:rFonts w:eastAsia="DengXian" w:hint="eastAsia"/>
          <w:sz w:val="18"/>
          <w:szCs w:val="18"/>
        </w:rPr>
        <w:t>are</w:t>
      </w:r>
      <w:r w:rsidRPr="00244990">
        <w:rPr>
          <w:rFonts w:eastAsia="DengXian"/>
          <w:sz w:val="18"/>
          <w:szCs w:val="18"/>
        </w:rPr>
        <w:t xml:space="preserve"> included, t the VIF values for the interaction term (</w:t>
      </w:r>
      <w:r w:rsidRPr="00244990">
        <w:rPr>
          <w:rFonts w:eastAsia="DengXian"/>
          <w:i/>
          <w:iCs/>
          <w:sz w:val="18"/>
          <w:szCs w:val="18"/>
        </w:rPr>
        <w:t>ET</w:t>
      </w:r>
      <w:r w:rsidRPr="00244990">
        <w:rPr>
          <w:rFonts w:eastAsia="DengXian"/>
          <w:sz w:val="18"/>
          <w:szCs w:val="18"/>
        </w:rPr>
        <w:t xml:space="preserve">,14.92) and its constituent variable </w:t>
      </w:r>
      <w:r w:rsidRPr="00244990">
        <w:rPr>
          <w:rFonts w:eastAsia="DengXian" w:hint="eastAsia"/>
          <w:i/>
          <w:iCs/>
          <w:sz w:val="18"/>
          <w:szCs w:val="18"/>
        </w:rPr>
        <w:t>TURNOVER</w:t>
      </w:r>
      <w:r w:rsidRPr="00244990">
        <w:rPr>
          <w:rFonts w:eastAsia="DengXian"/>
          <w:sz w:val="18"/>
          <w:szCs w:val="18"/>
        </w:rPr>
        <w:t xml:space="preserve"> (12.70) are relatively high, suggesting a serious multicollinearity problem. Variable definitions are provided in </w:t>
      </w:r>
      <w:r w:rsidRPr="00244990">
        <w:rPr>
          <w:rFonts w:eastAsia="DengXian"/>
          <w:color w:val="0000FF"/>
          <w:sz w:val="18"/>
          <w:szCs w:val="18"/>
        </w:rPr>
        <w:t>Table 1</w:t>
      </w:r>
      <w:r w:rsidRPr="00244990">
        <w:rPr>
          <w:rFonts w:eastAsia="DengXian"/>
          <w:sz w:val="18"/>
          <w:szCs w:val="18"/>
        </w:rPr>
        <w:t>.</w:t>
      </w:r>
    </w:p>
    <w:p w14:paraId="2285AEC2" w14:textId="67884848" w:rsidR="00276895" w:rsidRDefault="00276895" w:rsidP="00276895">
      <w:pPr>
        <w:tabs>
          <w:tab w:val="left" w:pos="7855"/>
        </w:tabs>
        <w:rPr>
          <w:rFonts w:eastAsia="DengXian"/>
          <w:sz w:val="18"/>
          <w:szCs w:val="18"/>
        </w:rPr>
      </w:pPr>
      <w:r w:rsidRPr="00244990">
        <w:rPr>
          <w:rFonts w:eastAsia="DengXian" w:hint="eastAsia"/>
          <w:sz w:val="18"/>
          <w:szCs w:val="18"/>
        </w:rPr>
        <w:t>Source(s): Table by author</w:t>
      </w:r>
    </w:p>
    <w:p w14:paraId="7249D103" w14:textId="1B4C6064" w:rsidR="00276895" w:rsidRDefault="00276895" w:rsidP="00276895">
      <w:pPr>
        <w:tabs>
          <w:tab w:val="left" w:pos="7855"/>
        </w:tabs>
        <w:rPr>
          <w:rFonts w:eastAsia="DengXian"/>
          <w:sz w:val="18"/>
          <w:szCs w:val="18"/>
        </w:rPr>
      </w:pPr>
    </w:p>
    <w:p w14:paraId="5C1A8CCE" w14:textId="77777777" w:rsidR="00276895" w:rsidRDefault="00276895" w:rsidP="00276895">
      <w:pPr>
        <w:tabs>
          <w:tab w:val="left" w:pos="7855"/>
        </w:tabs>
        <w:rPr>
          <w:rFonts w:eastAsia="DengXian"/>
          <w:sz w:val="18"/>
          <w:szCs w:val="18"/>
        </w:rPr>
      </w:pPr>
    </w:p>
    <w:p w14:paraId="7D8E11E7" w14:textId="77777777" w:rsidR="00276895" w:rsidRPr="00CB35E2" w:rsidRDefault="00276895" w:rsidP="00276895">
      <w:pPr>
        <w:spacing w:beforeLines="50" w:before="156"/>
        <w:outlineLvl w:val="0"/>
        <w:rPr>
          <w:rFonts w:eastAsia="仿宋"/>
          <w:sz w:val="23"/>
          <w:szCs w:val="23"/>
        </w:rPr>
      </w:pPr>
      <w:bookmarkStart w:id="3" w:name="_Toc31574"/>
      <w:r w:rsidRPr="00CB35E2">
        <w:rPr>
          <w:sz w:val="23"/>
          <w:szCs w:val="23"/>
        </w:rPr>
        <w:t>Appendix</w:t>
      </w:r>
      <w:r w:rsidRPr="00CB35E2">
        <w:rPr>
          <w:rFonts w:eastAsia="仿宋"/>
          <w:sz w:val="23"/>
          <w:szCs w:val="23"/>
        </w:rPr>
        <w:t xml:space="preserve"> Table 2. Correlation </w:t>
      </w:r>
      <w:r w:rsidRPr="00CB35E2">
        <w:rPr>
          <w:rFonts w:eastAsia="仿宋" w:hint="eastAsia"/>
          <w:sz w:val="23"/>
          <w:szCs w:val="23"/>
        </w:rPr>
        <w:t>m</w:t>
      </w:r>
      <w:r w:rsidRPr="00CB35E2">
        <w:rPr>
          <w:rFonts w:eastAsia="仿宋"/>
          <w:sz w:val="23"/>
          <w:szCs w:val="23"/>
        </w:rPr>
        <w:t xml:space="preserve">atrix of the </w:t>
      </w:r>
      <w:r w:rsidRPr="00CB35E2">
        <w:rPr>
          <w:rFonts w:eastAsia="仿宋" w:hint="eastAsia"/>
          <w:sz w:val="23"/>
          <w:szCs w:val="23"/>
        </w:rPr>
        <w:t>i</w:t>
      </w:r>
      <w:r w:rsidRPr="00CB35E2">
        <w:rPr>
          <w:rFonts w:eastAsia="仿宋"/>
          <w:sz w:val="23"/>
          <w:szCs w:val="23"/>
        </w:rPr>
        <w:t xml:space="preserve">nteraction </w:t>
      </w:r>
      <w:r w:rsidRPr="00CB35E2">
        <w:rPr>
          <w:rFonts w:eastAsia="仿宋" w:hint="eastAsia"/>
          <w:sz w:val="23"/>
          <w:szCs w:val="23"/>
        </w:rPr>
        <w:t>t</w:t>
      </w:r>
      <w:r w:rsidRPr="00CB35E2">
        <w:rPr>
          <w:rFonts w:eastAsia="仿宋"/>
          <w:sz w:val="23"/>
          <w:szCs w:val="23"/>
        </w:rPr>
        <w:t xml:space="preserve">erm and </w:t>
      </w:r>
      <w:r w:rsidRPr="00CB35E2">
        <w:rPr>
          <w:rFonts w:eastAsia="仿宋" w:hint="eastAsia"/>
          <w:sz w:val="23"/>
          <w:szCs w:val="23"/>
        </w:rPr>
        <w:t>m</w:t>
      </w:r>
      <w:r w:rsidRPr="00CB35E2">
        <w:rPr>
          <w:rFonts w:eastAsia="仿宋"/>
          <w:sz w:val="23"/>
          <w:szCs w:val="23"/>
        </w:rPr>
        <w:t xml:space="preserve">ain </w:t>
      </w:r>
      <w:r w:rsidRPr="00CB35E2">
        <w:rPr>
          <w:rFonts w:eastAsia="仿宋" w:hint="eastAsia"/>
          <w:sz w:val="23"/>
          <w:szCs w:val="23"/>
        </w:rPr>
        <w:t>e</w:t>
      </w:r>
      <w:r w:rsidRPr="00CB35E2">
        <w:rPr>
          <w:rFonts w:eastAsia="仿宋"/>
          <w:sz w:val="23"/>
          <w:szCs w:val="23"/>
        </w:rPr>
        <w:t>ffects</w:t>
      </w:r>
      <w:bookmarkEnd w:id="3"/>
    </w:p>
    <w:tbl>
      <w:tblPr>
        <w:tblStyle w:val="TableGrid"/>
        <w:tblW w:w="5000" w:type="pct"/>
        <w:jc w:val="center"/>
        <w:tblBorders>
          <w:top w:val="single" w:sz="0" w:space="0" w:color="000000"/>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31"/>
        <w:gridCol w:w="2308"/>
        <w:gridCol w:w="2329"/>
        <w:gridCol w:w="2318"/>
      </w:tblGrid>
      <w:tr w:rsidR="00276895" w:rsidRPr="00CB35E2" w14:paraId="730449AF" w14:textId="77777777" w:rsidTr="00885770">
        <w:trPr>
          <w:trHeight w:val="283"/>
          <w:jc w:val="center"/>
        </w:trPr>
        <w:tc>
          <w:tcPr>
            <w:tcW w:w="1255" w:type="pct"/>
            <w:tcBorders>
              <w:top w:val="single" w:sz="8" w:space="0" w:color="auto"/>
              <w:bottom w:val="single" w:sz="2" w:space="0" w:color="000000"/>
              <w:right w:val="single" w:sz="0" w:space="0" w:color="000000"/>
            </w:tcBorders>
            <w:vAlign w:val="center"/>
          </w:tcPr>
          <w:p w14:paraId="4E51CB6B" w14:textId="77777777" w:rsidR="00276895" w:rsidRPr="00CB35E2" w:rsidRDefault="00276895" w:rsidP="00885770">
            <w:pPr>
              <w:rPr>
                <w:rFonts w:ascii="Times New Roman" w:eastAsia="仿宋" w:hAnsi="Times New Roman" w:cs="Times New Roman"/>
                <w:sz w:val="18"/>
                <w:szCs w:val="18"/>
              </w:rPr>
            </w:pPr>
            <w:r w:rsidRPr="00CB35E2">
              <w:rPr>
                <w:rFonts w:ascii="Times New Roman" w:eastAsia="SimSun" w:hAnsi="Times New Roman" w:cs="Times New Roman" w:hint="eastAsia"/>
                <w:sz w:val="18"/>
                <w:szCs w:val="18"/>
              </w:rPr>
              <w:t>Variable</w:t>
            </w:r>
          </w:p>
        </w:tc>
        <w:tc>
          <w:tcPr>
            <w:tcW w:w="1243" w:type="pct"/>
            <w:tcBorders>
              <w:top w:val="single" w:sz="8" w:space="0" w:color="auto"/>
              <w:left w:val="single" w:sz="0" w:space="0" w:color="000000"/>
              <w:bottom w:val="single" w:sz="2" w:space="0" w:color="000000"/>
            </w:tcBorders>
            <w:vAlign w:val="center"/>
          </w:tcPr>
          <w:p w14:paraId="32F5B57E" w14:textId="77777777" w:rsidR="00276895" w:rsidRPr="00CB35E2" w:rsidRDefault="00276895" w:rsidP="00885770">
            <w:pPr>
              <w:jc w:val="center"/>
              <w:rPr>
                <w:rFonts w:ascii="Times New Roman" w:eastAsia="仿宋" w:hAnsi="Times New Roman" w:cs="Times New Roman"/>
                <w:i/>
                <w:iCs/>
                <w:sz w:val="18"/>
                <w:szCs w:val="18"/>
              </w:rPr>
            </w:pPr>
            <w:r w:rsidRPr="00CB35E2">
              <w:rPr>
                <w:rFonts w:ascii="Times New Roman" w:eastAsia="仿宋" w:hAnsi="Times New Roman" w:cs="Times New Roman"/>
                <w:i/>
                <w:iCs/>
                <w:sz w:val="18"/>
                <w:szCs w:val="18"/>
              </w:rPr>
              <w:t>ET</w:t>
            </w:r>
          </w:p>
        </w:tc>
        <w:tc>
          <w:tcPr>
            <w:tcW w:w="1254" w:type="pct"/>
            <w:tcBorders>
              <w:top w:val="single" w:sz="8" w:space="0" w:color="auto"/>
              <w:bottom w:val="single" w:sz="2" w:space="0" w:color="000000"/>
            </w:tcBorders>
            <w:vAlign w:val="center"/>
          </w:tcPr>
          <w:p w14:paraId="174072A6" w14:textId="77777777" w:rsidR="00276895" w:rsidRPr="00CB35E2" w:rsidRDefault="00276895" w:rsidP="00885770">
            <w:pPr>
              <w:jc w:val="center"/>
              <w:rPr>
                <w:rFonts w:ascii="Times New Roman" w:eastAsia="仿宋" w:hAnsi="Times New Roman" w:cs="Times New Roman"/>
                <w:i/>
                <w:iCs/>
                <w:sz w:val="18"/>
                <w:szCs w:val="18"/>
              </w:rPr>
            </w:pPr>
            <w:r w:rsidRPr="00CB35E2">
              <w:rPr>
                <w:rFonts w:ascii="Times New Roman" w:eastAsia="仿宋" w:hAnsi="Times New Roman" w:cs="Times New Roman"/>
                <w:i/>
                <w:iCs/>
                <w:sz w:val="18"/>
                <w:szCs w:val="18"/>
              </w:rPr>
              <w:t>BHCOMP</w:t>
            </w:r>
          </w:p>
        </w:tc>
        <w:tc>
          <w:tcPr>
            <w:tcW w:w="1248" w:type="pct"/>
            <w:tcBorders>
              <w:top w:val="single" w:sz="8" w:space="0" w:color="auto"/>
              <w:bottom w:val="single" w:sz="2" w:space="0" w:color="000000"/>
            </w:tcBorders>
            <w:vAlign w:val="center"/>
          </w:tcPr>
          <w:p w14:paraId="1E7B15E9" w14:textId="77777777" w:rsidR="00276895" w:rsidRPr="00CB35E2" w:rsidRDefault="00276895" w:rsidP="00885770">
            <w:pPr>
              <w:jc w:val="center"/>
              <w:rPr>
                <w:rFonts w:ascii="Times New Roman" w:eastAsia="仿宋" w:hAnsi="Times New Roman" w:cs="Times New Roman"/>
                <w:i/>
                <w:iCs/>
                <w:sz w:val="18"/>
                <w:szCs w:val="18"/>
              </w:rPr>
            </w:pPr>
            <w:r w:rsidRPr="00CB35E2">
              <w:rPr>
                <w:rFonts w:ascii="Times New Roman" w:eastAsia="SimSun" w:hAnsi="Times New Roman" w:cs="Times New Roman" w:hint="eastAsia"/>
                <w:i/>
                <w:iCs/>
                <w:sz w:val="18"/>
                <w:szCs w:val="18"/>
              </w:rPr>
              <w:t>TURNOVER</w:t>
            </w:r>
          </w:p>
        </w:tc>
      </w:tr>
      <w:tr w:rsidR="00276895" w:rsidRPr="00CB35E2" w14:paraId="205652B8" w14:textId="77777777" w:rsidTr="00885770">
        <w:trPr>
          <w:trHeight w:val="283"/>
          <w:jc w:val="center"/>
        </w:trPr>
        <w:tc>
          <w:tcPr>
            <w:tcW w:w="1255" w:type="pct"/>
            <w:tcBorders>
              <w:top w:val="single" w:sz="2" w:space="0" w:color="000000"/>
              <w:right w:val="single" w:sz="0" w:space="0" w:color="000000"/>
            </w:tcBorders>
            <w:vAlign w:val="center"/>
          </w:tcPr>
          <w:p w14:paraId="068BA7B4" w14:textId="77777777" w:rsidR="00276895" w:rsidRPr="00CB35E2" w:rsidRDefault="00276895" w:rsidP="00885770">
            <w:pPr>
              <w:rPr>
                <w:rFonts w:ascii="Times New Roman" w:eastAsia="仿宋" w:hAnsi="Times New Roman" w:cs="Times New Roman"/>
                <w:i/>
                <w:iCs/>
                <w:sz w:val="18"/>
                <w:szCs w:val="18"/>
              </w:rPr>
            </w:pPr>
            <w:r w:rsidRPr="00CB35E2">
              <w:rPr>
                <w:rFonts w:ascii="Times New Roman" w:eastAsia="仿宋" w:hAnsi="Times New Roman" w:cs="Times New Roman"/>
                <w:i/>
                <w:iCs/>
                <w:sz w:val="18"/>
                <w:szCs w:val="18"/>
              </w:rPr>
              <w:t>ET</w:t>
            </w:r>
          </w:p>
        </w:tc>
        <w:tc>
          <w:tcPr>
            <w:tcW w:w="1243" w:type="pct"/>
            <w:tcBorders>
              <w:top w:val="single" w:sz="2" w:space="0" w:color="000000"/>
              <w:left w:val="single" w:sz="0" w:space="0" w:color="000000"/>
            </w:tcBorders>
            <w:vAlign w:val="center"/>
          </w:tcPr>
          <w:p w14:paraId="36AD51DF" w14:textId="77777777" w:rsidR="00276895" w:rsidRPr="00CB35E2" w:rsidRDefault="00276895" w:rsidP="00885770">
            <w:pPr>
              <w:jc w:val="center"/>
              <w:rPr>
                <w:rFonts w:ascii="Times New Roman" w:eastAsia="仿宋" w:hAnsi="Times New Roman" w:cs="Times New Roman"/>
                <w:sz w:val="18"/>
                <w:szCs w:val="18"/>
              </w:rPr>
            </w:pPr>
            <w:r w:rsidRPr="00CB35E2">
              <w:rPr>
                <w:rFonts w:ascii="Times New Roman" w:eastAsia="仿宋" w:hAnsi="Times New Roman" w:cs="Times New Roman"/>
                <w:sz w:val="18"/>
                <w:szCs w:val="18"/>
              </w:rPr>
              <w:t>1</w:t>
            </w:r>
          </w:p>
        </w:tc>
        <w:tc>
          <w:tcPr>
            <w:tcW w:w="1254" w:type="pct"/>
            <w:tcBorders>
              <w:top w:val="single" w:sz="2" w:space="0" w:color="000000"/>
            </w:tcBorders>
            <w:vAlign w:val="center"/>
          </w:tcPr>
          <w:p w14:paraId="322ABBAB" w14:textId="77777777" w:rsidR="00276895" w:rsidRPr="00CB35E2" w:rsidRDefault="00276895" w:rsidP="00885770">
            <w:pPr>
              <w:jc w:val="center"/>
              <w:rPr>
                <w:rFonts w:ascii="Times New Roman" w:eastAsia="仿宋" w:hAnsi="Times New Roman" w:cs="Times New Roman"/>
                <w:sz w:val="18"/>
                <w:szCs w:val="18"/>
              </w:rPr>
            </w:pPr>
            <w:r w:rsidRPr="00CB35E2">
              <w:rPr>
                <w:rFonts w:ascii="Times New Roman" w:eastAsia="仿宋" w:hAnsi="Times New Roman" w:cs="Times New Roman"/>
                <w:sz w:val="18"/>
                <w:szCs w:val="18"/>
              </w:rPr>
              <w:t>0.457</w:t>
            </w:r>
            <w:r w:rsidRPr="00CB35E2">
              <w:rPr>
                <w:rFonts w:ascii="Times New Roman" w:eastAsia="仿宋" w:hAnsi="Times New Roman" w:cs="Times New Roman"/>
                <w:sz w:val="18"/>
                <w:szCs w:val="18"/>
                <w:vertAlign w:val="superscript"/>
              </w:rPr>
              <w:t>***</w:t>
            </w:r>
          </w:p>
        </w:tc>
        <w:tc>
          <w:tcPr>
            <w:tcW w:w="1248" w:type="pct"/>
            <w:tcBorders>
              <w:top w:val="single" w:sz="2" w:space="0" w:color="000000"/>
            </w:tcBorders>
            <w:vAlign w:val="center"/>
          </w:tcPr>
          <w:p w14:paraId="2C6E58ED" w14:textId="77777777" w:rsidR="00276895" w:rsidRPr="00CB35E2" w:rsidRDefault="00276895" w:rsidP="00885770">
            <w:pPr>
              <w:jc w:val="center"/>
              <w:rPr>
                <w:rFonts w:ascii="Times New Roman" w:eastAsia="仿宋" w:hAnsi="Times New Roman" w:cs="Times New Roman"/>
                <w:b/>
                <w:bCs/>
                <w:sz w:val="18"/>
                <w:szCs w:val="18"/>
              </w:rPr>
            </w:pPr>
            <w:r w:rsidRPr="00CB35E2">
              <w:rPr>
                <w:rFonts w:ascii="Times New Roman" w:eastAsia="仿宋" w:hAnsi="Times New Roman" w:cs="Times New Roman"/>
                <w:b/>
                <w:bCs/>
                <w:sz w:val="18"/>
                <w:szCs w:val="18"/>
              </w:rPr>
              <w:t>-0.900</w:t>
            </w:r>
            <w:r w:rsidRPr="00CB35E2">
              <w:rPr>
                <w:rFonts w:ascii="Times New Roman" w:eastAsia="仿宋" w:hAnsi="Times New Roman" w:cs="Times New Roman"/>
                <w:b/>
                <w:bCs/>
                <w:sz w:val="18"/>
                <w:szCs w:val="18"/>
                <w:vertAlign w:val="superscript"/>
              </w:rPr>
              <w:t>***</w:t>
            </w:r>
          </w:p>
        </w:tc>
      </w:tr>
      <w:tr w:rsidR="00276895" w:rsidRPr="00CB35E2" w14:paraId="64588737" w14:textId="77777777" w:rsidTr="00885770">
        <w:trPr>
          <w:trHeight w:val="283"/>
          <w:jc w:val="center"/>
        </w:trPr>
        <w:tc>
          <w:tcPr>
            <w:tcW w:w="1255" w:type="pct"/>
            <w:tcBorders>
              <w:right w:val="single" w:sz="0" w:space="0" w:color="000000"/>
            </w:tcBorders>
            <w:vAlign w:val="center"/>
          </w:tcPr>
          <w:p w14:paraId="2AB00F6C" w14:textId="77777777" w:rsidR="00276895" w:rsidRPr="00CB35E2" w:rsidRDefault="00276895" w:rsidP="00885770">
            <w:pPr>
              <w:rPr>
                <w:rFonts w:ascii="Times New Roman" w:eastAsia="仿宋" w:hAnsi="Times New Roman" w:cs="Times New Roman"/>
                <w:i/>
                <w:iCs/>
                <w:sz w:val="18"/>
                <w:szCs w:val="18"/>
              </w:rPr>
            </w:pPr>
            <w:r w:rsidRPr="00CB35E2">
              <w:rPr>
                <w:rFonts w:ascii="Times New Roman" w:eastAsia="仿宋" w:hAnsi="Times New Roman" w:cs="Times New Roman"/>
                <w:i/>
                <w:iCs/>
                <w:sz w:val="18"/>
                <w:szCs w:val="18"/>
              </w:rPr>
              <w:t>BHCOMP</w:t>
            </w:r>
          </w:p>
        </w:tc>
        <w:tc>
          <w:tcPr>
            <w:tcW w:w="1243" w:type="pct"/>
            <w:tcBorders>
              <w:left w:val="single" w:sz="0" w:space="0" w:color="000000"/>
            </w:tcBorders>
            <w:vAlign w:val="center"/>
          </w:tcPr>
          <w:p w14:paraId="3F4C6D03" w14:textId="77777777" w:rsidR="00276895" w:rsidRPr="00CB35E2" w:rsidRDefault="00276895" w:rsidP="00885770">
            <w:pPr>
              <w:jc w:val="center"/>
              <w:rPr>
                <w:rFonts w:ascii="Times New Roman" w:eastAsia="仿宋" w:hAnsi="Times New Roman" w:cs="Times New Roman"/>
                <w:b/>
                <w:bCs/>
                <w:sz w:val="18"/>
                <w:szCs w:val="18"/>
              </w:rPr>
            </w:pPr>
            <w:r w:rsidRPr="00CB35E2">
              <w:rPr>
                <w:rFonts w:ascii="Times New Roman" w:eastAsia="仿宋" w:hAnsi="Times New Roman" w:cs="Times New Roman"/>
                <w:b/>
                <w:bCs/>
                <w:sz w:val="18"/>
                <w:szCs w:val="18"/>
              </w:rPr>
              <w:t>0.405</w:t>
            </w:r>
            <w:r w:rsidRPr="00CB35E2">
              <w:rPr>
                <w:rFonts w:ascii="Times New Roman" w:eastAsia="仿宋" w:hAnsi="Times New Roman" w:cs="Times New Roman"/>
                <w:b/>
                <w:bCs/>
                <w:sz w:val="18"/>
                <w:szCs w:val="18"/>
                <w:vertAlign w:val="superscript"/>
              </w:rPr>
              <w:t>***</w:t>
            </w:r>
          </w:p>
        </w:tc>
        <w:tc>
          <w:tcPr>
            <w:tcW w:w="1254" w:type="pct"/>
            <w:vAlign w:val="center"/>
          </w:tcPr>
          <w:p w14:paraId="71FEF091" w14:textId="77777777" w:rsidR="00276895" w:rsidRPr="00CB35E2" w:rsidRDefault="00276895" w:rsidP="00885770">
            <w:pPr>
              <w:jc w:val="center"/>
              <w:rPr>
                <w:rFonts w:ascii="Times New Roman" w:eastAsia="仿宋" w:hAnsi="Times New Roman" w:cs="Times New Roman"/>
                <w:sz w:val="18"/>
                <w:szCs w:val="18"/>
              </w:rPr>
            </w:pPr>
            <w:r w:rsidRPr="00CB35E2">
              <w:rPr>
                <w:rFonts w:ascii="Times New Roman" w:eastAsia="仿宋" w:hAnsi="Times New Roman" w:cs="Times New Roman"/>
                <w:sz w:val="18"/>
                <w:szCs w:val="18"/>
              </w:rPr>
              <w:t>1</w:t>
            </w:r>
          </w:p>
        </w:tc>
        <w:tc>
          <w:tcPr>
            <w:tcW w:w="1248" w:type="pct"/>
            <w:vAlign w:val="center"/>
          </w:tcPr>
          <w:p w14:paraId="5C5FDAC4" w14:textId="77777777" w:rsidR="00276895" w:rsidRPr="00CB35E2" w:rsidRDefault="00276895" w:rsidP="00885770">
            <w:pPr>
              <w:jc w:val="center"/>
              <w:rPr>
                <w:rFonts w:ascii="Times New Roman" w:eastAsia="仿宋" w:hAnsi="Times New Roman" w:cs="Times New Roman"/>
                <w:sz w:val="18"/>
                <w:szCs w:val="18"/>
              </w:rPr>
            </w:pPr>
            <w:r w:rsidRPr="00CB35E2">
              <w:rPr>
                <w:rFonts w:ascii="Times New Roman" w:eastAsia="仿宋" w:hAnsi="Times New Roman" w:cs="Times New Roman"/>
                <w:sz w:val="18"/>
                <w:szCs w:val="18"/>
              </w:rPr>
              <w:t>-0.064</w:t>
            </w:r>
            <w:r w:rsidRPr="00CB35E2">
              <w:rPr>
                <w:rFonts w:ascii="Times New Roman" w:eastAsia="仿宋" w:hAnsi="Times New Roman" w:cs="Times New Roman"/>
                <w:sz w:val="18"/>
                <w:szCs w:val="18"/>
                <w:vertAlign w:val="superscript"/>
              </w:rPr>
              <w:t>***</w:t>
            </w:r>
          </w:p>
        </w:tc>
      </w:tr>
      <w:tr w:rsidR="00276895" w:rsidRPr="00CB35E2" w14:paraId="147F6716" w14:textId="77777777" w:rsidTr="00885770">
        <w:trPr>
          <w:trHeight w:val="283"/>
          <w:jc w:val="center"/>
        </w:trPr>
        <w:tc>
          <w:tcPr>
            <w:tcW w:w="1255" w:type="pct"/>
            <w:tcBorders>
              <w:bottom w:val="single" w:sz="8" w:space="0" w:color="auto"/>
              <w:right w:val="single" w:sz="0" w:space="0" w:color="000000"/>
            </w:tcBorders>
            <w:vAlign w:val="center"/>
          </w:tcPr>
          <w:p w14:paraId="3348260B" w14:textId="77777777" w:rsidR="00276895" w:rsidRPr="00CB35E2" w:rsidRDefault="00276895" w:rsidP="00885770">
            <w:pPr>
              <w:rPr>
                <w:rFonts w:ascii="Times New Roman" w:eastAsia="仿宋" w:hAnsi="Times New Roman" w:cs="Times New Roman"/>
                <w:i/>
                <w:iCs/>
                <w:sz w:val="18"/>
                <w:szCs w:val="18"/>
              </w:rPr>
            </w:pPr>
            <w:r w:rsidRPr="00CB35E2">
              <w:rPr>
                <w:rFonts w:ascii="Times New Roman" w:eastAsia="SimSun" w:hAnsi="Times New Roman" w:cs="Times New Roman" w:hint="eastAsia"/>
                <w:i/>
                <w:iCs/>
                <w:sz w:val="18"/>
                <w:szCs w:val="18"/>
              </w:rPr>
              <w:t>TURNOVER</w:t>
            </w:r>
          </w:p>
        </w:tc>
        <w:tc>
          <w:tcPr>
            <w:tcW w:w="1243" w:type="pct"/>
            <w:tcBorders>
              <w:left w:val="single" w:sz="0" w:space="0" w:color="000000"/>
              <w:bottom w:val="single" w:sz="8" w:space="0" w:color="auto"/>
            </w:tcBorders>
            <w:vAlign w:val="center"/>
          </w:tcPr>
          <w:p w14:paraId="71E83E66" w14:textId="77777777" w:rsidR="00276895" w:rsidRPr="00CB35E2" w:rsidRDefault="00276895" w:rsidP="00885770">
            <w:pPr>
              <w:jc w:val="center"/>
              <w:rPr>
                <w:rFonts w:ascii="Times New Roman" w:eastAsia="仿宋" w:hAnsi="Times New Roman" w:cs="Times New Roman"/>
                <w:b/>
                <w:bCs/>
                <w:sz w:val="18"/>
                <w:szCs w:val="18"/>
              </w:rPr>
            </w:pPr>
            <w:r w:rsidRPr="00CB35E2">
              <w:rPr>
                <w:rFonts w:ascii="Times New Roman" w:eastAsia="仿宋" w:hAnsi="Times New Roman" w:cs="Times New Roman"/>
                <w:b/>
                <w:bCs/>
                <w:sz w:val="18"/>
                <w:szCs w:val="18"/>
              </w:rPr>
              <w:t>-0.900</w:t>
            </w:r>
            <w:r w:rsidRPr="00CB35E2">
              <w:rPr>
                <w:rFonts w:ascii="Times New Roman" w:eastAsia="仿宋" w:hAnsi="Times New Roman" w:cs="Times New Roman"/>
                <w:b/>
                <w:bCs/>
                <w:sz w:val="18"/>
                <w:szCs w:val="18"/>
                <w:vertAlign w:val="superscript"/>
              </w:rPr>
              <w:t>***</w:t>
            </w:r>
          </w:p>
        </w:tc>
        <w:tc>
          <w:tcPr>
            <w:tcW w:w="1254" w:type="pct"/>
            <w:tcBorders>
              <w:bottom w:val="single" w:sz="8" w:space="0" w:color="auto"/>
            </w:tcBorders>
            <w:vAlign w:val="center"/>
          </w:tcPr>
          <w:p w14:paraId="75AEB70D" w14:textId="77777777" w:rsidR="00276895" w:rsidRPr="00CB35E2" w:rsidRDefault="00276895" w:rsidP="00885770">
            <w:pPr>
              <w:jc w:val="center"/>
              <w:rPr>
                <w:rFonts w:ascii="Times New Roman" w:eastAsia="仿宋" w:hAnsi="Times New Roman" w:cs="Times New Roman"/>
                <w:sz w:val="18"/>
                <w:szCs w:val="18"/>
              </w:rPr>
            </w:pPr>
            <w:r w:rsidRPr="00CB35E2">
              <w:rPr>
                <w:rFonts w:ascii="Times New Roman" w:eastAsia="仿宋" w:hAnsi="Times New Roman" w:cs="Times New Roman"/>
                <w:sz w:val="18"/>
                <w:szCs w:val="18"/>
              </w:rPr>
              <w:t>-0.061</w:t>
            </w:r>
            <w:r w:rsidRPr="00CB35E2">
              <w:rPr>
                <w:rFonts w:ascii="Times New Roman" w:eastAsia="仿宋" w:hAnsi="Times New Roman" w:cs="Times New Roman"/>
                <w:sz w:val="18"/>
                <w:szCs w:val="18"/>
                <w:vertAlign w:val="superscript"/>
              </w:rPr>
              <w:t>***</w:t>
            </w:r>
          </w:p>
        </w:tc>
        <w:tc>
          <w:tcPr>
            <w:tcW w:w="1248" w:type="pct"/>
            <w:tcBorders>
              <w:bottom w:val="single" w:sz="8" w:space="0" w:color="auto"/>
            </w:tcBorders>
            <w:vAlign w:val="center"/>
          </w:tcPr>
          <w:p w14:paraId="4AB1726C" w14:textId="77777777" w:rsidR="00276895" w:rsidRPr="00CB35E2" w:rsidRDefault="00276895" w:rsidP="00885770">
            <w:pPr>
              <w:jc w:val="center"/>
              <w:rPr>
                <w:rFonts w:ascii="Times New Roman" w:eastAsia="仿宋" w:hAnsi="Times New Roman" w:cs="Times New Roman"/>
                <w:sz w:val="18"/>
                <w:szCs w:val="18"/>
              </w:rPr>
            </w:pPr>
            <w:r w:rsidRPr="00CB35E2">
              <w:rPr>
                <w:rFonts w:ascii="Times New Roman" w:eastAsia="仿宋" w:hAnsi="Times New Roman" w:cs="Times New Roman"/>
                <w:sz w:val="18"/>
                <w:szCs w:val="18"/>
              </w:rPr>
              <w:t>1</w:t>
            </w:r>
          </w:p>
        </w:tc>
      </w:tr>
    </w:tbl>
    <w:p w14:paraId="76A28643" w14:textId="77777777" w:rsidR="00276895" w:rsidRPr="00CB35E2" w:rsidRDefault="00276895" w:rsidP="00276895">
      <w:pPr>
        <w:rPr>
          <w:sz w:val="18"/>
          <w:szCs w:val="18"/>
        </w:rPr>
      </w:pPr>
      <w:r w:rsidRPr="00CB35E2">
        <w:rPr>
          <w:rFonts w:hint="eastAsia"/>
          <w:sz w:val="18"/>
          <w:szCs w:val="18"/>
        </w:rPr>
        <w:t xml:space="preserve">Note(s): </w:t>
      </w:r>
      <w:r w:rsidRPr="00CB35E2">
        <w:rPr>
          <w:sz w:val="18"/>
          <w:szCs w:val="18"/>
        </w:rPr>
        <w:t>The lower left triangle reports Pearson correlation coefficients, while the upper right triangle reports Spearman correlation coefficients among the interaction term (</w:t>
      </w:r>
      <w:r w:rsidRPr="00CB35E2">
        <w:rPr>
          <w:i/>
          <w:iCs/>
          <w:sz w:val="18"/>
          <w:szCs w:val="18"/>
        </w:rPr>
        <w:t>ET</w:t>
      </w:r>
      <w:r w:rsidRPr="00CB35E2">
        <w:rPr>
          <w:sz w:val="18"/>
          <w:szCs w:val="18"/>
        </w:rPr>
        <w:t>), blockholder competition (</w:t>
      </w:r>
      <w:r w:rsidRPr="00CB35E2">
        <w:rPr>
          <w:i/>
          <w:iCs/>
          <w:sz w:val="18"/>
          <w:szCs w:val="18"/>
        </w:rPr>
        <w:t>BHCOMP</w:t>
      </w:r>
      <w:r w:rsidRPr="00CB35E2">
        <w:rPr>
          <w:sz w:val="18"/>
          <w:szCs w:val="18"/>
        </w:rPr>
        <w:t>), and shareholder liquidity (</w:t>
      </w:r>
      <w:r w:rsidRPr="00CB35E2">
        <w:rPr>
          <w:i/>
          <w:iCs/>
          <w:sz w:val="18"/>
          <w:szCs w:val="18"/>
        </w:rPr>
        <w:t>TURNOVER</w:t>
      </w:r>
      <w:r w:rsidRPr="00CB35E2">
        <w:rPr>
          <w:sz w:val="18"/>
          <w:szCs w:val="18"/>
        </w:rPr>
        <w:t xml:space="preserve">). </w:t>
      </w:r>
      <w:r w:rsidRPr="00CB35E2">
        <w:rPr>
          <w:sz w:val="18"/>
          <w:szCs w:val="18"/>
          <w:vertAlign w:val="superscript"/>
        </w:rPr>
        <w:t>***</w:t>
      </w:r>
      <w:r w:rsidRPr="00CB35E2">
        <w:rPr>
          <w:sz w:val="18"/>
          <w:szCs w:val="18"/>
        </w:rPr>
        <w:t xml:space="preserve"> indicates significance at the 1% level. High absolute correlation coefficients (e.g., |r| &gt; 0.7) may suggest potential multicollinearity issues in regression analysis. </w:t>
      </w:r>
    </w:p>
    <w:p w14:paraId="5405BF49" w14:textId="77777777" w:rsidR="00276895" w:rsidRPr="00CB35E2" w:rsidRDefault="00276895" w:rsidP="00276895">
      <w:pPr>
        <w:rPr>
          <w:sz w:val="18"/>
          <w:szCs w:val="18"/>
        </w:rPr>
      </w:pPr>
      <w:r w:rsidRPr="00CB35E2">
        <w:rPr>
          <w:rFonts w:hint="eastAsia"/>
          <w:sz w:val="18"/>
          <w:szCs w:val="18"/>
        </w:rPr>
        <w:t>Source(s): Table by author</w:t>
      </w:r>
    </w:p>
    <w:p w14:paraId="281FB969" w14:textId="77777777" w:rsidR="00276895" w:rsidRDefault="00276895" w:rsidP="00276895">
      <w:pPr>
        <w:keepNext/>
        <w:keepLines/>
        <w:spacing w:beforeLines="50" w:before="156" w:afterLines="50" w:after="156" w:line="288" w:lineRule="auto"/>
        <w:jc w:val="left"/>
        <w:outlineLvl w:val="0"/>
        <w:rPr>
          <w:rFonts w:eastAsia="DengXian Light"/>
          <w:b/>
          <w:bCs/>
          <w:color w:val="0066FF"/>
          <w:kern w:val="44"/>
          <w:sz w:val="25"/>
          <w:szCs w:val="23"/>
        </w:rPr>
      </w:pPr>
      <w:bookmarkStart w:id="4" w:name="_GoBack"/>
      <w:bookmarkEnd w:id="4"/>
    </w:p>
    <w:p w14:paraId="2D1745C0" w14:textId="7C56C710" w:rsidR="005F17AF" w:rsidRPr="005F17AF" w:rsidRDefault="005F17AF" w:rsidP="00450A46">
      <w:pPr>
        <w:keepNext/>
        <w:keepLines/>
        <w:spacing w:beforeLines="50" w:before="156" w:afterLines="50" w:after="156" w:line="288" w:lineRule="auto"/>
        <w:ind w:firstLineChars="200" w:firstLine="500"/>
        <w:jc w:val="left"/>
        <w:outlineLvl w:val="0"/>
        <w:rPr>
          <w:rFonts w:eastAsia="DengXian Light"/>
          <w:b/>
          <w:bCs/>
          <w:color w:val="0066FF"/>
          <w:kern w:val="44"/>
          <w:sz w:val="25"/>
          <w:szCs w:val="23"/>
        </w:rPr>
      </w:pPr>
      <w:r w:rsidRPr="005F17AF">
        <w:rPr>
          <w:rFonts w:eastAsia="DengXian Light" w:hint="eastAsia"/>
          <w:b/>
          <w:bCs/>
          <w:color w:val="0066FF"/>
          <w:kern w:val="44"/>
          <w:sz w:val="25"/>
          <w:szCs w:val="23"/>
        </w:rPr>
        <w:t>Appendix 3</w:t>
      </w:r>
      <w:r w:rsidRPr="005F17AF">
        <w:rPr>
          <w:rFonts w:eastAsia="DengXian Light"/>
          <w:b/>
          <w:bCs/>
          <w:color w:val="0D0D0D"/>
          <w:kern w:val="44"/>
          <w:sz w:val="25"/>
          <w:szCs w:val="23"/>
          <w:vertAlign w:val="superscript"/>
        </w:rPr>
        <w:footnoteReference w:id="1"/>
      </w:r>
    </w:p>
    <w:bookmarkEnd w:id="0"/>
    <w:p w14:paraId="34DEFBE0" w14:textId="77777777" w:rsidR="005F17AF" w:rsidRPr="005F17AF" w:rsidRDefault="005F17AF" w:rsidP="005F17AF">
      <w:pPr>
        <w:ind w:firstLine="400"/>
        <w:rPr>
          <w:rFonts w:eastAsia="DengXian"/>
          <w:color w:val="0D0D0D"/>
          <w:sz w:val="23"/>
          <w:szCs w:val="23"/>
        </w:rPr>
      </w:pPr>
      <w:r w:rsidRPr="005F17AF">
        <w:rPr>
          <w:rFonts w:eastAsia="DengXian"/>
          <w:color w:val="0D0D0D"/>
          <w:sz w:val="23"/>
          <w:szCs w:val="23"/>
        </w:rPr>
        <w:t>To help readers intuitively understand how tone manipulation is reflected in real texts, we present two MD&amp;A excerpts from Chinese listed companies’ annual reports, representing cases with abnormally high and low positive tone, respectively. The excerpts and tone analysis are as follows.</w:t>
      </w:r>
    </w:p>
    <w:p w14:paraId="69719C03" w14:textId="77777777" w:rsidR="005F17AF" w:rsidRPr="005F17AF" w:rsidRDefault="005F17AF" w:rsidP="005F17AF">
      <w:pPr>
        <w:ind w:firstLine="400"/>
        <w:rPr>
          <w:rFonts w:eastAsia="DengXian"/>
          <w:b/>
          <w:bCs/>
          <w:color w:val="0D0D0D"/>
          <w:sz w:val="23"/>
          <w:szCs w:val="23"/>
        </w:rPr>
      </w:pPr>
      <w:r w:rsidRPr="005F17AF">
        <w:rPr>
          <w:rFonts w:eastAsia="DengXian"/>
          <w:b/>
          <w:bCs/>
          <w:color w:val="0D0D0D"/>
          <w:sz w:val="23"/>
          <w:szCs w:val="23"/>
        </w:rPr>
        <w:t>Case 1: MD&amp;A Excerpt with Abnormally High Positive Tone</w:t>
      </w:r>
    </w:p>
    <w:p w14:paraId="467AFE8C" w14:textId="77777777" w:rsidR="005F17AF" w:rsidRPr="005F17AF" w:rsidRDefault="005F17AF" w:rsidP="005F17AF">
      <w:pPr>
        <w:ind w:firstLine="400"/>
        <w:rPr>
          <w:rFonts w:eastAsia="DengXian"/>
          <w:color w:val="0D0D0D"/>
          <w:sz w:val="23"/>
          <w:szCs w:val="23"/>
        </w:rPr>
      </w:pPr>
      <w:r w:rsidRPr="005F17AF">
        <w:rPr>
          <w:rFonts w:eastAsia="DengXian"/>
          <w:b/>
          <w:bCs/>
          <w:color w:val="0D0D0D"/>
          <w:sz w:val="23"/>
          <w:szCs w:val="23"/>
        </w:rPr>
        <w:t>Company</w:t>
      </w:r>
      <w:r w:rsidRPr="005F17AF">
        <w:rPr>
          <w:rFonts w:eastAsia="DengXian" w:hint="eastAsia"/>
          <w:b/>
          <w:bCs/>
          <w:color w:val="0D0D0D"/>
          <w:sz w:val="23"/>
          <w:szCs w:val="23"/>
        </w:rPr>
        <w:t xml:space="preserve"> </w:t>
      </w:r>
      <w:r w:rsidRPr="005F17AF">
        <w:rPr>
          <w:rFonts w:eastAsia="DengXian" w:hint="eastAsia"/>
          <w:color w:val="0D0D0D"/>
          <w:sz w:val="23"/>
          <w:szCs w:val="23"/>
        </w:rPr>
        <w:t>A</w:t>
      </w:r>
    </w:p>
    <w:p w14:paraId="77842A6E" w14:textId="77777777" w:rsidR="005F17AF" w:rsidRPr="005F17AF" w:rsidRDefault="005F17AF" w:rsidP="005F17AF">
      <w:pPr>
        <w:ind w:firstLine="400"/>
        <w:rPr>
          <w:rFonts w:eastAsia="DengXian"/>
          <w:color w:val="0D0D0D"/>
          <w:sz w:val="23"/>
          <w:szCs w:val="23"/>
        </w:rPr>
      </w:pPr>
      <w:r w:rsidRPr="005F17AF">
        <w:rPr>
          <w:rFonts w:eastAsia="DengXian"/>
          <w:b/>
          <w:bCs/>
          <w:color w:val="0D0D0D"/>
          <w:sz w:val="23"/>
          <w:szCs w:val="23"/>
        </w:rPr>
        <w:t>Source</w:t>
      </w:r>
      <w:r w:rsidRPr="005F17AF">
        <w:rPr>
          <w:rFonts w:eastAsia="DengXian"/>
          <w:color w:val="0D0D0D"/>
          <w:sz w:val="23"/>
          <w:szCs w:val="23"/>
        </w:rPr>
        <w:t xml:space="preserve">: 2018 Annual Report </w:t>
      </w:r>
    </w:p>
    <w:p w14:paraId="245CBB8B" w14:textId="77777777" w:rsidR="005F17AF" w:rsidRPr="005F17AF" w:rsidRDefault="005F17AF" w:rsidP="005F17AF">
      <w:pPr>
        <w:ind w:firstLine="400"/>
        <w:rPr>
          <w:rFonts w:eastAsia="DengXian"/>
          <w:color w:val="0D0D0D"/>
          <w:sz w:val="23"/>
          <w:szCs w:val="23"/>
        </w:rPr>
      </w:pPr>
      <w:r w:rsidRPr="005F17AF">
        <w:rPr>
          <w:rFonts w:eastAsia="DengXian"/>
          <w:b/>
          <w:bCs/>
          <w:color w:val="0D0D0D"/>
          <w:sz w:val="23"/>
          <w:szCs w:val="23"/>
        </w:rPr>
        <w:t>Excerpt</w:t>
      </w:r>
      <w:r w:rsidRPr="005F17AF">
        <w:rPr>
          <w:rFonts w:eastAsia="DengXian"/>
          <w:color w:val="0D0D0D"/>
          <w:sz w:val="23"/>
          <w:szCs w:val="23"/>
        </w:rPr>
        <w:t>:</w:t>
      </w:r>
    </w:p>
    <w:p w14:paraId="14938776" w14:textId="77777777" w:rsidR="005F17AF" w:rsidRPr="005F17AF" w:rsidRDefault="005F17AF" w:rsidP="005F17AF">
      <w:pPr>
        <w:ind w:firstLine="400"/>
        <w:rPr>
          <w:rFonts w:eastAsia="DengXian"/>
          <w:b/>
          <w:bCs/>
          <w:color w:val="0D0D0D"/>
          <w:sz w:val="23"/>
          <w:szCs w:val="23"/>
        </w:rPr>
      </w:pPr>
      <w:r w:rsidRPr="005F17AF">
        <w:rPr>
          <w:rFonts w:eastAsia="DengXian"/>
          <w:b/>
          <w:bCs/>
          <w:color w:val="0D0D0D"/>
          <w:sz w:val="23"/>
          <w:szCs w:val="23"/>
        </w:rPr>
        <w:t>Chinese Original:</w:t>
      </w:r>
    </w:p>
    <w:p w14:paraId="7AC063AD" w14:textId="77777777" w:rsidR="005F17AF" w:rsidRPr="005F17AF" w:rsidRDefault="005F17AF" w:rsidP="005F17AF">
      <w:pPr>
        <w:ind w:firstLineChars="200" w:firstLine="420"/>
        <w:rPr>
          <w:color w:val="0D0D0D"/>
          <w:szCs w:val="22"/>
        </w:rPr>
      </w:pPr>
      <w:r w:rsidRPr="005F17AF">
        <w:rPr>
          <w:color w:val="0D0D0D"/>
          <w:szCs w:val="22"/>
        </w:rPr>
        <w:t>公司致力于成为全球电机及驱动控制系统绿色环保解决方案领域的卓越供应商，为全球客户提供安全、环保、高效的电机驱动系统解决方案，是一家拥有</w:t>
      </w:r>
      <w:r w:rsidRPr="005F17AF">
        <w:rPr>
          <w:color w:val="0D0D0D"/>
          <w:szCs w:val="22"/>
        </w:rPr>
        <w:t>“</w:t>
      </w:r>
      <w:r w:rsidRPr="005F17AF">
        <w:rPr>
          <w:color w:val="0D0D0D"/>
          <w:szCs w:val="22"/>
        </w:rPr>
        <w:t>建筑及家居电器电机、新能源汽车动力总成系统、车辆旋转电器、氢燃料电池系统及氢能发动机系统</w:t>
      </w:r>
      <w:r w:rsidRPr="005F17AF">
        <w:rPr>
          <w:color w:val="0D0D0D"/>
          <w:szCs w:val="22"/>
        </w:rPr>
        <w:t>”</w:t>
      </w:r>
      <w:r w:rsidRPr="005F17AF">
        <w:rPr>
          <w:color w:val="0D0D0D"/>
          <w:szCs w:val="22"/>
        </w:rPr>
        <w:t>等产品，集</w:t>
      </w:r>
      <w:r w:rsidRPr="005F17AF">
        <w:rPr>
          <w:color w:val="0D0D0D"/>
          <w:szCs w:val="22"/>
        </w:rPr>
        <w:t>“</w:t>
      </w:r>
      <w:r w:rsidRPr="005F17AF">
        <w:rPr>
          <w:color w:val="0D0D0D"/>
          <w:szCs w:val="22"/>
        </w:rPr>
        <w:t>高度自主研发、精益制造、智慧营销</w:t>
      </w:r>
      <w:r w:rsidRPr="005F17AF">
        <w:rPr>
          <w:color w:val="0D0D0D"/>
          <w:szCs w:val="22"/>
        </w:rPr>
        <w:t>”</w:t>
      </w:r>
      <w:r w:rsidRPr="005F17AF">
        <w:rPr>
          <w:color w:val="0D0D0D"/>
          <w:szCs w:val="22"/>
        </w:rPr>
        <w:t>为一体的高新技术企业。</w:t>
      </w:r>
    </w:p>
    <w:p w14:paraId="41BCCB53" w14:textId="77777777" w:rsidR="005F17AF" w:rsidRPr="005F17AF" w:rsidRDefault="005F17AF" w:rsidP="005F17AF">
      <w:pPr>
        <w:ind w:firstLineChars="200" w:firstLine="420"/>
        <w:rPr>
          <w:color w:val="0D0D0D"/>
          <w:szCs w:val="22"/>
        </w:rPr>
      </w:pPr>
      <w:r w:rsidRPr="005F17AF">
        <w:rPr>
          <w:rFonts w:hint="eastAsia"/>
          <w:color w:val="0D0D0D"/>
          <w:szCs w:val="22"/>
        </w:rPr>
        <w:t>公司在建筑及家居电器电机产业不断发展壮大的基础上，加快产业的转型升级。在全球新能源汽车及氢燃料电池产业链的精准布局，有效提升了公司在全球新能源汽车行业及氢燃料电池行业的地位。在产业转型升级过程中，公司不断优化产业布局，积极推进精益生产和自动化制造，提高生产效率，发挥协同效应，为公司的中长期发展和战略目标的实现提供了重要的发展支撑。</w:t>
      </w:r>
    </w:p>
    <w:p w14:paraId="02D10327" w14:textId="77777777" w:rsidR="005F17AF" w:rsidRPr="005F17AF" w:rsidRDefault="005F17AF" w:rsidP="005F17AF">
      <w:pPr>
        <w:ind w:firstLineChars="200" w:firstLine="420"/>
        <w:rPr>
          <w:color w:val="0D0D0D"/>
          <w:szCs w:val="22"/>
        </w:rPr>
      </w:pPr>
      <w:r w:rsidRPr="005F17AF">
        <w:rPr>
          <w:color w:val="0D0D0D"/>
          <w:szCs w:val="22"/>
        </w:rPr>
        <w:t>公司作为全球领先的电机及其驱动系统提供商，拥有国际竞争力的电机电控研发与制造能力，是市场份额全球领先的建筑及家居电器电机行业领导者，技术领先、规模最大的新能源汽车动力总成系统及氢燃料电池系统的独立供应商，最受欢迎的车辆旋转电器供应商和行业首选品牌之一。</w:t>
      </w:r>
    </w:p>
    <w:p w14:paraId="27729409" w14:textId="77777777" w:rsidR="005F17AF" w:rsidRPr="005F17AF" w:rsidRDefault="005F17AF" w:rsidP="005F17AF">
      <w:pPr>
        <w:ind w:firstLineChars="200" w:firstLine="420"/>
        <w:rPr>
          <w:color w:val="0D0D0D"/>
          <w:szCs w:val="22"/>
        </w:rPr>
      </w:pPr>
      <w:r w:rsidRPr="005F17AF">
        <w:rPr>
          <w:color w:val="0D0D0D"/>
          <w:szCs w:val="22"/>
        </w:rPr>
        <w:t>氢燃料电池具有零排放、零污染的特性，被认为是未来清洁环保的理想技术，是终极能源动力解决方案。预计燃料电池发展将掀起一轮能源革命，氢将取代一部分化石燃料，成为能源体系中的重要一环，未来氢燃料电池市场规模可达万亿级别。</w:t>
      </w:r>
    </w:p>
    <w:p w14:paraId="71A5DED5" w14:textId="77777777" w:rsidR="005F17AF" w:rsidRPr="005F17AF" w:rsidRDefault="005F17AF" w:rsidP="005F17AF">
      <w:pPr>
        <w:ind w:firstLineChars="200" w:firstLine="420"/>
        <w:rPr>
          <w:color w:val="0D0D0D"/>
          <w:szCs w:val="22"/>
        </w:rPr>
      </w:pPr>
      <w:r w:rsidRPr="005F17AF">
        <w:rPr>
          <w:color w:val="0D0D0D"/>
          <w:szCs w:val="22"/>
        </w:rPr>
        <w:t>公司自创立以来，始终坚持</w:t>
      </w:r>
      <w:r w:rsidRPr="005F17AF">
        <w:rPr>
          <w:color w:val="0D0D0D"/>
          <w:szCs w:val="22"/>
        </w:rPr>
        <w:t>“</w:t>
      </w:r>
      <w:r w:rsidRPr="005F17AF">
        <w:rPr>
          <w:color w:val="0D0D0D"/>
          <w:szCs w:val="22"/>
        </w:rPr>
        <w:t>自主品牌、自主研发、自主生产、自主销售</w:t>
      </w:r>
      <w:r w:rsidRPr="005F17AF">
        <w:rPr>
          <w:color w:val="0D0D0D"/>
          <w:szCs w:val="22"/>
        </w:rPr>
        <w:t>”</w:t>
      </w:r>
      <w:r w:rsidRPr="005F17AF">
        <w:rPr>
          <w:color w:val="0D0D0D"/>
          <w:szCs w:val="22"/>
        </w:rPr>
        <w:t>的原则，在产品的技术水平、质量控制、交付服务等方面保持较高水准，得到国内外客户和同行的广泛好评。通过实施严格的生产过程质量控制和执行规范的技术标准，公司生产、销售的</w:t>
      </w:r>
      <w:r w:rsidRPr="005F17AF">
        <w:rPr>
          <w:color w:val="0D0D0D"/>
          <w:szCs w:val="22"/>
        </w:rPr>
        <w:t>“</w:t>
      </w:r>
      <w:r w:rsidRPr="005F17AF">
        <w:rPr>
          <w:rFonts w:eastAsia="仿宋"/>
          <w:color w:val="0D0D0D"/>
          <w:szCs w:val="22"/>
        </w:rPr>
        <w:t>…</w:t>
      </w:r>
      <w:r w:rsidRPr="005F17AF">
        <w:rPr>
          <w:color w:val="0D0D0D"/>
          <w:szCs w:val="22"/>
        </w:rPr>
        <w:t>”</w:t>
      </w:r>
      <w:r w:rsidRPr="005F17AF">
        <w:rPr>
          <w:color w:val="0D0D0D"/>
          <w:szCs w:val="22"/>
        </w:rPr>
        <w:t>系列建筑及家居电器电机及新能源汽车动力总成产品，在同行业已成为知名品牌，在国内和国际市场上享有一定的知名度和美誉度。</w:t>
      </w:r>
    </w:p>
    <w:p w14:paraId="03627FC1" w14:textId="77777777" w:rsidR="005F17AF" w:rsidRPr="005F17AF" w:rsidRDefault="005F17AF" w:rsidP="005F17AF">
      <w:pPr>
        <w:ind w:firstLine="400"/>
        <w:rPr>
          <w:rFonts w:eastAsia="DengXian"/>
          <w:b/>
          <w:bCs/>
          <w:color w:val="0D0D0D"/>
          <w:sz w:val="23"/>
          <w:szCs w:val="23"/>
        </w:rPr>
      </w:pPr>
      <w:r w:rsidRPr="005F17AF">
        <w:rPr>
          <w:rFonts w:eastAsia="DengXian"/>
          <w:b/>
          <w:bCs/>
          <w:color w:val="0D0D0D"/>
          <w:sz w:val="23"/>
          <w:szCs w:val="23"/>
        </w:rPr>
        <w:t>English Translation:</w:t>
      </w:r>
    </w:p>
    <w:p w14:paraId="74CBB1A7" w14:textId="77777777" w:rsidR="005F17AF" w:rsidRPr="005F17AF" w:rsidRDefault="005F17AF" w:rsidP="005F17AF">
      <w:pPr>
        <w:ind w:firstLine="400"/>
        <w:rPr>
          <w:rFonts w:eastAsia="DengXian"/>
          <w:i/>
          <w:iCs/>
          <w:color w:val="0D0D0D"/>
          <w:sz w:val="23"/>
          <w:szCs w:val="23"/>
        </w:rPr>
      </w:pPr>
      <w:r w:rsidRPr="005F17AF">
        <w:rPr>
          <w:rFonts w:eastAsia="DengXian"/>
          <w:i/>
          <w:iCs/>
          <w:color w:val="0D0D0D"/>
          <w:sz w:val="23"/>
          <w:szCs w:val="23"/>
        </w:rPr>
        <w:t>The company is committed to becoming a world-class provider of green and environmentally friendly solutions for electric motor and drive control systems, offering safe, environmentally friendly, and efficient drive system solutions to global customers. It is a high-tech enterprise with “building and household appliance motors, new energy vehicle powertrain systems, vehicle rotating electrical appliances, hydrogen fuel cell systems, and hydrogen engine systems”, integrating “independent R&amp;D, lean manufacturing, and intelligent marketing”.</w:t>
      </w:r>
    </w:p>
    <w:p w14:paraId="456B49C1" w14:textId="77777777" w:rsidR="005F17AF" w:rsidRPr="005F17AF" w:rsidRDefault="005F17AF" w:rsidP="005F17AF">
      <w:pPr>
        <w:ind w:firstLine="400"/>
        <w:rPr>
          <w:rFonts w:eastAsia="DengXian"/>
          <w:i/>
          <w:iCs/>
          <w:color w:val="0D0D0D"/>
          <w:sz w:val="23"/>
          <w:szCs w:val="23"/>
        </w:rPr>
      </w:pPr>
      <w:r w:rsidRPr="005F17AF">
        <w:rPr>
          <w:rFonts w:eastAsia="DengXian"/>
          <w:i/>
          <w:iCs/>
          <w:color w:val="0D0D0D"/>
          <w:sz w:val="23"/>
          <w:szCs w:val="23"/>
        </w:rPr>
        <w:t xml:space="preserve">Based on the company’s continuous growth and expansion in the construction and home appliance motor industries, it has accelerated the transformation and upgrading of its business. Through precise positioning in the global new energy vehicle (NEV) and hydrogen fuel cell industry chains, the company has effectively enhanced its standing in both the global NEV and hydrogen fuel cell sectors. During the process of industrial transformation and upgrading, the </w:t>
      </w:r>
      <w:r w:rsidRPr="005F17AF">
        <w:rPr>
          <w:rFonts w:eastAsia="DengXian"/>
          <w:i/>
          <w:iCs/>
          <w:color w:val="0D0D0D"/>
          <w:sz w:val="23"/>
          <w:szCs w:val="23"/>
        </w:rPr>
        <w:lastRenderedPageBreak/>
        <w:t>company has continuously optimized its industrial layout, actively promoted lean production and automated manufacturing, improved production efficiency, and leveraged synergistic effects. These efforts have provided important support for the company’s medium- and long-term development as well as the achievement of its strategic objectives.</w:t>
      </w:r>
    </w:p>
    <w:p w14:paraId="3FF95525" w14:textId="77777777" w:rsidR="005F17AF" w:rsidRPr="005F17AF" w:rsidRDefault="005F17AF" w:rsidP="005F17AF">
      <w:pPr>
        <w:ind w:firstLine="400"/>
        <w:rPr>
          <w:rFonts w:eastAsia="DengXian"/>
          <w:i/>
          <w:iCs/>
          <w:color w:val="0D0D0D"/>
          <w:sz w:val="23"/>
          <w:szCs w:val="23"/>
        </w:rPr>
      </w:pPr>
      <w:r w:rsidRPr="005F17AF">
        <w:rPr>
          <w:rFonts w:eastAsia="DengXian"/>
          <w:i/>
          <w:iCs/>
          <w:color w:val="0D0D0D"/>
          <w:sz w:val="23"/>
          <w:szCs w:val="23"/>
        </w:rPr>
        <w:t>As a global leader in electric motors and drive systems, the company possesses internationally competitive R&amp;D and manufacturing capabilities. It is the global market leader in the building and household appliance motor industry, the largest independent supplier of new energy vehicle powertrain systems and hydrogen fuel cell systems, and one of the most popular brands for vehicle rotating electrical appliances.</w:t>
      </w:r>
    </w:p>
    <w:p w14:paraId="5B4432B9" w14:textId="77777777" w:rsidR="005F17AF" w:rsidRPr="005F17AF" w:rsidRDefault="005F17AF" w:rsidP="005F17AF">
      <w:pPr>
        <w:ind w:firstLine="400"/>
        <w:rPr>
          <w:rFonts w:eastAsia="DengXian"/>
          <w:i/>
          <w:iCs/>
          <w:color w:val="0D0D0D"/>
          <w:sz w:val="23"/>
          <w:szCs w:val="23"/>
        </w:rPr>
      </w:pPr>
      <w:r w:rsidRPr="005F17AF">
        <w:rPr>
          <w:rFonts w:eastAsia="DengXian"/>
          <w:i/>
          <w:iCs/>
          <w:color w:val="0D0D0D"/>
          <w:sz w:val="23"/>
          <w:szCs w:val="23"/>
        </w:rPr>
        <w:t>Hydrogen fuel cells, characterized by zero emissions and pollution, are regarded as the ideal technology for future clean energy and the ultimate power solution. It is expected that the development of fuel cells will trigger a new energy revolution, and hydrogen will replace part of fossil fuels, becoming an important part of the energy system. The market size of hydrogen fuel cells is expected to reach a trillion yuan.</w:t>
      </w:r>
    </w:p>
    <w:p w14:paraId="625ACB95" w14:textId="77777777" w:rsidR="005F17AF" w:rsidRPr="005F17AF" w:rsidRDefault="005F17AF" w:rsidP="005F17AF">
      <w:pPr>
        <w:ind w:firstLine="400"/>
        <w:rPr>
          <w:rFonts w:eastAsia="DengXian"/>
          <w:i/>
          <w:iCs/>
          <w:color w:val="0D0D0D"/>
          <w:sz w:val="23"/>
          <w:szCs w:val="23"/>
        </w:rPr>
      </w:pPr>
      <w:r w:rsidRPr="005F17AF">
        <w:rPr>
          <w:rFonts w:eastAsia="DengXian"/>
          <w:i/>
          <w:iCs/>
          <w:color w:val="0D0D0D"/>
          <w:sz w:val="23"/>
          <w:szCs w:val="23"/>
        </w:rPr>
        <w:t>Since its establishment, the company has adhered to the principle of “independent brand, independent R&amp;D, independent manufacturing, and independent sales”, maintaining a high standard in product technology, quality control, and delivery service, and has been widely praised by domestic and foreign customers and peers. Through strict quality control and technical standards, the “</w:t>
      </w:r>
      <w:r w:rsidRPr="005F17AF">
        <w:rPr>
          <w:rFonts w:eastAsia="仿宋"/>
          <w:color w:val="0D0D0D"/>
          <w:szCs w:val="22"/>
        </w:rPr>
        <w:t>…</w:t>
      </w:r>
      <w:r w:rsidRPr="005F17AF">
        <w:rPr>
          <w:rFonts w:eastAsia="DengXian"/>
          <w:i/>
          <w:iCs/>
          <w:color w:val="0D0D0D"/>
          <w:sz w:val="23"/>
          <w:szCs w:val="23"/>
        </w:rPr>
        <w:t>” series produced and sold by the company has become a well-known brand in the industry and enjoys a high reputation in both domestic and international markets.</w:t>
      </w:r>
    </w:p>
    <w:p w14:paraId="5040EDF1" w14:textId="77777777" w:rsidR="005F17AF" w:rsidRPr="005F17AF" w:rsidRDefault="005F17AF" w:rsidP="005F17AF">
      <w:pPr>
        <w:ind w:firstLine="400"/>
        <w:rPr>
          <w:rFonts w:eastAsia="DengXian"/>
          <w:color w:val="0D0D0D"/>
          <w:sz w:val="23"/>
          <w:szCs w:val="23"/>
        </w:rPr>
      </w:pPr>
      <w:r w:rsidRPr="005F17AF">
        <w:rPr>
          <w:rFonts w:eastAsia="DengXian"/>
          <w:b/>
          <w:bCs/>
          <w:color w:val="0D0D0D"/>
          <w:sz w:val="23"/>
          <w:szCs w:val="23"/>
        </w:rPr>
        <w:t>Tone Analysis</w:t>
      </w:r>
      <w:r w:rsidRPr="005F17AF">
        <w:rPr>
          <w:rFonts w:eastAsia="DengXian"/>
          <w:color w:val="0D0D0D"/>
          <w:sz w:val="23"/>
          <w:szCs w:val="23"/>
        </w:rPr>
        <w:t>:</w:t>
      </w:r>
    </w:p>
    <w:p w14:paraId="65F51615" w14:textId="77777777" w:rsidR="005F17AF" w:rsidRPr="005F17AF" w:rsidRDefault="005F17AF" w:rsidP="005F17AF">
      <w:pPr>
        <w:ind w:firstLine="400"/>
        <w:rPr>
          <w:rFonts w:eastAsia="DengXian"/>
          <w:color w:val="0D0D0D"/>
          <w:sz w:val="23"/>
          <w:szCs w:val="23"/>
        </w:rPr>
      </w:pPr>
      <w:r w:rsidRPr="005F17AF">
        <w:rPr>
          <w:rFonts w:eastAsia="DengXian"/>
          <w:color w:val="0D0D0D"/>
          <w:sz w:val="23"/>
          <w:szCs w:val="23"/>
        </w:rPr>
        <w:t>This excerpt contains a large number of highly positive and forward-looking words and expressions, such as “world-class provider”, “global leader”, “internationally competitive”, “leading technology”, “most popular brand”, “ultimate power solution”, “trillion yuan market”, “great importance to R&amp;D and innovation”, “widely praised”, and “well-known brand”. Such language demonstrates strong confidence and optimism about the company’s future development. According to the LM sentiment dictionary and Model (1) residuals, the company’s positive tone in this year’s annual report is abnormally high.</w:t>
      </w:r>
      <w:r w:rsidRPr="005F17AF">
        <w:rPr>
          <w:rFonts w:ascii="DengXian" w:eastAsia="DengXian" w:hAnsi="DengXian"/>
          <w:color w:val="0D0D0D"/>
          <w:szCs w:val="22"/>
        </w:rPr>
        <w:t xml:space="preserve"> </w:t>
      </w:r>
      <w:r w:rsidRPr="005F17AF">
        <w:rPr>
          <w:rFonts w:eastAsia="DengXian"/>
          <w:color w:val="0D0D0D"/>
          <w:sz w:val="23"/>
          <w:szCs w:val="23"/>
        </w:rPr>
        <w:t>Such expression is consistent with the results of our quantitative sentiment analysis</w:t>
      </w:r>
      <w:r w:rsidRPr="005F17AF">
        <w:rPr>
          <w:rFonts w:eastAsia="DengXian" w:hint="eastAsia"/>
          <w:color w:val="0D0D0D"/>
          <w:sz w:val="23"/>
          <w:szCs w:val="23"/>
        </w:rPr>
        <w:t>.</w:t>
      </w:r>
    </w:p>
    <w:p w14:paraId="065D142D" w14:textId="77777777" w:rsidR="005F17AF" w:rsidRPr="005F17AF" w:rsidRDefault="005F17AF" w:rsidP="005F17AF">
      <w:pPr>
        <w:ind w:firstLine="400"/>
        <w:rPr>
          <w:rFonts w:eastAsia="DengXian"/>
          <w:b/>
          <w:bCs/>
          <w:color w:val="0D0D0D"/>
          <w:sz w:val="23"/>
          <w:szCs w:val="23"/>
        </w:rPr>
      </w:pPr>
      <w:r w:rsidRPr="005F17AF">
        <w:rPr>
          <w:rFonts w:eastAsia="DengXian"/>
          <w:b/>
          <w:bCs/>
          <w:color w:val="0D0D0D"/>
          <w:sz w:val="23"/>
          <w:szCs w:val="23"/>
        </w:rPr>
        <w:t>Case 2: MD&amp;A Excerpt with Abnormally Low Positive Tone</w:t>
      </w:r>
    </w:p>
    <w:p w14:paraId="3BDBAF15" w14:textId="77777777" w:rsidR="005F17AF" w:rsidRPr="005F17AF" w:rsidRDefault="005F17AF" w:rsidP="005F17AF">
      <w:pPr>
        <w:ind w:firstLine="400"/>
        <w:rPr>
          <w:rFonts w:eastAsia="DengXian"/>
          <w:color w:val="0D0D0D"/>
          <w:szCs w:val="22"/>
        </w:rPr>
      </w:pPr>
      <w:r w:rsidRPr="005F17AF">
        <w:rPr>
          <w:rFonts w:eastAsia="DengXian"/>
          <w:b/>
          <w:bCs/>
          <w:color w:val="0D0D0D"/>
          <w:sz w:val="23"/>
          <w:szCs w:val="23"/>
        </w:rPr>
        <w:t>Company B</w:t>
      </w:r>
    </w:p>
    <w:p w14:paraId="75D87CF6" w14:textId="77777777" w:rsidR="005F17AF" w:rsidRPr="005F17AF" w:rsidRDefault="005F17AF" w:rsidP="005F17AF">
      <w:pPr>
        <w:ind w:firstLine="400"/>
        <w:rPr>
          <w:rFonts w:eastAsia="DengXian"/>
          <w:color w:val="0D0D0D"/>
          <w:sz w:val="23"/>
          <w:szCs w:val="23"/>
        </w:rPr>
      </w:pPr>
      <w:r w:rsidRPr="005F17AF">
        <w:rPr>
          <w:rFonts w:eastAsia="DengXian"/>
          <w:b/>
          <w:bCs/>
          <w:color w:val="0D0D0D"/>
          <w:sz w:val="23"/>
          <w:szCs w:val="23"/>
        </w:rPr>
        <w:t>Source</w:t>
      </w:r>
      <w:r w:rsidRPr="005F17AF">
        <w:rPr>
          <w:rFonts w:eastAsia="DengXian"/>
          <w:color w:val="0D0D0D"/>
          <w:sz w:val="23"/>
          <w:szCs w:val="23"/>
        </w:rPr>
        <w:t xml:space="preserve">: 2022 Annual Report </w:t>
      </w:r>
    </w:p>
    <w:p w14:paraId="0D3EDC63" w14:textId="77777777" w:rsidR="005F17AF" w:rsidRPr="005F17AF" w:rsidRDefault="005F17AF" w:rsidP="005F17AF">
      <w:pPr>
        <w:ind w:firstLine="400"/>
        <w:rPr>
          <w:rFonts w:eastAsia="DengXian"/>
          <w:color w:val="0D0D0D"/>
          <w:sz w:val="23"/>
          <w:szCs w:val="23"/>
        </w:rPr>
      </w:pPr>
      <w:r w:rsidRPr="005F17AF">
        <w:rPr>
          <w:rFonts w:eastAsia="DengXian"/>
          <w:b/>
          <w:bCs/>
          <w:color w:val="0D0D0D"/>
          <w:sz w:val="23"/>
          <w:szCs w:val="23"/>
        </w:rPr>
        <w:t>Excerpt</w:t>
      </w:r>
      <w:r w:rsidRPr="005F17AF">
        <w:rPr>
          <w:rFonts w:eastAsia="DengXian"/>
          <w:color w:val="0D0D0D"/>
          <w:sz w:val="23"/>
          <w:szCs w:val="23"/>
        </w:rPr>
        <w:t>:</w:t>
      </w:r>
    </w:p>
    <w:p w14:paraId="3F996E8C" w14:textId="77777777" w:rsidR="005F17AF" w:rsidRPr="005F17AF" w:rsidRDefault="005F17AF" w:rsidP="005F17AF">
      <w:pPr>
        <w:ind w:firstLine="400"/>
        <w:rPr>
          <w:rFonts w:eastAsia="DengXian"/>
          <w:b/>
          <w:bCs/>
          <w:color w:val="0D0D0D"/>
          <w:sz w:val="23"/>
          <w:szCs w:val="23"/>
        </w:rPr>
      </w:pPr>
      <w:r w:rsidRPr="005F17AF">
        <w:rPr>
          <w:rFonts w:eastAsia="DengXian"/>
          <w:b/>
          <w:bCs/>
          <w:color w:val="0D0D0D"/>
          <w:sz w:val="23"/>
          <w:szCs w:val="23"/>
        </w:rPr>
        <w:t>Chinese Original:</w:t>
      </w:r>
    </w:p>
    <w:p w14:paraId="7C32CD9E" w14:textId="77777777" w:rsidR="005F17AF" w:rsidRPr="005F17AF" w:rsidRDefault="005F17AF" w:rsidP="005F17AF">
      <w:pPr>
        <w:ind w:firstLineChars="200" w:firstLine="420"/>
        <w:rPr>
          <w:color w:val="0D0D0D"/>
          <w:szCs w:val="22"/>
        </w:rPr>
      </w:pPr>
      <w:r w:rsidRPr="005F17AF">
        <w:rPr>
          <w:color w:val="0D0D0D"/>
          <w:szCs w:val="22"/>
        </w:rPr>
        <w:t xml:space="preserve">2022 </w:t>
      </w:r>
      <w:r w:rsidRPr="005F17AF">
        <w:rPr>
          <w:color w:val="0D0D0D"/>
          <w:szCs w:val="22"/>
        </w:rPr>
        <w:t>年，在公司董事会科学决策下，公司管理层带领全体员工努力克服和化解需求低迷、成本高企等困难和不利因素，以</w:t>
      </w:r>
      <w:r w:rsidRPr="005F17AF">
        <w:rPr>
          <w:color w:val="0D0D0D"/>
          <w:szCs w:val="22"/>
        </w:rPr>
        <w:t>“</w:t>
      </w:r>
      <w:r w:rsidRPr="005F17AF">
        <w:rPr>
          <w:color w:val="0D0D0D"/>
          <w:szCs w:val="22"/>
        </w:rPr>
        <w:t>坚持</w:t>
      </w:r>
      <w:r w:rsidRPr="005F17AF">
        <w:rPr>
          <w:color w:val="0D0D0D"/>
          <w:szCs w:val="22"/>
        </w:rPr>
        <w:t>”“</w:t>
      </w:r>
      <w:r w:rsidRPr="005F17AF">
        <w:rPr>
          <w:color w:val="0D0D0D"/>
          <w:szCs w:val="22"/>
        </w:rPr>
        <w:t>变革</w:t>
      </w:r>
      <w:r w:rsidRPr="005F17AF">
        <w:rPr>
          <w:color w:val="0D0D0D"/>
          <w:szCs w:val="22"/>
        </w:rPr>
        <w:t>”“</w:t>
      </w:r>
      <w:r w:rsidRPr="005F17AF">
        <w:rPr>
          <w:color w:val="0D0D0D"/>
          <w:szCs w:val="22"/>
        </w:rPr>
        <w:t>融合</w:t>
      </w:r>
      <w:r w:rsidRPr="005F17AF">
        <w:rPr>
          <w:color w:val="0D0D0D"/>
          <w:szCs w:val="22"/>
        </w:rPr>
        <w:t>”“</w:t>
      </w:r>
      <w:r w:rsidRPr="005F17AF">
        <w:rPr>
          <w:color w:val="0D0D0D"/>
          <w:szCs w:val="22"/>
        </w:rPr>
        <w:t>实干</w:t>
      </w:r>
      <w:r w:rsidRPr="005F17AF">
        <w:rPr>
          <w:color w:val="0D0D0D"/>
          <w:szCs w:val="22"/>
        </w:rPr>
        <w:t>”</w:t>
      </w:r>
      <w:r w:rsidRPr="005F17AF">
        <w:rPr>
          <w:color w:val="0D0D0D"/>
          <w:szCs w:val="22"/>
        </w:rPr>
        <w:t>为主基调，坚守</w:t>
      </w:r>
      <w:r w:rsidRPr="005F17AF">
        <w:rPr>
          <w:color w:val="0D0D0D"/>
          <w:szCs w:val="22"/>
        </w:rPr>
        <w:t>“</w:t>
      </w:r>
      <w:r w:rsidRPr="005F17AF">
        <w:rPr>
          <w:color w:val="0D0D0D"/>
          <w:szCs w:val="22"/>
        </w:rPr>
        <w:t>价本利</w:t>
      </w:r>
      <w:r w:rsidRPr="005F17AF">
        <w:rPr>
          <w:color w:val="0D0D0D"/>
          <w:szCs w:val="22"/>
        </w:rPr>
        <w:t>”</w:t>
      </w:r>
      <w:r w:rsidRPr="005F17AF">
        <w:rPr>
          <w:color w:val="0D0D0D"/>
          <w:szCs w:val="22"/>
        </w:rPr>
        <w:t>经营理念，坚持</w:t>
      </w:r>
      <w:r w:rsidRPr="005F17AF">
        <w:rPr>
          <w:color w:val="0D0D0D"/>
          <w:szCs w:val="22"/>
        </w:rPr>
        <w:t>“</w:t>
      </w:r>
      <w:r w:rsidRPr="005F17AF">
        <w:rPr>
          <w:color w:val="0D0D0D"/>
          <w:szCs w:val="22"/>
        </w:rPr>
        <w:t>三精管理</w:t>
      </w:r>
      <w:r w:rsidRPr="005F17AF">
        <w:rPr>
          <w:color w:val="0D0D0D"/>
          <w:szCs w:val="22"/>
        </w:rPr>
        <w:t>”</w:t>
      </w:r>
      <w:r w:rsidRPr="005F17AF">
        <w:rPr>
          <w:color w:val="0D0D0D"/>
          <w:szCs w:val="22"/>
        </w:rPr>
        <w:t>和</w:t>
      </w:r>
      <w:r w:rsidRPr="005F17AF">
        <w:rPr>
          <w:color w:val="0D0D0D"/>
          <w:szCs w:val="22"/>
        </w:rPr>
        <w:t>“</w:t>
      </w:r>
      <w:r w:rsidRPr="005F17AF">
        <w:rPr>
          <w:color w:val="0D0D0D"/>
          <w:szCs w:val="22"/>
        </w:rPr>
        <w:t>早细精实</w:t>
      </w:r>
      <w:r w:rsidRPr="005F17AF">
        <w:rPr>
          <w:color w:val="0D0D0D"/>
          <w:szCs w:val="22"/>
        </w:rPr>
        <w:t>”</w:t>
      </w:r>
      <w:r w:rsidRPr="005F17AF">
        <w:rPr>
          <w:color w:val="0D0D0D"/>
          <w:szCs w:val="22"/>
        </w:rPr>
        <w:t>工作作风，扎实推进生产经营、管理整合、科技创新、深化改革等各项工作。</w:t>
      </w:r>
    </w:p>
    <w:p w14:paraId="440721A8" w14:textId="77777777" w:rsidR="005F17AF" w:rsidRPr="005F17AF" w:rsidRDefault="005F17AF" w:rsidP="005F17AF">
      <w:pPr>
        <w:ind w:firstLineChars="200" w:firstLine="420"/>
        <w:rPr>
          <w:color w:val="0D0D0D"/>
          <w:szCs w:val="22"/>
        </w:rPr>
      </w:pPr>
      <w:r w:rsidRPr="005F17AF">
        <w:rPr>
          <w:color w:val="0D0D0D"/>
          <w:szCs w:val="22"/>
        </w:rPr>
        <w:t>报告期内，公司对</w:t>
      </w:r>
      <w:r w:rsidRPr="005F17AF">
        <w:rPr>
          <w:color w:val="0D0D0D"/>
          <w:szCs w:val="22"/>
        </w:rPr>
        <w:t>“</w:t>
      </w:r>
      <w:r w:rsidRPr="005F17AF">
        <w:rPr>
          <w:color w:val="0D0D0D"/>
          <w:szCs w:val="22"/>
        </w:rPr>
        <w:t>一体两翼、全球布局</w:t>
      </w:r>
      <w:r w:rsidRPr="005F17AF">
        <w:rPr>
          <w:color w:val="0D0D0D"/>
          <w:szCs w:val="22"/>
        </w:rPr>
        <w:t>”</w:t>
      </w:r>
      <w:r w:rsidRPr="005F17AF">
        <w:rPr>
          <w:color w:val="0D0D0D"/>
          <w:szCs w:val="22"/>
        </w:rPr>
        <w:t>发展战略进行了再学习、再评估、再认识、再出发，围绕发展战略落地，推进组织架构</w:t>
      </w:r>
      <w:r w:rsidRPr="005F17AF">
        <w:rPr>
          <w:color w:val="0D0D0D"/>
          <w:szCs w:val="22"/>
        </w:rPr>
        <w:t>“</w:t>
      </w:r>
      <w:r w:rsidRPr="005F17AF">
        <w:rPr>
          <w:color w:val="0D0D0D"/>
          <w:szCs w:val="22"/>
        </w:rPr>
        <w:t>扁平化，去层级，减链条</w:t>
      </w:r>
      <w:r w:rsidRPr="005F17AF">
        <w:rPr>
          <w:color w:val="0D0D0D"/>
          <w:szCs w:val="22"/>
        </w:rPr>
        <w:t>”</w:t>
      </w:r>
      <w:r w:rsidRPr="005F17AF">
        <w:rPr>
          <w:color w:val="0D0D0D"/>
          <w:szCs w:val="22"/>
        </w:rPr>
        <w:t>调整，实施总部、板块公司、生产基地的</w:t>
      </w:r>
      <w:r w:rsidRPr="005F17AF">
        <w:rPr>
          <w:color w:val="0D0D0D"/>
          <w:szCs w:val="22"/>
        </w:rPr>
        <w:t>“</w:t>
      </w:r>
      <w:r w:rsidRPr="005F17AF">
        <w:rPr>
          <w:color w:val="0D0D0D"/>
          <w:szCs w:val="22"/>
        </w:rPr>
        <w:t>三层管理架构</w:t>
      </w:r>
      <w:r w:rsidRPr="005F17AF">
        <w:rPr>
          <w:color w:val="0D0D0D"/>
          <w:szCs w:val="22"/>
        </w:rPr>
        <w:t>”</w:t>
      </w:r>
      <w:r w:rsidRPr="005F17AF">
        <w:rPr>
          <w:color w:val="0D0D0D"/>
          <w:szCs w:val="22"/>
        </w:rPr>
        <w:t>，实现管控上移、业务下移、业务归核化和专业化，积极推动各类资源要素向优势业务集中，实现要素驱动向模式驱动转变。报告期内，公司实现营业收入</w:t>
      </w:r>
      <w:r w:rsidRPr="005F17AF">
        <w:rPr>
          <w:color w:val="0D0D0D"/>
          <w:szCs w:val="22"/>
        </w:rPr>
        <w:t xml:space="preserve"> 1,993,431.31 </w:t>
      </w:r>
      <w:r w:rsidRPr="005F17AF">
        <w:rPr>
          <w:color w:val="0D0D0D"/>
          <w:szCs w:val="22"/>
        </w:rPr>
        <w:t>万元，同比下降</w:t>
      </w:r>
      <w:r w:rsidRPr="005F17AF">
        <w:rPr>
          <w:color w:val="0D0D0D"/>
          <w:szCs w:val="22"/>
        </w:rPr>
        <w:t xml:space="preserve"> 5.49%</w:t>
      </w:r>
      <w:r w:rsidRPr="005F17AF">
        <w:rPr>
          <w:color w:val="0D0D0D"/>
          <w:szCs w:val="22"/>
        </w:rPr>
        <w:t>；营业利润</w:t>
      </w:r>
      <w:r w:rsidRPr="005F17AF">
        <w:rPr>
          <w:color w:val="0D0D0D"/>
          <w:szCs w:val="22"/>
        </w:rPr>
        <w:t xml:space="preserve"> 331,135.67 </w:t>
      </w:r>
      <w:r w:rsidRPr="005F17AF">
        <w:rPr>
          <w:color w:val="0D0D0D"/>
          <w:szCs w:val="22"/>
        </w:rPr>
        <w:t>万元，同比下降</w:t>
      </w:r>
      <w:r w:rsidRPr="005F17AF">
        <w:rPr>
          <w:color w:val="0D0D0D"/>
          <w:szCs w:val="22"/>
        </w:rPr>
        <w:t xml:space="preserve"> 12.19%</w:t>
      </w:r>
      <w:r w:rsidRPr="005F17AF">
        <w:rPr>
          <w:color w:val="0D0D0D"/>
          <w:szCs w:val="22"/>
        </w:rPr>
        <w:t>；利润总额</w:t>
      </w:r>
      <w:r w:rsidRPr="005F17AF">
        <w:rPr>
          <w:color w:val="0D0D0D"/>
          <w:szCs w:val="22"/>
        </w:rPr>
        <w:t xml:space="preserve"> 328,342.28 </w:t>
      </w:r>
      <w:r w:rsidRPr="005F17AF">
        <w:rPr>
          <w:color w:val="0D0D0D"/>
          <w:szCs w:val="22"/>
        </w:rPr>
        <w:t>万元，同比下降</w:t>
      </w:r>
      <w:r w:rsidRPr="005F17AF">
        <w:rPr>
          <w:color w:val="0D0D0D"/>
          <w:szCs w:val="22"/>
        </w:rPr>
        <w:t xml:space="preserve"> 13.52%</w:t>
      </w:r>
      <w:r w:rsidRPr="005F17AF">
        <w:rPr>
          <w:color w:val="0D0D0D"/>
          <w:szCs w:val="22"/>
        </w:rPr>
        <w:t>；净利润</w:t>
      </w:r>
      <w:r w:rsidRPr="005F17AF">
        <w:rPr>
          <w:color w:val="0D0D0D"/>
          <w:szCs w:val="22"/>
        </w:rPr>
        <w:t xml:space="preserve"> 314,370.19 </w:t>
      </w:r>
      <w:r w:rsidRPr="005F17AF">
        <w:rPr>
          <w:color w:val="0D0D0D"/>
          <w:szCs w:val="22"/>
        </w:rPr>
        <w:t>万元，同比下降</w:t>
      </w:r>
      <w:r w:rsidRPr="005F17AF">
        <w:rPr>
          <w:color w:val="0D0D0D"/>
          <w:szCs w:val="22"/>
        </w:rPr>
        <w:t xml:space="preserve"> 11.56%</w:t>
      </w:r>
      <w:r w:rsidRPr="005F17AF">
        <w:rPr>
          <w:color w:val="0D0D0D"/>
          <w:szCs w:val="22"/>
        </w:rPr>
        <w:t>；归属于上市公司股东的净利润</w:t>
      </w:r>
      <w:r w:rsidRPr="005F17AF">
        <w:rPr>
          <w:color w:val="0D0D0D"/>
          <w:szCs w:val="22"/>
        </w:rPr>
        <w:t xml:space="preserve"> 313,639.79 </w:t>
      </w:r>
      <w:r w:rsidRPr="005F17AF">
        <w:rPr>
          <w:color w:val="0D0D0D"/>
          <w:szCs w:val="22"/>
        </w:rPr>
        <w:lastRenderedPageBreak/>
        <w:t>万元，同比下降</w:t>
      </w:r>
      <w:r w:rsidRPr="005F17AF">
        <w:rPr>
          <w:color w:val="0D0D0D"/>
          <w:szCs w:val="22"/>
        </w:rPr>
        <w:t xml:space="preserve"> 10.71%</w:t>
      </w:r>
      <w:r w:rsidRPr="005F17AF">
        <w:rPr>
          <w:color w:val="0D0D0D"/>
          <w:szCs w:val="22"/>
        </w:rPr>
        <w:t>；归属于上市公司股东的扣除非经常性损益的净利润</w:t>
      </w:r>
      <w:r w:rsidRPr="005F17AF">
        <w:rPr>
          <w:color w:val="0D0D0D"/>
          <w:szCs w:val="22"/>
        </w:rPr>
        <w:t xml:space="preserve"> 261,534.96 </w:t>
      </w:r>
      <w:r w:rsidRPr="005F17AF">
        <w:rPr>
          <w:color w:val="0D0D0D"/>
          <w:szCs w:val="22"/>
        </w:rPr>
        <w:t>万元，同比下降</w:t>
      </w:r>
      <w:r w:rsidRPr="005F17AF">
        <w:rPr>
          <w:color w:val="0D0D0D"/>
          <w:szCs w:val="22"/>
        </w:rPr>
        <w:t xml:space="preserve"> 23.39%</w:t>
      </w:r>
      <w:r w:rsidRPr="005F17AF">
        <w:rPr>
          <w:color w:val="0D0D0D"/>
          <w:szCs w:val="22"/>
        </w:rPr>
        <w:t>。</w:t>
      </w:r>
    </w:p>
    <w:p w14:paraId="60A2FC3A" w14:textId="77777777" w:rsidR="005F17AF" w:rsidRPr="005F17AF" w:rsidRDefault="005F17AF" w:rsidP="005F17AF">
      <w:pPr>
        <w:ind w:firstLine="400"/>
        <w:rPr>
          <w:rFonts w:eastAsia="DengXian"/>
          <w:b/>
          <w:bCs/>
          <w:color w:val="0D0D0D"/>
          <w:sz w:val="23"/>
          <w:szCs w:val="23"/>
        </w:rPr>
      </w:pPr>
      <w:r w:rsidRPr="005F17AF">
        <w:rPr>
          <w:rFonts w:eastAsia="DengXian"/>
          <w:b/>
          <w:bCs/>
          <w:color w:val="0D0D0D"/>
          <w:sz w:val="23"/>
          <w:szCs w:val="23"/>
        </w:rPr>
        <w:t>English Translation:</w:t>
      </w:r>
    </w:p>
    <w:p w14:paraId="67B320DF" w14:textId="77777777" w:rsidR="005F17AF" w:rsidRPr="005F17AF" w:rsidRDefault="005F17AF" w:rsidP="005F17AF">
      <w:pPr>
        <w:ind w:firstLine="400"/>
        <w:rPr>
          <w:rFonts w:eastAsia="DengXian"/>
          <w:i/>
          <w:iCs/>
          <w:color w:val="0D0D0D"/>
          <w:sz w:val="23"/>
          <w:szCs w:val="23"/>
        </w:rPr>
      </w:pPr>
      <w:r w:rsidRPr="005F17AF">
        <w:rPr>
          <w:rFonts w:eastAsia="DengXian"/>
          <w:i/>
          <w:iCs/>
          <w:color w:val="0D0D0D"/>
          <w:sz w:val="23"/>
          <w:szCs w:val="23"/>
        </w:rPr>
        <w:t>In 2022, under the scientific decision-making of the board of directors, the management led all employees to overcome and resolve difficulties and adverse factors such as weak demand and high costs, adhering to the principle of “persistence”, “reform”, “integration”, and “practical work”, and firmly upholding the “price-cost-profit” management philosophy. The company continued to implement “lean management” and the “early, detailed, precise, and practical” working style, steadily promoting production and operations, management integration, technological innovation, and deepening reforms.</w:t>
      </w:r>
    </w:p>
    <w:p w14:paraId="5E01091D" w14:textId="77777777" w:rsidR="005F17AF" w:rsidRPr="005F17AF" w:rsidRDefault="005F17AF" w:rsidP="005F17AF">
      <w:pPr>
        <w:ind w:firstLine="400"/>
        <w:rPr>
          <w:rFonts w:eastAsia="DengXian"/>
          <w:i/>
          <w:iCs/>
          <w:color w:val="0D0D0D"/>
          <w:sz w:val="23"/>
          <w:szCs w:val="23"/>
        </w:rPr>
      </w:pPr>
      <w:r w:rsidRPr="005F17AF">
        <w:rPr>
          <w:rFonts w:eastAsia="DengXian"/>
          <w:i/>
          <w:iCs/>
          <w:color w:val="0D0D0D"/>
          <w:sz w:val="23"/>
          <w:szCs w:val="23"/>
        </w:rPr>
        <w:t>During the reporting period, the company re-studied, re-evaluated, re-recognized, and re-initiated the “One Core, Two Wings, Global Layout” development strategy, focusing on its implementation. The company adjusted its organizational structure to “flatten, remove hierarchies, and reduce chains”, implemented a “three-level management structure” (headquarters, business units, and production bases), elevated control, delegated business, and promoted resource concentration in advantageous businesses, shifting from factor-driven to model-driven development. In 2022, the company achieved operating revenue of RMB 19,934.3131 million, a decrease of 5.49% year-on-year; operating profit of RMB 3,311.3567 million, a decrease of 12.19%; total profit of RMB 3,283.4228 million, a decrease of 13.52%; net profit of RMB 3,143.7019 million, a decrease of 11.56%; net profit attributable to shareholders of the listed company of RMB 3,136.3979 million, a decrease of 10.71%; and net profit attributable to shareholders of the listed company after deducting non-recurring gains and losses of RMB 2,615.3496 million, a decrease of 23.39%.</w:t>
      </w:r>
    </w:p>
    <w:p w14:paraId="68C79245" w14:textId="77777777" w:rsidR="005F17AF" w:rsidRPr="005F17AF" w:rsidRDefault="005F17AF" w:rsidP="005F17AF">
      <w:pPr>
        <w:ind w:firstLine="400"/>
        <w:rPr>
          <w:rFonts w:eastAsia="DengXian"/>
          <w:b/>
          <w:bCs/>
          <w:color w:val="0D0D0D"/>
          <w:sz w:val="23"/>
          <w:szCs w:val="23"/>
        </w:rPr>
      </w:pPr>
      <w:r w:rsidRPr="005F17AF">
        <w:rPr>
          <w:rFonts w:eastAsia="DengXian" w:hint="eastAsia"/>
          <w:b/>
          <w:bCs/>
          <w:color w:val="0D0D0D"/>
          <w:sz w:val="23"/>
          <w:szCs w:val="23"/>
        </w:rPr>
        <w:t>Tone Analysis:</w:t>
      </w:r>
    </w:p>
    <w:p w14:paraId="4B43611E" w14:textId="77777777" w:rsidR="005F17AF" w:rsidRPr="005F17AF" w:rsidRDefault="005F17AF" w:rsidP="005F17AF">
      <w:pPr>
        <w:ind w:firstLine="400"/>
        <w:rPr>
          <w:rFonts w:eastAsia="DengXian"/>
          <w:color w:val="0D0D0D"/>
          <w:sz w:val="23"/>
          <w:szCs w:val="23"/>
        </w:rPr>
      </w:pPr>
      <w:r w:rsidRPr="005F17AF">
        <w:rPr>
          <w:rFonts w:eastAsia="DengXian"/>
          <w:color w:val="0D0D0D"/>
          <w:sz w:val="23"/>
          <w:szCs w:val="23"/>
        </w:rPr>
        <w:t>This excerpt uses neutral and cautious language, focusing on objective business data and descriptions of difficulties, with frequent mentions of “decrease”, “overcome difficulties”, and “pressure”, and lacks highly positive modifiers such as “significant improvement”, “continuous growth", or “outstanding performance”. The narrative is rational and low-key, reflecting a much lower-than-average abnormal positive tone in the company’s MD&amp;A, according to the sentiment analysis and Model (1) residuals.</w:t>
      </w:r>
      <w:r w:rsidRPr="005F17AF">
        <w:rPr>
          <w:rFonts w:eastAsia="DengXian"/>
          <w:color w:val="0D0D0D"/>
          <w:szCs w:val="22"/>
        </w:rPr>
        <w:t xml:space="preserve"> </w:t>
      </w:r>
      <w:r w:rsidRPr="005F17AF">
        <w:rPr>
          <w:rFonts w:eastAsia="DengXian"/>
          <w:color w:val="0D0D0D"/>
          <w:sz w:val="23"/>
          <w:szCs w:val="23"/>
        </w:rPr>
        <w:t>Such expression is consistent with the results of our quantitative sentiment analysis.</w:t>
      </w:r>
    </w:p>
    <w:bookmarkEnd w:id="1"/>
    <w:p w14:paraId="72F1A5FE" w14:textId="77777777" w:rsidR="005F17AF" w:rsidRPr="005F17AF" w:rsidRDefault="005F17AF" w:rsidP="005F17AF">
      <w:pPr>
        <w:wordWrap w:val="0"/>
        <w:autoSpaceDE w:val="0"/>
        <w:autoSpaceDN w:val="0"/>
        <w:snapToGrid w:val="0"/>
        <w:rPr>
          <w:color w:val="0D0D0D"/>
          <w:sz w:val="23"/>
          <w:szCs w:val="23"/>
        </w:rPr>
      </w:pPr>
    </w:p>
    <w:p w14:paraId="70D665E6" w14:textId="77777777" w:rsidR="004A2EEF" w:rsidRPr="005F17AF" w:rsidRDefault="004A2EEF"/>
    <w:sectPr w:rsidR="004A2EEF" w:rsidRPr="005F17AF" w:rsidSect="005F17AF">
      <w:headerReference w:type="even" r:id="rId6"/>
      <w:headerReference w:type="default" r:id="rId7"/>
      <w:footerReference w:type="even" r:id="rId8"/>
      <w:footerReference w:type="default" r:id="rId9"/>
      <w:headerReference w:type="first" r:id="rId10"/>
      <w:footerReference w:type="first" r:id="rId11"/>
      <w:footnotePr>
        <w:numFmt w:val="decimalEnclosedCircleChinese"/>
        <w:numRestart w:val="eachPage"/>
      </w:footnotePr>
      <w:pgSz w:w="11906" w:h="16838"/>
      <w:pgMar w:top="1418" w:right="1418" w:bottom="1418" w:left="1418"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064A4B8" w14:textId="77777777" w:rsidR="00FA41D3" w:rsidRDefault="00FA41D3" w:rsidP="005F17AF">
      <w:r>
        <w:separator/>
      </w:r>
    </w:p>
  </w:endnote>
  <w:endnote w:type="continuationSeparator" w:id="0">
    <w:p w14:paraId="69B33EEB" w14:textId="77777777" w:rsidR="00FA41D3" w:rsidRDefault="00FA41D3" w:rsidP="005F17A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DengXian Light">
    <w:altName w:val="Microsoft YaHei"/>
    <w:charset w:val="86"/>
    <w:family w:val="auto"/>
    <w:pitch w:val="variable"/>
    <w:sig w:usb0="A00002BF" w:usb1="38CF7CFA" w:usb2="00000016" w:usb3="00000000" w:csb0="0004000F" w:csb1="00000000"/>
  </w:font>
  <w:font w:name="DengXian">
    <w:altName w:val="SimSun"/>
    <w:panose1 w:val="02010600030101010101"/>
    <w:charset w:val="86"/>
    <w:family w:val="auto"/>
    <w:pitch w:val="variable"/>
    <w:sig w:usb0="A00002BF" w:usb1="38CF7CFA" w:usb2="00000016" w:usb3="00000000" w:csb0="0004000F" w:csb1="00000000"/>
  </w:font>
  <w:font w:name="仿宋">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17CF096" w14:textId="77777777" w:rsidR="005F17AF" w:rsidRDefault="005F17AF">
    <w:pPr>
      <w:pStyle w:val="Footer"/>
      <w:ind w:firstLine="34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513504917"/>
    </w:sdtPr>
    <w:sdtEndPr/>
    <w:sdtContent>
      <w:p w14:paraId="21D9F2B9" w14:textId="44515AFC" w:rsidR="005F17AF" w:rsidRDefault="005F17AF">
        <w:pPr>
          <w:pStyle w:val="Footer"/>
          <w:ind w:firstLine="340"/>
        </w:pPr>
        <w:r>
          <w:fldChar w:fldCharType="begin"/>
        </w:r>
        <w:r>
          <w:instrText>PAGE   \* MERGEFORMAT</w:instrText>
        </w:r>
        <w:r>
          <w:fldChar w:fldCharType="separate"/>
        </w:r>
        <w:r w:rsidR="00276895" w:rsidRPr="00276895">
          <w:rPr>
            <w:noProof/>
            <w:lang w:val="zh-CN"/>
          </w:rPr>
          <w:t>1</w:t>
        </w:r>
        <w: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76D88BA" w14:textId="77777777" w:rsidR="005F17AF" w:rsidRDefault="005F17AF">
    <w:pPr>
      <w:pStyle w:val="Footer"/>
      <w:ind w:firstLine="34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F292BD3" w14:textId="77777777" w:rsidR="00FA41D3" w:rsidRDefault="00FA41D3" w:rsidP="005F17AF">
      <w:r>
        <w:separator/>
      </w:r>
    </w:p>
  </w:footnote>
  <w:footnote w:type="continuationSeparator" w:id="0">
    <w:p w14:paraId="68B285DB" w14:textId="77777777" w:rsidR="00FA41D3" w:rsidRDefault="00FA41D3" w:rsidP="005F17AF">
      <w:r>
        <w:continuationSeparator/>
      </w:r>
    </w:p>
  </w:footnote>
  <w:footnote w:id="1">
    <w:p w14:paraId="3B7A0945" w14:textId="77777777" w:rsidR="005F17AF" w:rsidRPr="0062535D" w:rsidRDefault="005F17AF" w:rsidP="005F17AF">
      <w:pPr>
        <w:pStyle w:val="FootnoteText"/>
        <w:ind w:firstLine="340"/>
        <w:rPr>
          <w:color w:val="0066FF"/>
        </w:rPr>
      </w:pPr>
      <w:r w:rsidRPr="005F17AF">
        <w:rPr>
          <w:rStyle w:val="FootnoteReference"/>
          <w:color w:val="0D0D0D"/>
        </w:rPr>
        <w:footnoteRef/>
      </w:r>
      <w:r w:rsidRPr="005F17AF">
        <w:rPr>
          <w:color w:val="0D0D0D"/>
        </w:rPr>
        <w:t xml:space="preserve"> Firm names have been anonymized; excerpts are drawn from public filings</w:t>
      </w:r>
      <w:r w:rsidRPr="005F17AF">
        <w:rPr>
          <w:rFonts w:hint="eastAsia"/>
          <w:color w:val="0D0D0D"/>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3C2699E" w14:textId="77777777" w:rsidR="005F17AF" w:rsidRDefault="005F17AF">
    <w:pPr>
      <w:pStyle w:val="Header"/>
      <w:ind w:firstLine="340"/>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58B91F7" w14:textId="77777777" w:rsidR="005F17AF" w:rsidRDefault="005F17AF">
    <w:pPr>
      <w:pStyle w:val="Header"/>
      <w:ind w:firstLine="340"/>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5844846" w14:textId="77777777" w:rsidR="005F17AF" w:rsidRDefault="005F17AF">
    <w:pPr>
      <w:pStyle w:val="Header"/>
      <w:ind w:firstLine="34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2"/>
  <w:bordersDoNotSurroundHeader/>
  <w:bordersDoNotSurroundFooter/>
  <w:defaultTabStop w:val="420"/>
  <w:characterSpacingControl w:val="doNotCompress"/>
  <w:hdrShapeDefaults>
    <o:shapedefaults v:ext="edit" spidmax="2050"/>
  </w:hdrShapeDefaults>
  <w:footnotePr>
    <w:numFmt w:val="decimalEnclosedCircleChinese"/>
    <w:numRestart w:val="eachPage"/>
    <w:footnote w:id="-1"/>
    <w:footnote w:id="0"/>
  </w:footnotePr>
  <w:endnotePr>
    <w:endnote w:id="-1"/>
    <w:endnote w:id="0"/>
  </w:endnotePr>
  <w:compat>
    <w:useFELayout/>
    <w:compatSetting w:name="compatibilityMode" w:uri="http://schemas.microsoft.com/office/word" w:val="12"/>
  </w:compat>
  <w:rsids>
    <w:rsidRoot w:val="000F3F90"/>
    <w:rsid w:val="00087F86"/>
    <w:rsid w:val="000E38D8"/>
    <w:rsid w:val="000F3F90"/>
    <w:rsid w:val="00203279"/>
    <w:rsid w:val="0024193E"/>
    <w:rsid w:val="00276895"/>
    <w:rsid w:val="00450A46"/>
    <w:rsid w:val="004A2EEF"/>
    <w:rsid w:val="00574FBB"/>
    <w:rsid w:val="005F17AF"/>
    <w:rsid w:val="0065331E"/>
    <w:rsid w:val="00654AFB"/>
    <w:rsid w:val="007E6920"/>
    <w:rsid w:val="008339FD"/>
    <w:rsid w:val="008F2CC2"/>
    <w:rsid w:val="009848D2"/>
    <w:rsid w:val="00A40C2A"/>
    <w:rsid w:val="00B16A22"/>
    <w:rsid w:val="00C53DF6"/>
    <w:rsid w:val="00C7768D"/>
    <w:rsid w:val="00CE695D"/>
    <w:rsid w:val="00FA41D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FD008A6"/>
  <w15:chartTrackingRefBased/>
  <w15:docId w15:val="{48AE1798-0EBC-4499-ADA0-FB80012909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SimSun" w:hAnsi="Times New Roman" w:cs="Times New Roman"/>
        <w:kern w:val="2"/>
        <w:sz w:val="21"/>
        <w:szCs w:val="24"/>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widowControl w:val="0"/>
      <w:jc w:val="both"/>
    </w:pPr>
  </w:style>
  <w:style w:type="paragraph" w:styleId="Heading1">
    <w:name w:val="heading 1"/>
    <w:basedOn w:val="Normal"/>
    <w:next w:val="Normal"/>
    <w:link w:val="Heading1Char"/>
    <w:uiPriority w:val="9"/>
    <w:qFormat/>
    <w:rsid w:val="000F3F90"/>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Heading2">
    <w:name w:val="heading 2"/>
    <w:basedOn w:val="Normal"/>
    <w:next w:val="Normal"/>
    <w:link w:val="Heading2Char"/>
    <w:uiPriority w:val="9"/>
    <w:semiHidden/>
    <w:unhideWhenUsed/>
    <w:qFormat/>
    <w:rsid w:val="000F3F90"/>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Heading3">
    <w:name w:val="heading 3"/>
    <w:basedOn w:val="Normal"/>
    <w:next w:val="Normal"/>
    <w:link w:val="Heading3Char"/>
    <w:uiPriority w:val="9"/>
    <w:semiHidden/>
    <w:unhideWhenUsed/>
    <w:qFormat/>
    <w:rsid w:val="000F3F90"/>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Heading4">
    <w:name w:val="heading 4"/>
    <w:basedOn w:val="Normal"/>
    <w:next w:val="Normal"/>
    <w:link w:val="Heading4Char"/>
    <w:uiPriority w:val="9"/>
    <w:semiHidden/>
    <w:unhideWhenUsed/>
    <w:qFormat/>
    <w:rsid w:val="000F3F90"/>
    <w:pPr>
      <w:keepNext/>
      <w:keepLines/>
      <w:spacing w:before="80" w:after="40"/>
      <w:outlineLvl w:val="3"/>
    </w:pPr>
    <w:rPr>
      <w:rFonts w:asciiTheme="minorHAnsi" w:eastAsiaTheme="minorEastAsia" w:hAnsiTheme="minorHAnsi" w:cstheme="majorBidi"/>
      <w:color w:val="2F5496" w:themeColor="accent1" w:themeShade="BF"/>
      <w:sz w:val="28"/>
      <w:szCs w:val="28"/>
    </w:rPr>
  </w:style>
  <w:style w:type="paragraph" w:styleId="Heading5">
    <w:name w:val="heading 5"/>
    <w:basedOn w:val="Normal"/>
    <w:next w:val="Normal"/>
    <w:link w:val="Heading5Char"/>
    <w:uiPriority w:val="9"/>
    <w:semiHidden/>
    <w:unhideWhenUsed/>
    <w:qFormat/>
    <w:rsid w:val="000F3F90"/>
    <w:pPr>
      <w:keepNext/>
      <w:keepLines/>
      <w:spacing w:before="80" w:after="40"/>
      <w:outlineLvl w:val="4"/>
    </w:pPr>
    <w:rPr>
      <w:rFonts w:asciiTheme="minorHAnsi" w:eastAsiaTheme="minorEastAsia" w:hAnsiTheme="minorHAnsi" w:cstheme="majorBidi"/>
      <w:color w:val="2F5496" w:themeColor="accent1" w:themeShade="BF"/>
      <w:sz w:val="24"/>
    </w:rPr>
  </w:style>
  <w:style w:type="paragraph" w:styleId="Heading6">
    <w:name w:val="heading 6"/>
    <w:basedOn w:val="Normal"/>
    <w:next w:val="Normal"/>
    <w:link w:val="Heading6Char"/>
    <w:uiPriority w:val="9"/>
    <w:semiHidden/>
    <w:unhideWhenUsed/>
    <w:qFormat/>
    <w:rsid w:val="000F3F90"/>
    <w:pPr>
      <w:keepNext/>
      <w:keepLines/>
      <w:spacing w:before="40"/>
      <w:outlineLvl w:val="5"/>
    </w:pPr>
    <w:rPr>
      <w:rFonts w:asciiTheme="minorHAnsi" w:eastAsiaTheme="minorEastAsia" w:hAnsiTheme="minorHAnsi" w:cstheme="majorBidi"/>
      <w:b/>
      <w:bCs/>
      <w:color w:val="2F5496" w:themeColor="accent1" w:themeShade="BF"/>
    </w:rPr>
  </w:style>
  <w:style w:type="paragraph" w:styleId="Heading7">
    <w:name w:val="heading 7"/>
    <w:basedOn w:val="Normal"/>
    <w:next w:val="Normal"/>
    <w:link w:val="Heading7Char"/>
    <w:uiPriority w:val="9"/>
    <w:semiHidden/>
    <w:unhideWhenUsed/>
    <w:qFormat/>
    <w:rsid w:val="000F3F90"/>
    <w:pPr>
      <w:keepNext/>
      <w:keepLines/>
      <w:spacing w:before="40"/>
      <w:outlineLvl w:val="6"/>
    </w:pPr>
    <w:rPr>
      <w:rFonts w:asciiTheme="minorHAnsi" w:eastAsiaTheme="minorEastAsia" w:hAnsiTheme="minorHAnsi" w:cstheme="majorBidi"/>
      <w:b/>
      <w:bCs/>
      <w:color w:val="595959" w:themeColor="text1" w:themeTint="A6"/>
    </w:rPr>
  </w:style>
  <w:style w:type="paragraph" w:styleId="Heading8">
    <w:name w:val="heading 8"/>
    <w:basedOn w:val="Normal"/>
    <w:next w:val="Normal"/>
    <w:link w:val="Heading8Char"/>
    <w:uiPriority w:val="9"/>
    <w:semiHidden/>
    <w:unhideWhenUsed/>
    <w:qFormat/>
    <w:rsid w:val="000F3F90"/>
    <w:pPr>
      <w:keepNext/>
      <w:keepLines/>
      <w:outlineLvl w:val="7"/>
    </w:pPr>
    <w:rPr>
      <w:rFonts w:asciiTheme="minorHAnsi" w:eastAsiaTheme="minorEastAsia" w:hAnsiTheme="minorHAnsi" w:cstheme="majorBidi"/>
      <w:color w:val="595959" w:themeColor="text1" w:themeTint="A6"/>
    </w:rPr>
  </w:style>
  <w:style w:type="paragraph" w:styleId="Heading9">
    <w:name w:val="heading 9"/>
    <w:basedOn w:val="Normal"/>
    <w:next w:val="Normal"/>
    <w:link w:val="Heading9Char"/>
    <w:uiPriority w:val="9"/>
    <w:semiHidden/>
    <w:unhideWhenUsed/>
    <w:qFormat/>
    <w:rsid w:val="000F3F90"/>
    <w:pPr>
      <w:keepNext/>
      <w:keepLines/>
      <w:outlineLvl w:val="8"/>
    </w:pPr>
    <w:rPr>
      <w:rFonts w:asciiTheme="minorHAnsi" w:eastAsiaTheme="majorEastAsia" w:hAnsiTheme="minorHAnsi" w:cstheme="majorBidi"/>
      <w:color w:val="595959" w:themeColor="text1" w:themeTint="A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F3F90"/>
    <w:rPr>
      <w:rFonts w:asciiTheme="majorHAnsi" w:eastAsiaTheme="majorEastAsia" w:hAnsiTheme="majorHAnsi" w:cstheme="majorBidi"/>
      <w:color w:val="2F5496" w:themeColor="accent1" w:themeShade="BF"/>
      <w:sz w:val="48"/>
      <w:szCs w:val="48"/>
    </w:rPr>
  </w:style>
  <w:style w:type="character" w:customStyle="1" w:styleId="Heading2Char">
    <w:name w:val="Heading 2 Char"/>
    <w:basedOn w:val="DefaultParagraphFont"/>
    <w:link w:val="Heading2"/>
    <w:uiPriority w:val="9"/>
    <w:semiHidden/>
    <w:rsid w:val="000F3F90"/>
    <w:rPr>
      <w:rFonts w:asciiTheme="majorHAnsi" w:eastAsiaTheme="majorEastAsia" w:hAnsiTheme="majorHAnsi" w:cstheme="majorBidi"/>
      <w:color w:val="2F5496" w:themeColor="accent1" w:themeShade="BF"/>
      <w:sz w:val="40"/>
      <w:szCs w:val="40"/>
    </w:rPr>
  </w:style>
  <w:style w:type="character" w:customStyle="1" w:styleId="Heading3Char">
    <w:name w:val="Heading 3 Char"/>
    <w:basedOn w:val="DefaultParagraphFont"/>
    <w:link w:val="Heading3"/>
    <w:uiPriority w:val="9"/>
    <w:semiHidden/>
    <w:rsid w:val="000F3F90"/>
    <w:rPr>
      <w:rFonts w:asciiTheme="majorHAnsi" w:eastAsiaTheme="majorEastAsia" w:hAnsiTheme="majorHAnsi" w:cstheme="majorBidi"/>
      <w:color w:val="2F5496" w:themeColor="accent1" w:themeShade="BF"/>
      <w:sz w:val="32"/>
      <w:szCs w:val="32"/>
    </w:rPr>
  </w:style>
  <w:style w:type="character" w:customStyle="1" w:styleId="Heading4Char">
    <w:name w:val="Heading 4 Char"/>
    <w:basedOn w:val="DefaultParagraphFont"/>
    <w:link w:val="Heading4"/>
    <w:uiPriority w:val="9"/>
    <w:semiHidden/>
    <w:rsid w:val="000F3F90"/>
    <w:rPr>
      <w:rFonts w:asciiTheme="minorHAnsi" w:eastAsiaTheme="minorEastAsia" w:hAnsiTheme="minorHAnsi" w:cstheme="majorBidi"/>
      <w:color w:val="2F5496" w:themeColor="accent1" w:themeShade="BF"/>
      <w:sz w:val="28"/>
      <w:szCs w:val="28"/>
    </w:rPr>
  </w:style>
  <w:style w:type="character" w:customStyle="1" w:styleId="Heading5Char">
    <w:name w:val="Heading 5 Char"/>
    <w:basedOn w:val="DefaultParagraphFont"/>
    <w:link w:val="Heading5"/>
    <w:uiPriority w:val="9"/>
    <w:semiHidden/>
    <w:rsid w:val="000F3F90"/>
    <w:rPr>
      <w:rFonts w:asciiTheme="minorHAnsi" w:eastAsiaTheme="minorEastAsia" w:hAnsiTheme="minorHAnsi" w:cstheme="majorBidi"/>
      <w:color w:val="2F5496" w:themeColor="accent1" w:themeShade="BF"/>
      <w:sz w:val="24"/>
    </w:rPr>
  </w:style>
  <w:style w:type="character" w:customStyle="1" w:styleId="Heading6Char">
    <w:name w:val="Heading 6 Char"/>
    <w:basedOn w:val="DefaultParagraphFont"/>
    <w:link w:val="Heading6"/>
    <w:uiPriority w:val="9"/>
    <w:semiHidden/>
    <w:rsid w:val="000F3F90"/>
    <w:rPr>
      <w:rFonts w:asciiTheme="minorHAnsi" w:eastAsiaTheme="minorEastAsia" w:hAnsiTheme="minorHAnsi" w:cstheme="majorBidi"/>
      <w:b/>
      <w:bCs/>
      <w:color w:val="2F5496" w:themeColor="accent1" w:themeShade="BF"/>
    </w:rPr>
  </w:style>
  <w:style w:type="character" w:customStyle="1" w:styleId="Heading7Char">
    <w:name w:val="Heading 7 Char"/>
    <w:basedOn w:val="DefaultParagraphFont"/>
    <w:link w:val="Heading7"/>
    <w:uiPriority w:val="9"/>
    <w:semiHidden/>
    <w:rsid w:val="000F3F90"/>
    <w:rPr>
      <w:rFonts w:asciiTheme="minorHAnsi" w:eastAsiaTheme="minorEastAsia" w:hAnsiTheme="minorHAnsi" w:cstheme="majorBidi"/>
      <w:b/>
      <w:bCs/>
      <w:color w:val="595959" w:themeColor="text1" w:themeTint="A6"/>
    </w:rPr>
  </w:style>
  <w:style w:type="character" w:customStyle="1" w:styleId="Heading8Char">
    <w:name w:val="Heading 8 Char"/>
    <w:basedOn w:val="DefaultParagraphFont"/>
    <w:link w:val="Heading8"/>
    <w:uiPriority w:val="9"/>
    <w:semiHidden/>
    <w:rsid w:val="000F3F90"/>
    <w:rPr>
      <w:rFonts w:asciiTheme="minorHAnsi" w:eastAsiaTheme="minorEastAsia" w:hAnsiTheme="minorHAnsi" w:cstheme="majorBidi"/>
      <w:color w:val="595959" w:themeColor="text1" w:themeTint="A6"/>
    </w:rPr>
  </w:style>
  <w:style w:type="character" w:customStyle="1" w:styleId="Heading9Char">
    <w:name w:val="Heading 9 Char"/>
    <w:basedOn w:val="DefaultParagraphFont"/>
    <w:link w:val="Heading9"/>
    <w:uiPriority w:val="9"/>
    <w:semiHidden/>
    <w:rsid w:val="000F3F90"/>
    <w:rPr>
      <w:rFonts w:asciiTheme="minorHAnsi" w:eastAsiaTheme="majorEastAsia" w:hAnsiTheme="minorHAnsi" w:cstheme="majorBidi"/>
      <w:color w:val="595959" w:themeColor="text1" w:themeTint="A6"/>
    </w:rPr>
  </w:style>
  <w:style w:type="paragraph" w:styleId="Title">
    <w:name w:val="Title"/>
    <w:basedOn w:val="Normal"/>
    <w:next w:val="Normal"/>
    <w:link w:val="TitleChar"/>
    <w:uiPriority w:val="10"/>
    <w:qFormat/>
    <w:rsid w:val="000F3F90"/>
    <w:pPr>
      <w:spacing w:after="80"/>
      <w:contextualSpacing/>
      <w:jc w:val="center"/>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F3F9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F3F90"/>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F3F90"/>
    <w:rPr>
      <w:rFonts w:asciiTheme="majorHAnsi" w:eastAsiaTheme="majorEastAsia" w:hAnsiTheme="majorHAnsi" w:cstheme="majorBidi"/>
      <w:color w:val="595959" w:themeColor="text1" w:themeTint="A6"/>
      <w:spacing w:val="15"/>
      <w:sz w:val="28"/>
      <w:szCs w:val="28"/>
    </w:rPr>
  </w:style>
  <w:style w:type="paragraph" w:styleId="Quote">
    <w:name w:val="Quote"/>
    <w:basedOn w:val="Normal"/>
    <w:next w:val="Normal"/>
    <w:link w:val="QuoteChar"/>
    <w:uiPriority w:val="29"/>
    <w:qFormat/>
    <w:rsid w:val="000F3F90"/>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0F3F90"/>
    <w:rPr>
      <w:i/>
      <w:iCs/>
      <w:color w:val="404040" w:themeColor="text1" w:themeTint="BF"/>
    </w:rPr>
  </w:style>
  <w:style w:type="paragraph" w:styleId="ListParagraph">
    <w:name w:val="List Paragraph"/>
    <w:basedOn w:val="Normal"/>
    <w:uiPriority w:val="34"/>
    <w:qFormat/>
    <w:rsid w:val="000F3F90"/>
    <w:pPr>
      <w:ind w:left="720"/>
      <w:contextualSpacing/>
    </w:pPr>
  </w:style>
  <w:style w:type="character" w:styleId="IntenseEmphasis">
    <w:name w:val="Intense Emphasis"/>
    <w:basedOn w:val="DefaultParagraphFont"/>
    <w:uiPriority w:val="21"/>
    <w:qFormat/>
    <w:rsid w:val="000F3F90"/>
    <w:rPr>
      <w:i/>
      <w:iCs/>
      <w:color w:val="2F5496" w:themeColor="accent1" w:themeShade="BF"/>
    </w:rPr>
  </w:style>
  <w:style w:type="paragraph" w:styleId="IntenseQuote">
    <w:name w:val="Intense Quote"/>
    <w:basedOn w:val="Normal"/>
    <w:next w:val="Normal"/>
    <w:link w:val="IntenseQuoteChar"/>
    <w:uiPriority w:val="30"/>
    <w:qFormat/>
    <w:rsid w:val="000F3F90"/>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0F3F90"/>
    <w:rPr>
      <w:i/>
      <w:iCs/>
      <w:color w:val="2F5496" w:themeColor="accent1" w:themeShade="BF"/>
    </w:rPr>
  </w:style>
  <w:style w:type="character" w:styleId="IntenseReference">
    <w:name w:val="Intense Reference"/>
    <w:basedOn w:val="DefaultParagraphFont"/>
    <w:uiPriority w:val="32"/>
    <w:qFormat/>
    <w:rsid w:val="000F3F90"/>
    <w:rPr>
      <w:b/>
      <w:bCs/>
      <w:smallCaps/>
      <w:color w:val="2F5496" w:themeColor="accent1" w:themeShade="BF"/>
      <w:spacing w:val="5"/>
    </w:rPr>
  </w:style>
  <w:style w:type="paragraph" w:styleId="Header">
    <w:name w:val="header"/>
    <w:basedOn w:val="Normal"/>
    <w:link w:val="HeaderChar"/>
    <w:uiPriority w:val="99"/>
    <w:unhideWhenUsed/>
    <w:rsid w:val="005F17AF"/>
    <w:pPr>
      <w:tabs>
        <w:tab w:val="center" w:pos="4153"/>
        <w:tab w:val="right" w:pos="8306"/>
      </w:tabs>
      <w:snapToGrid w:val="0"/>
      <w:jc w:val="center"/>
    </w:pPr>
    <w:rPr>
      <w:sz w:val="18"/>
      <w:szCs w:val="18"/>
    </w:rPr>
  </w:style>
  <w:style w:type="character" w:customStyle="1" w:styleId="HeaderChar">
    <w:name w:val="Header Char"/>
    <w:basedOn w:val="DefaultParagraphFont"/>
    <w:link w:val="Header"/>
    <w:uiPriority w:val="99"/>
    <w:rsid w:val="005F17AF"/>
    <w:rPr>
      <w:sz w:val="18"/>
      <w:szCs w:val="18"/>
    </w:rPr>
  </w:style>
  <w:style w:type="paragraph" w:styleId="Footer">
    <w:name w:val="footer"/>
    <w:basedOn w:val="Normal"/>
    <w:link w:val="FooterChar"/>
    <w:uiPriority w:val="99"/>
    <w:unhideWhenUsed/>
    <w:rsid w:val="005F17AF"/>
    <w:pPr>
      <w:tabs>
        <w:tab w:val="center" w:pos="4153"/>
        <w:tab w:val="right" w:pos="8306"/>
      </w:tabs>
      <w:snapToGrid w:val="0"/>
      <w:jc w:val="left"/>
    </w:pPr>
    <w:rPr>
      <w:sz w:val="18"/>
      <w:szCs w:val="18"/>
    </w:rPr>
  </w:style>
  <w:style w:type="character" w:customStyle="1" w:styleId="FooterChar">
    <w:name w:val="Footer Char"/>
    <w:basedOn w:val="DefaultParagraphFont"/>
    <w:link w:val="Footer"/>
    <w:uiPriority w:val="99"/>
    <w:rsid w:val="005F17AF"/>
    <w:rPr>
      <w:sz w:val="18"/>
      <w:szCs w:val="18"/>
    </w:rPr>
  </w:style>
  <w:style w:type="paragraph" w:styleId="FootnoteText">
    <w:name w:val="footnote text"/>
    <w:basedOn w:val="Normal"/>
    <w:link w:val="FootnoteTextChar"/>
    <w:uiPriority w:val="99"/>
    <w:semiHidden/>
    <w:unhideWhenUsed/>
    <w:rsid w:val="005F17AF"/>
    <w:pPr>
      <w:snapToGrid w:val="0"/>
      <w:jc w:val="left"/>
    </w:pPr>
    <w:rPr>
      <w:sz w:val="18"/>
      <w:szCs w:val="18"/>
    </w:rPr>
  </w:style>
  <w:style w:type="character" w:customStyle="1" w:styleId="FootnoteTextChar">
    <w:name w:val="Footnote Text Char"/>
    <w:basedOn w:val="DefaultParagraphFont"/>
    <w:link w:val="FootnoteText"/>
    <w:uiPriority w:val="99"/>
    <w:semiHidden/>
    <w:rsid w:val="005F17AF"/>
    <w:rPr>
      <w:sz w:val="18"/>
      <w:szCs w:val="18"/>
    </w:rPr>
  </w:style>
  <w:style w:type="character" w:styleId="FootnoteReference">
    <w:name w:val="footnote reference"/>
    <w:basedOn w:val="DefaultParagraphFont"/>
    <w:qFormat/>
    <w:rsid w:val="005F17AF"/>
    <w:rPr>
      <w:vertAlign w:val="superscript"/>
    </w:rPr>
  </w:style>
  <w:style w:type="table" w:styleId="TableGrid">
    <w:name w:val="Table Grid"/>
    <w:basedOn w:val="TableNormal"/>
    <w:uiPriority w:val="59"/>
    <w:qFormat/>
    <w:rsid w:val="00276895"/>
    <w:rPr>
      <w:rFonts w:ascii="DengXian" w:eastAsia="DengXian" w:hAnsi="DengXian" w:cs="DengXian"/>
      <w:kern w:val="0"/>
      <w:sz w:val="20"/>
      <w:szCs w:val="20"/>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
    <w:name w:val="网格型1"/>
    <w:basedOn w:val="TableNormal"/>
    <w:next w:val="TableGrid"/>
    <w:uiPriority w:val="59"/>
    <w:qFormat/>
    <w:rsid w:val="00276895"/>
    <w:rPr>
      <w:rFonts w:ascii="DengXian" w:eastAsia="DengXian" w:hAnsi="DengXian" w:cs="DengXian"/>
      <w:kern w:val="0"/>
      <w:sz w:val="20"/>
      <w:szCs w:val="20"/>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4</Pages>
  <Words>1465</Words>
  <Characters>8351</Characters>
  <Application>Microsoft Office Word</Application>
  <DocSecurity>0</DocSecurity>
  <Lines>69</Lines>
  <Paragraphs>19</Paragraphs>
  <ScaleCrop>false</ScaleCrop>
  <Company/>
  <LinksUpToDate>false</LinksUpToDate>
  <CharactersWithSpaces>9797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General use</dc:creator>
  <cp:keywords/>
  <dc:description/>
  <cp:lastModifiedBy>Eswari S.</cp:lastModifiedBy>
  <cp:revision>3</cp:revision>
  <dcterms:created xsi:type="dcterms:W3CDTF">2025-10-15T02:49:00Z</dcterms:created>
  <dcterms:modified xsi:type="dcterms:W3CDTF">2025-10-31T08:50:00Z</dcterms:modified>
</cp:coreProperties>
</file>