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90D" w:rsidRPr="00E72B8C" w:rsidRDefault="00D1690D" w:rsidP="00D1690D">
      <w:pPr>
        <w:pStyle w:val="Heading4"/>
      </w:pPr>
      <w:r w:rsidRPr="00E72B8C">
        <w:t>Appendix A: Variable Definition</w:t>
      </w:r>
    </w:p>
    <w:tbl>
      <w:tblPr>
        <w:tblStyle w:val="TableGrid"/>
        <w:tblW w:w="5255" w:type="pct"/>
        <w:jc w:val="center"/>
        <w:tblBorders>
          <w:top w:val="single" w:sz="0" w:space="0" w:color="000000"/>
          <w:left w:val="nil"/>
          <w:bottom w:val="single" w:sz="0" w:space="0" w:color="000000"/>
          <w:right w:val="nil"/>
          <w:insideH w:val="nil"/>
          <w:insideV w:val="nil"/>
        </w:tblBorders>
        <w:tblLook w:val="04A0" w:firstRow="1" w:lastRow="0" w:firstColumn="1" w:lastColumn="0" w:noHBand="0" w:noVBand="1"/>
      </w:tblPr>
      <w:tblGrid>
        <w:gridCol w:w="2512"/>
        <w:gridCol w:w="7201"/>
      </w:tblGrid>
      <w:tr w:rsidR="00D1690D" w:rsidRPr="00B318ED" w:rsidTr="00A22390">
        <w:trPr>
          <w:jc w:val="center"/>
        </w:trPr>
        <w:tc>
          <w:tcPr>
            <w:tcW w:w="1293" w:type="pct"/>
            <w:tcBorders>
              <w:bottom w:val="single" w:sz="0" w:space="0" w:color="000000"/>
            </w:tcBorders>
            <w:vAlign w:val="center"/>
          </w:tcPr>
          <w:p w:rsidR="00D1690D" w:rsidRPr="00B318ED" w:rsidRDefault="00D1690D" w:rsidP="00A22390">
            <w:pPr>
              <w:spacing w:before="0" w:after="0" w:line="240" w:lineRule="auto"/>
              <w:rPr>
                <w:sz w:val="22"/>
              </w:rPr>
            </w:pPr>
            <w:r w:rsidRPr="00B318ED">
              <w:rPr>
                <w:sz w:val="22"/>
              </w:rPr>
              <w:t>Variables</w:t>
            </w:r>
          </w:p>
        </w:tc>
        <w:tc>
          <w:tcPr>
            <w:tcW w:w="3707" w:type="pct"/>
            <w:tcBorders>
              <w:bottom w:val="single" w:sz="0" w:space="0" w:color="000000"/>
            </w:tcBorders>
            <w:vAlign w:val="center"/>
          </w:tcPr>
          <w:p w:rsidR="00D1690D" w:rsidRPr="00B318ED" w:rsidRDefault="00D1690D" w:rsidP="00A22390">
            <w:pPr>
              <w:spacing w:before="0" w:after="0" w:line="240" w:lineRule="auto"/>
              <w:rPr>
                <w:sz w:val="22"/>
              </w:rPr>
            </w:pPr>
            <w:r w:rsidRPr="00B318ED">
              <w:rPr>
                <w:sz w:val="22"/>
              </w:rPr>
              <w:t>Definition</w:t>
            </w:r>
          </w:p>
        </w:tc>
      </w:tr>
      <w:tr w:rsidR="00D1690D" w:rsidRPr="00B318ED" w:rsidTr="00A22390">
        <w:trPr>
          <w:jc w:val="center"/>
        </w:trPr>
        <w:tc>
          <w:tcPr>
            <w:tcW w:w="1293" w:type="pct"/>
            <w:tcBorders>
              <w:top w:val="single" w:sz="0" w:space="0" w:color="000000"/>
            </w:tcBorders>
            <w:vAlign w:val="center"/>
          </w:tcPr>
          <w:p w:rsidR="00D1690D" w:rsidRPr="00516517" w:rsidRDefault="00D1690D" w:rsidP="00A22390">
            <w:pPr>
              <w:spacing w:before="0" w:after="0" w:line="240" w:lineRule="auto"/>
              <w:rPr>
                <w:i/>
                <w:iCs/>
                <w:sz w:val="22"/>
              </w:rPr>
            </w:pPr>
            <w:proofErr w:type="spellStart"/>
            <w:r w:rsidRPr="00516517">
              <w:rPr>
                <w:i/>
                <w:iCs/>
                <w:sz w:val="22"/>
              </w:rPr>
              <w:t>Syn</w:t>
            </w:r>
            <w:proofErr w:type="spellEnd"/>
          </w:p>
        </w:tc>
        <w:tc>
          <w:tcPr>
            <w:tcW w:w="3707" w:type="pct"/>
            <w:tcBorders>
              <w:top w:val="single" w:sz="0" w:space="0" w:color="000000"/>
            </w:tcBorders>
            <w:vAlign w:val="center"/>
          </w:tcPr>
          <w:p w:rsidR="00D1690D" w:rsidRPr="00B318ED" w:rsidRDefault="00D1690D" w:rsidP="00A22390">
            <w:pPr>
              <w:spacing w:before="0" w:after="0" w:line="240" w:lineRule="auto"/>
              <w:rPr>
                <w:sz w:val="22"/>
              </w:rPr>
            </w:pPr>
            <w:r w:rsidRPr="00B318ED">
              <w:rPr>
                <w:sz w:val="22"/>
              </w:rPr>
              <w:t>A commonly used stock return synchronicity measure calculated as ln (</w:t>
            </w:r>
            <m:oMath>
              <m:f>
                <m:fPr>
                  <m:ctrlPr>
                    <w:rPr>
                      <w:rFonts w:ascii="Cambria Math" w:hAnsi="Cambria Math"/>
                      <w:i/>
                      <w:sz w:val="22"/>
                    </w:rPr>
                  </m:ctrlPr>
                </m:fPr>
                <m:num>
                  <m:sSup>
                    <m:sSupPr>
                      <m:ctrlPr>
                        <w:rPr>
                          <w:rFonts w:ascii="Cambria Math" w:hAnsi="Cambria Math"/>
                          <w:i/>
                          <w:sz w:val="22"/>
                        </w:rPr>
                      </m:ctrlPr>
                    </m:sSupPr>
                    <m:e>
                      <m:r>
                        <w:rPr>
                          <w:rFonts w:ascii="Cambria Math" w:hAnsi="Cambria Math"/>
                          <w:sz w:val="22"/>
                        </w:rPr>
                        <m:t>R</m:t>
                      </m:r>
                    </m:e>
                    <m:sup>
                      <m:r>
                        <w:rPr>
                          <w:rFonts w:ascii="Cambria Math" w:hAnsi="Cambria Math"/>
                          <w:sz w:val="22"/>
                        </w:rPr>
                        <m:t>2</m:t>
                      </m:r>
                    </m:sup>
                  </m:sSup>
                </m:num>
                <m:den>
                  <m:r>
                    <w:rPr>
                      <w:rFonts w:ascii="Cambria Math" w:hAnsi="Cambria Math"/>
                      <w:sz w:val="22"/>
                    </w:rPr>
                    <m:t>(1-</m:t>
                  </m:r>
                  <m:sSup>
                    <m:sSupPr>
                      <m:ctrlPr>
                        <w:rPr>
                          <w:rFonts w:ascii="Cambria Math" w:hAnsi="Cambria Math"/>
                          <w:i/>
                          <w:sz w:val="22"/>
                        </w:rPr>
                      </m:ctrlPr>
                    </m:sSupPr>
                    <m:e>
                      <m:r>
                        <w:rPr>
                          <w:rFonts w:ascii="Cambria Math" w:hAnsi="Cambria Math"/>
                          <w:sz w:val="22"/>
                        </w:rPr>
                        <m:t>R</m:t>
                      </m:r>
                    </m:e>
                    <m:sup>
                      <m:r>
                        <w:rPr>
                          <w:rFonts w:ascii="Cambria Math" w:hAnsi="Cambria Math"/>
                          <w:sz w:val="22"/>
                        </w:rPr>
                        <m:t>2</m:t>
                      </m:r>
                    </m:sup>
                  </m:sSup>
                  <m:r>
                    <w:rPr>
                      <w:rFonts w:ascii="Cambria Math" w:hAnsi="Cambria Math"/>
                      <w:sz w:val="22"/>
                    </w:rPr>
                    <m:t>)</m:t>
                  </m:r>
                </m:den>
              </m:f>
            </m:oMath>
            <w:r w:rsidRPr="00B318ED">
              <w:rPr>
                <w:sz w:val="22"/>
              </w:rPr>
              <w:t>).</w:t>
            </w:r>
            <w:r>
              <w:rPr>
                <w:sz w:val="22"/>
              </w:rPr>
              <w:t xml:space="preserve"> </w:t>
            </w:r>
            <w:r w:rsidRPr="00B318ED">
              <w:rPr>
                <w:rStyle w:val="Emphasis"/>
                <w:rFonts w:eastAsiaTheme="majorEastAsia"/>
                <w:color w:val="1F1F1F"/>
                <w:sz w:val="22"/>
              </w:rPr>
              <w:t>R</w:t>
            </w:r>
            <w:r w:rsidRPr="00B318ED">
              <w:rPr>
                <w:sz w:val="22"/>
                <w:vertAlign w:val="superscript"/>
              </w:rPr>
              <w:t>2</w:t>
            </w:r>
            <w:r>
              <w:rPr>
                <w:sz w:val="22"/>
              </w:rPr>
              <w:t xml:space="preserve"> </w:t>
            </w:r>
            <w:r w:rsidRPr="00B318ED">
              <w:rPr>
                <w:sz w:val="22"/>
              </w:rPr>
              <w:t>is from regressions of the market model of return of the firm against the stock market index and industry index using weekly data.</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r w:rsidRPr="00516517">
              <w:rPr>
                <w:i/>
                <w:iCs/>
                <w:sz w:val="22"/>
              </w:rPr>
              <w:t>Divergence</w:t>
            </w:r>
          </w:p>
        </w:tc>
        <w:tc>
          <w:tcPr>
            <w:tcW w:w="3707" w:type="pct"/>
            <w:vAlign w:val="center"/>
          </w:tcPr>
          <w:p w:rsidR="00D1690D" w:rsidRPr="00B318ED" w:rsidRDefault="00D1690D" w:rsidP="00A22390">
            <w:pPr>
              <w:spacing w:before="0" w:after="0" w:line="240" w:lineRule="auto"/>
              <w:rPr>
                <w:sz w:val="22"/>
              </w:rPr>
            </w:pPr>
            <w:r w:rsidRPr="00B318ED">
              <w:rPr>
                <w:sz w:val="22"/>
              </w:rPr>
              <w:t>The average standard deviation of ESG rating in 15 agency pairs formed by six rating agencies.</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r w:rsidRPr="00516517">
              <w:rPr>
                <w:i/>
                <w:iCs/>
                <w:sz w:val="22"/>
              </w:rPr>
              <w:t>Size</w:t>
            </w:r>
          </w:p>
        </w:tc>
        <w:tc>
          <w:tcPr>
            <w:tcW w:w="3707" w:type="pct"/>
            <w:vAlign w:val="center"/>
          </w:tcPr>
          <w:p w:rsidR="00D1690D" w:rsidRPr="00B318ED" w:rsidRDefault="00D1690D" w:rsidP="00A22390">
            <w:pPr>
              <w:spacing w:before="0" w:after="0" w:line="240" w:lineRule="auto"/>
              <w:rPr>
                <w:sz w:val="22"/>
              </w:rPr>
            </w:pPr>
            <w:r w:rsidRPr="00B318ED">
              <w:rPr>
                <w:sz w:val="22"/>
              </w:rPr>
              <w:t>The natural logarithm of the total assets</w:t>
            </w:r>
            <w:r>
              <w:rPr>
                <w:sz w:val="22"/>
              </w:rPr>
              <w:t>.</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r w:rsidRPr="00516517">
              <w:rPr>
                <w:i/>
                <w:iCs/>
                <w:sz w:val="22"/>
              </w:rPr>
              <w:t>Lev</w:t>
            </w:r>
          </w:p>
        </w:tc>
        <w:tc>
          <w:tcPr>
            <w:tcW w:w="3707" w:type="pct"/>
            <w:vAlign w:val="center"/>
          </w:tcPr>
          <w:p w:rsidR="00D1690D" w:rsidRPr="00B318ED" w:rsidRDefault="00D1690D" w:rsidP="00A22390">
            <w:pPr>
              <w:spacing w:before="0" w:after="0" w:line="240" w:lineRule="auto"/>
              <w:rPr>
                <w:sz w:val="22"/>
              </w:rPr>
            </w:pPr>
            <w:r w:rsidRPr="00B318ED">
              <w:rPr>
                <w:sz w:val="22"/>
              </w:rPr>
              <w:t>The total debt scaled by total assets of the firm.</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r w:rsidRPr="00516517">
              <w:rPr>
                <w:i/>
                <w:iCs/>
                <w:sz w:val="22"/>
              </w:rPr>
              <w:t>ROE</w:t>
            </w:r>
          </w:p>
        </w:tc>
        <w:tc>
          <w:tcPr>
            <w:tcW w:w="3707" w:type="pct"/>
            <w:vAlign w:val="center"/>
          </w:tcPr>
          <w:p w:rsidR="00D1690D" w:rsidRPr="00B318ED" w:rsidRDefault="00D1690D" w:rsidP="00A22390">
            <w:pPr>
              <w:spacing w:before="0" w:after="0" w:line="240" w:lineRule="auto"/>
              <w:rPr>
                <w:sz w:val="22"/>
              </w:rPr>
            </w:pPr>
            <w:r w:rsidRPr="00B318ED">
              <w:rPr>
                <w:sz w:val="22"/>
              </w:rPr>
              <w:t>Net profits divided by total equity.</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r w:rsidRPr="00516517">
              <w:rPr>
                <w:i/>
                <w:iCs/>
                <w:sz w:val="22"/>
              </w:rPr>
              <w:t>Top1</w:t>
            </w:r>
          </w:p>
        </w:tc>
        <w:tc>
          <w:tcPr>
            <w:tcW w:w="3707" w:type="pct"/>
            <w:vAlign w:val="center"/>
          </w:tcPr>
          <w:p w:rsidR="00D1690D" w:rsidRPr="00B318ED" w:rsidRDefault="00D1690D" w:rsidP="00A22390">
            <w:pPr>
              <w:spacing w:before="0" w:after="0" w:line="240" w:lineRule="auto"/>
              <w:rPr>
                <w:sz w:val="22"/>
              </w:rPr>
            </w:pPr>
            <w:r w:rsidRPr="00B318ED">
              <w:rPr>
                <w:sz w:val="22"/>
              </w:rPr>
              <w:t>The shareholding ratio of the company's largest shareholder.</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r w:rsidRPr="00516517">
              <w:rPr>
                <w:i/>
                <w:iCs/>
                <w:sz w:val="22"/>
              </w:rPr>
              <w:t>INST</w:t>
            </w:r>
          </w:p>
        </w:tc>
        <w:tc>
          <w:tcPr>
            <w:tcW w:w="3707" w:type="pct"/>
            <w:vAlign w:val="center"/>
          </w:tcPr>
          <w:p w:rsidR="00D1690D" w:rsidRPr="00B318ED" w:rsidRDefault="00D1690D" w:rsidP="00A22390">
            <w:pPr>
              <w:spacing w:before="0" w:after="0" w:line="240" w:lineRule="auto"/>
              <w:rPr>
                <w:sz w:val="22"/>
              </w:rPr>
            </w:pPr>
            <w:r w:rsidRPr="00B318ED">
              <w:rPr>
                <w:sz w:val="22"/>
              </w:rPr>
              <w:t>Institutional shareholding divided by outstanding shares.</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r w:rsidRPr="00516517">
              <w:rPr>
                <w:i/>
                <w:iCs/>
                <w:sz w:val="22"/>
              </w:rPr>
              <w:t>Volatility</w:t>
            </w:r>
          </w:p>
        </w:tc>
        <w:tc>
          <w:tcPr>
            <w:tcW w:w="3707" w:type="pct"/>
            <w:vAlign w:val="center"/>
          </w:tcPr>
          <w:p w:rsidR="00D1690D" w:rsidRPr="00B318ED" w:rsidRDefault="00D1690D" w:rsidP="00A22390">
            <w:pPr>
              <w:spacing w:before="0" w:after="0" w:line="240" w:lineRule="auto"/>
              <w:rPr>
                <w:sz w:val="22"/>
              </w:rPr>
            </w:pPr>
            <w:r w:rsidRPr="00B318ED">
              <w:rPr>
                <w:sz w:val="22"/>
              </w:rPr>
              <w:t>The standard deviation of the stock return.</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r w:rsidRPr="00516517">
              <w:rPr>
                <w:i/>
                <w:iCs/>
                <w:sz w:val="22"/>
              </w:rPr>
              <w:t>Volume</w:t>
            </w:r>
          </w:p>
        </w:tc>
        <w:tc>
          <w:tcPr>
            <w:tcW w:w="3707" w:type="pct"/>
            <w:vAlign w:val="center"/>
          </w:tcPr>
          <w:p w:rsidR="00D1690D" w:rsidRPr="00B318ED" w:rsidRDefault="00D1690D" w:rsidP="00A22390">
            <w:pPr>
              <w:spacing w:before="0" w:after="0" w:line="240" w:lineRule="auto"/>
              <w:rPr>
                <w:sz w:val="22"/>
              </w:rPr>
            </w:pPr>
            <w:r w:rsidRPr="00B318ED">
              <w:rPr>
                <w:sz w:val="22"/>
              </w:rPr>
              <w:t>The natural logarithm of trading volume.</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r w:rsidRPr="00516517">
              <w:rPr>
                <w:i/>
                <w:iCs/>
                <w:sz w:val="22"/>
              </w:rPr>
              <w:t>HHI</w:t>
            </w:r>
          </w:p>
        </w:tc>
        <w:tc>
          <w:tcPr>
            <w:tcW w:w="3707" w:type="pct"/>
            <w:vAlign w:val="center"/>
          </w:tcPr>
          <w:p w:rsidR="00D1690D" w:rsidRPr="00B318ED" w:rsidRDefault="00D1690D" w:rsidP="00A22390">
            <w:pPr>
              <w:spacing w:before="0" w:after="0" w:line="240" w:lineRule="auto"/>
              <w:rPr>
                <w:sz w:val="22"/>
              </w:rPr>
            </w:pPr>
            <w:proofErr w:type="spellStart"/>
            <w:r w:rsidRPr="00B318ED">
              <w:rPr>
                <w:sz w:val="22"/>
              </w:rPr>
              <w:t>Herfindahl</w:t>
            </w:r>
            <w:proofErr w:type="spellEnd"/>
            <w:r w:rsidRPr="00B318ED">
              <w:rPr>
                <w:sz w:val="22"/>
              </w:rPr>
              <w:t>-Hirschman Index, an indicator of competition, estimated by using all listed firms' sales from the same industry.</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r w:rsidRPr="00516517">
              <w:rPr>
                <w:i/>
                <w:iCs/>
                <w:sz w:val="22"/>
              </w:rPr>
              <w:t>SOE</w:t>
            </w:r>
          </w:p>
        </w:tc>
        <w:tc>
          <w:tcPr>
            <w:tcW w:w="3707" w:type="pct"/>
            <w:vAlign w:val="center"/>
          </w:tcPr>
          <w:p w:rsidR="00D1690D" w:rsidRPr="00B318ED" w:rsidRDefault="00D1690D" w:rsidP="00A22390">
            <w:pPr>
              <w:spacing w:before="0" w:after="0" w:line="240" w:lineRule="auto"/>
              <w:rPr>
                <w:sz w:val="22"/>
              </w:rPr>
            </w:pPr>
            <w:r>
              <w:rPr>
                <w:sz w:val="22"/>
              </w:rPr>
              <w:t xml:space="preserve">An indicator variable that equals one if </w:t>
            </w:r>
            <w:r w:rsidRPr="00B318ED">
              <w:rPr>
                <w:sz w:val="22"/>
              </w:rPr>
              <w:t xml:space="preserve">the firm is state-owned, and </w:t>
            </w:r>
            <w:r>
              <w:rPr>
                <w:sz w:val="22"/>
              </w:rPr>
              <w:t xml:space="preserve">zero </w:t>
            </w:r>
            <w:r w:rsidRPr="00B318ED">
              <w:rPr>
                <w:sz w:val="22"/>
              </w:rPr>
              <w:t>otherwise.</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r w:rsidRPr="00516517">
              <w:rPr>
                <w:i/>
                <w:iCs/>
                <w:sz w:val="22"/>
              </w:rPr>
              <w:t>Syn_1</w:t>
            </w:r>
          </w:p>
        </w:tc>
        <w:tc>
          <w:tcPr>
            <w:tcW w:w="3707" w:type="pct"/>
            <w:vAlign w:val="center"/>
          </w:tcPr>
          <w:p w:rsidR="00D1690D" w:rsidRPr="00B318ED" w:rsidRDefault="00D1690D" w:rsidP="00A22390">
            <w:pPr>
              <w:spacing w:before="0" w:after="0" w:line="240" w:lineRule="auto"/>
              <w:rPr>
                <w:sz w:val="22"/>
              </w:rPr>
            </w:pPr>
            <w:r w:rsidRPr="00B318ED">
              <w:rPr>
                <w:sz w:val="22"/>
              </w:rPr>
              <w:t>A commonly used stock return synchronicity measure calculated as ln (</w:t>
            </w:r>
            <m:oMath>
              <m:f>
                <m:fPr>
                  <m:ctrlPr>
                    <w:rPr>
                      <w:rFonts w:ascii="Cambria Math" w:hAnsi="Cambria Math"/>
                      <w:i/>
                      <w:sz w:val="22"/>
                    </w:rPr>
                  </m:ctrlPr>
                </m:fPr>
                <m:num>
                  <m:sSup>
                    <m:sSupPr>
                      <m:ctrlPr>
                        <w:rPr>
                          <w:rFonts w:ascii="Cambria Math" w:hAnsi="Cambria Math"/>
                          <w:i/>
                          <w:sz w:val="22"/>
                        </w:rPr>
                      </m:ctrlPr>
                    </m:sSupPr>
                    <m:e>
                      <m:r>
                        <w:rPr>
                          <w:rFonts w:ascii="Cambria Math" w:hAnsi="Cambria Math"/>
                          <w:sz w:val="22"/>
                        </w:rPr>
                        <m:t>R</m:t>
                      </m:r>
                    </m:e>
                    <m:sup>
                      <m:r>
                        <w:rPr>
                          <w:rFonts w:ascii="Cambria Math" w:hAnsi="Cambria Math"/>
                          <w:sz w:val="22"/>
                        </w:rPr>
                        <m:t>2</m:t>
                      </m:r>
                    </m:sup>
                  </m:sSup>
                </m:num>
                <m:den>
                  <m:r>
                    <w:rPr>
                      <w:rFonts w:ascii="Cambria Math" w:hAnsi="Cambria Math"/>
                      <w:sz w:val="22"/>
                    </w:rPr>
                    <m:t>(1-</m:t>
                  </m:r>
                  <m:sSup>
                    <m:sSupPr>
                      <m:ctrlPr>
                        <w:rPr>
                          <w:rFonts w:ascii="Cambria Math" w:hAnsi="Cambria Math"/>
                          <w:i/>
                          <w:sz w:val="22"/>
                        </w:rPr>
                      </m:ctrlPr>
                    </m:sSupPr>
                    <m:e>
                      <m:r>
                        <w:rPr>
                          <w:rFonts w:ascii="Cambria Math" w:hAnsi="Cambria Math"/>
                          <w:sz w:val="22"/>
                        </w:rPr>
                        <m:t>R</m:t>
                      </m:r>
                    </m:e>
                    <m:sup>
                      <m:r>
                        <w:rPr>
                          <w:rFonts w:ascii="Cambria Math" w:hAnsi="Cambria Math"/>
                          <w:sz w:val="22"/>
                        </w:rPr>
                        <m:t>2</m:t>
                      </m:r>
                    </m:sup>
                  </m:sSup>
                  <m:r>
                    <w:rPr>
                      <w:rFonts w:ascii="Cambria Math" w:hAnsi="Cambria Math"/>
                      <w:sz w:val="22"/>
                    </w:rPr>
                    <m:t>)</m:t>
                  </m:r>
                </m:den>
              </m:f>
            </m:oMath>
            <w:r w:rsidRPr="00B318ED">
              <w:rPr>
                <w:sz w:val="22"/>
              </w:rPr>
              <w:t>).</w:t>
            </w:r>
            <w:r>
              <w:rPr>
                <w:sz w:val="22"/>
              </w:rPr>
              <w:t xml:space="preserve"> </w:t>
            </w:r>
            <w:r w:rsidRPr="00B318ED">
              <w:rPr>
                <w:rStyle w:val="Emphasis"/>
                <w:rFonts w:eastAsiaTheme="majorEastAsia"/>
                <w:color w:val="1F1F1F"/>
                <w:sz w:val="22"/>
              </w:rPr>
              <w:t>R</w:t>
            </w:r>
            <w:r w:rsidRPr="00B318ED">
              <w:rPr>
                <w:sz w:val="22"/>
                <w:vertAlign w:val="superscript"/>
              </w:rPr>
              <w:t>2</w:t>
            </w:r>
            <w:r>
              <w:rPr>
                <w:sz w:val="22"/>
              </w:rPr>
              <w:t xml:space="preserve"> </w:t>
            </w:r>
            <w:r w:rsidRPr="00B318ED">
              <w:rPr>
                <w:sz w:val="22"/>
              </w:rPr>
              <w:t>is from regressions of the extended market model of return of the firm against the lagged industry and market returns using weekly data.</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proofErr w:type="spellStart"/>
            <w:r w:rsidRPr="00516517">
              <w:rPr>
                <w:i/>
                <w:iCs/>
                <w:sz w:val="22"/>
              </w:rPr>
              <w:t>IV_RegionalESGcover</w:t>
            </w:r>
            <w:proofErr w:type="spellEnd"/>
          </w:p>
        </w:tc>
        <w:tc>
          <w:tcPr>
            <w:tcW w:w="3707" w:type="pct"/>
            <w:vAlign w:val="center"/>
          </w:tcPr>
          <w:p w:rsidR="00D1690D" w:rsidRPr="00B318ED" w:rsidRDefault="00D1690D" w:rsidP="00A22390">
            <w:pPr>
              <w:spacing w:before="0" w:after="0" w:line="240" w:lineRule="auto"/>
              <w:rPr>
                <w:sz w:val="22"/>
              </w:rPr>
            </w:pPr>
            <w:r w:rsidRPr="00B318ED">
              <w:rPr>
                <w:sz w:val="22"/>
              </w:rPr>
              <w:t>The annual sample median number of rating agencies covering firms in the same city.</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r>
              <w:rPr>
                <w:i/>
                <w:iCs/>
                <w:sz w:val="22"/>
              </w:rPr>
              <w:t>IV_MCA</w:t>
            </w:r>
          </w:p>
        </w:tc>
        <w:tc>
          <w:tcPr>
            <w:tcW w:w="3707" w:type="pct"/>
            <w:vAlign w:val="center"/>
          </w:tcPr>
          <w:p w:rsidR="00D1690D" w:rsidRPr="00B318ED" w:rsidRDefault="00D1690D" w:rsidP="00A22390">
            <w:pPr>
              <w:spacing w:before="0" w:after="0" w:line="240" w:lineRule="auto"/>
              <w:rPr>
                <w:sz w:val="22"/>
              </w:rPr>
            </w:pPr>
            <w:r>
              <w:t>T</w:t>
            </w:r>
            <w:r w:rsidRPr="007466B0">
              <w:t>he frequency of climate- and environment-related terms in the management discussion and analysis (MD&amp;A) section of a given firm’s annual report.</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proofErr w:type="spellStart"/>
            <w:r w:rsidRPr="00516517">
              <w:rPr>
                <w:i/>
                <w:iCs/>
                <w:sz w:val="22"/>
              </w:rPr>
              <w:t>Insti</w:t>
            </w:r>
            <w:proofErr w:type="spellEnd"/>
          </w:p>
        </w:tc>
        <w:tc>
          <w:tcPr>
            <w:tcW w:w="3707" w:type="pct"/>
            <w:vAlign w:val="center"/>
          </w:tcPr>
          <w:p w:rsidR="00D1690D" w:rsidRPr="00B318ED" w:rsidRDefault="00D1690D" w:rsidP="00A22390">
            <w:pPr>
              <w:spacing w:before="0" w:after="0" w:line="240" w:lineRule="auto"/>
              <w:rPr>
                <w:sz w:val="22"/>
              </w:rPr>
            </w:pPr>
            <w:r w:rsidRPr="00B318ED">
              <w:rPr>
                <w:sz w:val="22"/>
              </w:rPr>
              <w:t xml:space="preserve">The absolute change in the number of a firm's shares held by institutional investors as a fraction of the stock's trading volume in year </w:t>
            </w:r>
            <w:r w:rsidRPr="00516517">
              <w:rPr>
                <w:i/>
                <w:iCs/>
                <w:sz w:val="22"/>
              </w:rPr>
              <w:t>t</w:t>
            </w:r>
            <w:r w:rsidRPr="00B318ED">
              <w:rPr>
                <w:sz w:val="22"/>
              </w:rPr>
              <w:t>.</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r w:rsidRPr="00516517">
              <w:rPr>
                <w:i/>
                <w:iCs/>
                <w:sz w:val="22"/>
              </w:rPr>
              <w:t>SELL</w:t>
            </w:r>
          </w:p>
        </w:tc>
        <w:tc>
          <w:tcPr>
            <w:tcW w:w="3707" w:type="pct"/>
            <w:vAlign w:val="center"/>
          </w:tcPr>
          <w:p w:rsidR="00D1690D" w:rsidRPr="00B318ED" w:rsidRDefault="00D1690D" w:rsidP="00A22390">
            <w:pPr>
              <w:pStyle w:val="NormalWeb"/>
              <w:spacing w:before="0" w:beforeAutospacing="0" w:after="0" w:afterAutospacing="0" w:line="240" w:lineRule="auto"/>
              <w:rPr>
                <w:sz w:val="22"/>
              </w:rPr>
            </w:pPr>
            <w:r w:rsidRPr="00B318ED">
              <w:rPr>
                <w:sz w:val="22"/>
              </w:rPr>
              <w:t xml:space="preserve">The natural logarithm of the total amount of company stock sold by all executives of a listed company within the accounting year due to opportunistic motives. Using the event study methodology, taking the announcement date of the stock reduction as the event date, the estimation window consists of 150 trading days before the event date [-150, -31]. The standard market model is used to calculate abnormal </w:t>
            </w:r>
            <w:proofErr w:type="gramStart"/>
            <w:r w:rsidRPr="00B318ED">
              <w:rPr>
                <w:sz w:val="22"/>
              </w:rPr>
              <w:t>returns,</w:t>
            </w:r>
            <w:proofErr w:type="gramEnd"/>
            <w:r w:rsidRPr="00B318ED">
              <w:rPr>
                <w:sz w:val="22"/>
              </w:rPr>
              <w:t xml:space="preserve"> and the stock price movements and excess returns following each executive's stock reduction transaction are </w:t>
            </w:r>
            <w:proofErr w:type="spellStart"/>
            <w:r w:rsidRPr="00B318ED">
              <w:rPr>
                <w:sz w:val="22"/>
              </w:rPr>
              <w:t>analyzed</w:t>
            </w:r>
            <w:proofErr w:type="spellEnd"/>
            <w:r w:rsidRPr="00B318ED">
              <w:rPr>
                <w:sz w:val="22"/>
              </w:rPr>
              <w:t>. If an executive's stock reduction transaction can predict negative stock returns in the following month, it is identified as opportunistic selling; otherwise, it is considered regular selling.</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r w:rsidRPr="00516517">
              <w:rPr>
                <w:i/>
                <w:iCs/>
                <w:sz w:val="22"/>
              </w:rPr>
              <w:t>Analyst attention</w:t>
            </w:r>
          </w:p>
        </w:tc>
        <w:tc>
          <w:tcPr>
            <w:tcW w:w="3707" w:type="pct"/>
            <w:vAlign w:val="center"/>
          </w:tcPr>
          <w:p w:rsidR="00D1690D" w:rsidRPr="00B318ED" w:rsidRDefault="00D1690D" w:rsidP="00A22390">
            <w:pPr>
              <w:pStyle w:val="NormalWeb"/>
              <w:spacing w:before="0" w:beforeAutospacing="0" w:after="0" w:afterAutospacing="0" w:line="240" w:lineRule="auto"/>
              <w:rPr>
                <w:sz w:val="22"/>
              </w:rPr>
            </w:pPr>
            <w:r w:rsidRPr="00B318ED">
              <w:rPr>
                <w:sz w:val="22"/>
              </w:rPr>
              <w:t>The number of financial analysts covering the same firm in a given year.</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r w:rsidRPr="00516517">
              <w:rPr>
                <w:i/>
                <w:iCs/>
                <w:sz w:val="22"/>
              </w:rPr>
              <w:t>Mean ESG rating</w:t>
            </w:r>
          </w:p>
        </w:tc>
        <w:tc>
          <w:tcPr>
            <w:tcW w:w="3707" w:type="pct"/>
            <w:vAlign w:val="center"/>
          </w:tcPr>
          <w:p w:rsidR="00D1690D" w:rsidRPr="00B318ED" w:rsidRDefault="00D1690D" w:rsidP="00A22390">
            <w:pPr>
              <w:pStyle w:val="NormalWeb"/>
              <w:spacing w:before="0" w:beforeAutospacing="0" w:after="0" w:afterAutospacing="0" w:line="240" w:lineRule="auto"/>
              <w:rPr>
                <w:rFonts w:eastAsia="SimSun"/>
                <w:sz w:val="22"/>
              </w:rPr>
            </w:pPr>
            <w:r w:rsidRPr="00B318ED">
              <w:rPr>
                <w:sz w:val="22"/>
              </w:rPr>
              <w:t xml:space="preserve">The </w:t>
            </w:r>
            <w:proofErr w:type="gramStart"/>
            <w:r w:rsidRPr="00B318ED">
              <w:rPr>
                <w:sz w:val="22"/>
              </w:rPr>
              <w:t>average ESG score</w:t>
            </w:r>
            <w:proofErr w:type="gramEnd"/>
            <w:r w:rsidRPr="00B318ED">
              <w:rPr>
                <w:sz w:val="22"/>
              </w:rPr>
              <w:t xml:space="preserve"> of a firm in a given year.</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
                <w:iCs/>
                <w:sz w:val="22"/>
              </w:rPr>
            </w:pPr>
            <w:r w:rsidRPr="00516517">
              <w:rPr>
                <w:i/>
                <w:iCs/>
                <w:sz w:val="22"/>
              </w:rPr>
              <w:t>Media coverage</w:t>
            </w:r>
          </w:p>
        </w:tc>
        <w:tc>
          <w:tcPr>
            <w:tcW w:w="3707" w:type="pct"/>
            <w:vAlign w:val="center"/>
          </w:tcPr>
          <w:p w:rsidR="00D1690D" w:rsidRPr="00B318ED" w:rsidRDefault="00D1690D" w:rsidP="00A22390">
            <w:pPr>
              <w:pStyle w:val="NormalWeb"/>
              <w:spacing w:before="0" w:beforeAutospacing="0" w:after="0" w:afterAutospacing="0" w:line="240" w:lineRule="auto"/>
              <w:rPr>
                <w:sz w:val="22"/>
              </w:rPr>
            </w:pPr>
            <w:r w:rsidRPr="00B318ED">
              <w:rPr>
                <w:sz w:val="22"/>
              </w:rPr>
              <w:t>The number of news articles mentioning the firm in a given year.</w:t>
            </w:r>
          </w:p>
        </w:tc>
      </w:tr>
      <w:tr w:rsidR="00D1690D" w:rsidRPr="00B318ED" w:rsidTr="00A22390">
        <w:trPr>
          <w:jc w:val="center"/>
        </w:trPr>
        <w:tc>
          <w:tcPr>
            <w:tcW w:w="1293" w:type="pct"/>
            <w:vAlign w:val="center"/>
          </w:tcPr>
          <w:p w:rsidR="00D1690D" w:rsidRPr="00CD7138" w:rsidRDefault="00D1690D" w:rsidP="00A22390">
            <w:pPr>
              <w:spacing w:before="0" w:after="0" w:line="240" w:lineRule="auto"/>
              <w:rPr>
                <w:i/>
                <w:iCs/>
                <w:sz w:val="22"/>
              </w:rPr>
            </w:pPr>
            <w:r w:rsidRPr="00CD7138">
              <w:rPr>
                <w:i/>
                <w:iCs/>
                <w:sz w:val="22"/>
              </w:rPr>
              <w:t>V</w:t>
            </w:r>
            <w:r w:rsidRPr="00E6734D">
              <w:rPr>
                <w:rStyle w:val="Emphasis"/>
                <w:rFonts w:eastAsiaTheme="majorEastAsia"/>
                <w:color w:val="1F1F1F"/>
                <w:sz w:val="22"/>
              </w:rPr>
              <w:t>PIN</w:t>
            </w:r>
          </w:p>
        </w:tc>
        <w:tc>
          <w:tcPr>
            <w:tcW w:w="3707" w:type="pct"/>
            <w:vAlign w:val="center"/>
          </w:tcPr>
          <w:p w:rsidR="00D1690D" w:rsidRPr="00B318ED" w:rsidRDefault="00D1690D" w:rsidP="00A22390">
            <w:pPr>
              <w:pStyle w:val="NormalWeb"/>
              <w:spacing w:before="0" w:beforeAutospacing="0" w:after="0" w:afterAutospacing="0" w:line="240" w:lineRule="auto"/>
              <w:rPr>
                <w:sz w:val="22"/>
              </w:rPr>
            </w:pPr>
            <w:r>
              <w:rPr>
                <w:sz w:val="22"/>
              </w:rPr>
              <w:t xml:space="preserve"> </w:t>
            </w:r>
            <w:r w:rsidRPr="00B318ED">
              <w:rPr>
                <w:sz w:val="22"/>
              </w:rPr>
              <w:t xml:space="preserve">The annual probability of information-based trading of Easley </w:t>
            </w:r>
            <w:r w:rsidRPr="00B318ED">
              <w:rPr>
                <w:i/>
                <w:iCs/>
                <w:sz w:val="22"/>
              </w:rPr>
              <w:t xml:space="preserve">et </w:t>
            </w:r>
            <w:r w:rsidRPr="00516517">
              <w:rPr>
                <w:i/>
                <w:iCs/>
                <w:sz w:val="22"/>
              </w:rPr>
              <w:t>al</w:t>
            </w:r>
            <w:r w:rsidRPr="00B318ED">
              <w:rPr>
                <w:sz w:val="22"/>
              </w:rPr>
              <w:t xml:space="preserve">. (2002). </w:t>
            </w:r>
          </w:p>
        </w:tc>
      </w:tr>
      <w:tr w:rsidR="00D1690D" w:rsidRPr="00B318ED" w:rsidTr="00A22390">
        <w:trPr>
          <w:jc w:val="center"/>
        </w:trPr>
        <w:tc>
          <w:tcPr>
            <w:tcW w:w="1293" w:type="pct"/>
            <w:vAlign w:val="center"/>
          </w:tcPr>
          <w:p w:rsidR="00D1690D" w:rsidRPr="00516517" w:rsidRDefault="00D1690D" w:rsidP="00A22390">
            <w:pPr>
              <w:spacing w:before="0" w:after="0" w:line="240" w:lineRule="auto"/>
              <w:rPr>
                <w:iCs/>
                <w:sz w:val="22"/>
              </w:rPr>
            </w:pPr>
            <w:proofErr w:type="spellStart"/>
            <w:r w:rsidRPr="00516517">
              <w:rPr>
                <w:rStyle w:val="Emphasis"/>
                <w:rFonts w:eastAsiaTheme="majorEastAsia"/>
                <w:color w:val="1F1F1F"/>
                <w:sz w:val="22"/>
              </w:rPr>
              <w:t>Dturn</w:t>
            </w:r>
            <w:proofErr w:type="spellEnd"/>
          </w:p>
        </w:tc>
        <w:tc>
          <w:tcPr>
            <w:tcW w:w="3707" w:type="pct"/>
            <w:vAlign w:val="center"/>
          </w:tcPr>
          <w:p w:rsidR="00D1690D" w:rsidRPr="00B318ED" w:rsidRDefault="00D1690D" w:rsidP="00A22390">
            <w:pPr>
              <w:pStyle w:val="NormalWeb"/>
              <w:spacing w:before="0" w:beforeAutospacing="0" w:after="0" w:afterAutospacing="0" w:line="240" w:lineRule="auto"/>
              <w:rPr>
                <w:sz w:val="22"/>
              </w:rPr>
            </w:pPr>
            <w:r w:rsidRPr="00B318ED">
              <w:rPr>
                <w:sz w:val="22"/>
              </w:rPr>
              <w:t>Annual stock average monthly excess turnover rate.</w:t>
            </w:r>
          </w:p>
        </w:tc>
      </w:tr>
    </w:tbl>
    <w:p w:rsidR="00D1690D" w:rsidRPr="00E72B8C" w:rsidRDefault="00D1690D" w:rsidP="00D1690D">
      <w:pPr>
        <w:rPr>
          <w:sz w:val="20"/>
          <w:szCs w:val="20"/>
        </w:rPr>
      </w:pPr>
    </w:p>
    <w:p w:rsidR="00D1690D" w:rsidRPr="00E72B8C" w:rsidRDefault="00D1690D" w:rsidP="00D1690D">
      <w:pPr>
        <w:pStyle w:val="Heading4"/>
      </w:pPr>
      <w:r w:rsidRPr="00E72B8C">
        <w:t>Appendix B</w:t>
      </w:r>
      <w:r>
        <w:t>: ESG Rating Agency Coverage Periods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2426"/>
        <w:gridCol w:w="1984"/>
      </w:tblGrid>
      <w:tr w:rsidR="00D1690D" w:rsidRPr="00E72B8C" w:rsidTr="00A22390">
        <w:trPr>
          <w:trHeight w:val="323"/>
        </w:trPr>
        <w:tc>
          <w:tcPr>
            <w:tcW w:w="4662" w:type="dxa"/>
            <w:tcBorders>
              <w:top w:val="single" w:sz="4" w:space="0" w:color="auto"/>
              <w:bottom w:val="single" w:sz="4" w:space="0" w:color="auto"/>
            </w:tcBorders>
            <w:noWrap/>
            <w:hideMark/>
          </w:tcPr>
          <w:p w:rsidR="00D1690D" w:rsidRPr="00E72B8C" w:rsidRDefault="00D1690D" w:rsidP="00A22390">
            <w:pPr>
              <w:spacing w:before="0" w:after="0" w:line="240" w:lineRule="auto"/>
              <w:rPr>
                <w:sz w:val="20"/>
                <w:szCs w:val="20"/>
              </w:rPr>
            </w:pPr>
            <w:r w:rsidRPr="00E72B8C">
              <w:rPr>
                <w:sz w:val="20"/>
                <w:szCs w:val="20"/>
              </w:rPr>
              <w:t>Rating Agency</w:t>
            </w:r>
          </w:p>
        </w:tc>
        <w:tc>
          <w:tcPr>
            <w:tcW w:w="2426" w:type="dxa"/>
            <w:tcBorders>
              <w:top w:val="single" w:sz="4" w:space="0" w:color="auto"/>
              <w:bottom w:val="single" w:sz="4" w:space="0" w:color="auto"/>
            </w:tcBorders>
            <w:noWrap/>
            <w:hideMark/>
          </w:tcPr>
          <w:p w:rsidR="00D1690D" w:rsidRPr="00E72B8C" w:rsidRDefault="00D1690D" w:rsidP="00A22390">
            <w:pPr>
              <w:spacing w:before="0" w:after="0" w:line="240" w:lineRule="auto"/>
              <w:rPr>
                <w:sz w:val="20"/>
                <w:szCs w:val="20"/>
              </w:rPr>
            </w:pPr>
            <w:r w:rsidRPr="00E72B8C">
              <w:rPr>
                <w:sz w:val="20"/>
                <w:szCs w:val="20"/>
              </w:rPr>
              <w:t>Covering period</w:t>
            </w:r>
          </w:p>
        </w:tc>
        <w:tc>
          <w:tcPr>
            <w:tcW w:w="1984" w:type="dxa"/>
            <w:tcBorders>
              <w:top w:val="single" w:sz="4" w:space="0" w:color="auto"/>
              <w:bottom w:val="single" w:sz="4" w:space="0" w:color="auto"/>
            </w:tcBorders>
            <w:noWrap/>
            <w:hideMark/>
          </w:tcPr>
          <w:p w:rsidR="00D1690D" w:rsidRPr="00E72B8C" w:rsidRDefault="00D1690D" w:rsidP="00A22390">
            <w:pPr>
              <w:spacing w:before="0" w:after="0" w:line="240" w:lineRule="auto"/>
              <w:rPr>
                <w:sz w:val="20"/>
                <w:szCs w:val="20"/>
              </w:rPr>
            </w:pPr>
            <w:r w:rsidRPr="00E72B8C">
              <w:rPr>
                <w:sz w:val="20"/>
                <w:szCs w:val="20"/>
              </w:rPr>
              <w:t>Launch Year</w:t>
            </w:r>
          </w:p>
        </w:tc>
      </w:tr>
      <w:tr w:rsidR="00D1690D" w:rsidRPr="00E72B8C" w:rsidTr="00A22390">
        <w:trPr>
          <w:trHeight w:val="343"/>
        </w:trPr>
        <w:tc>
          <w:tcPr>
            <w:tcW w:w="4662" w:type="dxa"/>
            <w:tcBorders>
              <w:top w:val="single" w:sz="4" w:space="0" w:color="auto"/>
            </w:tcBorders>
            <w:noWrap/>
            <w:hideMark/>
          </w:tcPr>
          <w:p w:rsidR="00D1690D" w:rsidRPr="00E72B8C" w:rsidRDefault="00D1690D" w:rsidP="00A22390">
            <w:pPr>
              <w:spacing w:before="0" w:after="0" w:line="240" w:lineRule="auto"/>
              <w:rPr>
                <w:sz w:val="20"/>
                <w:szCs w:val="20"/>
              </w:rPr>
            </w:pPr>
            <w:proofErr w:type="spellStart"/>
            <w:r w:rsidRPr="00E72B8C">
              <w:rPr>
                <w:sz w:val="20"/>
                <w:szCs w:val="20"/>
              </w:rPr>
              <w:t>SynTao</w:t>
            </w:r>
            <w:proofErr w:type="spellEnd"/>
            <w:r w:rsidRPr="00E72B8C">
              <w:rPr>
                <w:sz w:val="20"/>
                <w:szCs w:val="20"/>
              </w:rPr>
              <w:t xml:space="preserve"> Green Finance</w:t>
            </w:r>
          </w:p>
        </w:tc>
        <w:tc>
          <w:tcPr>
            <w:tcW w:w="2426" w:type="dxa"/>
            <w:tcBorders>
              <w:top w:val="single" w:sz="4" w:space="0" w:color="auto"/>
            </w:tcBorders>
            <w:noWrap/>
            <w:hideMark/>
          </w:tcPr>
          <w:p w:rsidR="00D1690D" w:rsidRPr="00E72B8C" w:rsidRDefault="00D1690D" w:rsidP="00A22390">
            <w:pPr>
              <w:spacing w:before="0" w:after="0" w:line="240" w:lineRule="auto"/>
              <w:rPr>
                <w:sz w:val="20"/>
                <w:szCs w:val="20"/>
              </w:rPr>
            </w:pPr>
            <w:r w:rsidRPr="00E72B8C">
              <w:rPr>
                <w:sz w:val="20"/>
                <w:szCs w:val="20"/>
              </w:rPr>
              <w:t>2015-2022</w:t>
            </w:r>
          </w:p>
        </w:tc>
        <w:tc>
          <w:tcPr>
            <w:tcW w:w="1984" w:type="dxa"/>
            <w:tcBorders>
              <w:top w:val="single" w:sz="4" w:space="0" w:color="auto"/>
            </w:tcBorders>
            <w:noWrap/>
            <w:hideMark/>
          </w:tcPr>
          <w:p w:rsidR="00D1690D" w:rsidRPr="00E72B8C" w:rsidRDefault="00D1690D" w:rsidP="00A22390">
            <w:pPr>
              <w:spacing w:before="0" w:after="0" w:line="240" w:lineRule="auto"/>
              <w:rPr>
                <w:sz w:val="20"/>
                <w:szCs w:val="20"/>
              </w:rPr>
            </w:pPr>
            <w:r w:rsidRPr="00E72B8C">
              <w:rPr>
                <w:sz w:val="20"/>
                <w:szCs w:val="20"/>
              </w:rPr>
              <w:t>2015</w:t>
            </w:r>
          </w:p>
        </w:tc>
      </w:tr>
      <w:tr w:rsidR="00D1690D" w:rsidRPr="00E72B8C" w:rsidTr="00A22390">
        <w:trPr>
          <w:trHeight w:val="323"/>
        </w:trPr>
        <w:tc>
          <w:tcPr>
            <w:tcW w:w="4662" w:type="dxa"/>
            <w:noWrap/>
            <w:hideMark/>
          </w:tcPr>
          <w:p w:rsidR="00D1690D" w:rsidRPr="00E72B8C" w:rsidRDefault="00D1690D" w:rsidP="00A22390">
            <w:pPr>
              <w:spacing w:before="0" w:after="0" w:line="240" w:lineRule="auto"/>
              <w:rPr>
                <w:sz w:val="20"/>
                <w:szCs w:val="20"/>
              </w:rPr>
            </w:pPr>
            <w:proofErr w:type="spellStart"/>
            <w:r w:rsidRPr="00E72B8C">
              <w:rPr>
                <w:sz w:val="20"/>
                <w:szCs w:val="20"/>
              </w:rPr>
              <w:t>Huazheng</w:t>
            </w:r>
            <w:proofErr w:type="spellEnd"/>
          </w:p>
        </w:tc>
        <w:tc>
          <w:tcPr>
            <w:tcW w:w="2426" w:type="dxa"/>
            <w:noWrap/>
            <w:hideMark/>
          </w:tcPr>
          <w:p w:rsidR="00D1690D" w:rsidRPr="00E72B8C" w:rsidRDefault="00D1690D" w:rsidP="00A22390">
            <w:pPr>
              <w:spacing w:before="0" w:after="0" w:line="240" w:lineRule="auto"/>
              <w:rPr>
                <w:sz w:val="20"/>
                <w:szCs w:val="20"/>
              </w:rPr>
            </w:pPr>
            <w:r w:rsidRPr="00E72B8C">
              <w:rPr>
                <w:sz w:val="20"/>
                <w:szCs w:val="20"/>
              </w:rPr>
              <w:t>2009-2022</w:t>
            </w:r>
          </w:p>
        </w:tc>
        <w:tc>
          <w:tcPr>
            <w:tcW w:w="1984" w:type="dxa"/>
            <w:noWrap/>
            <w:hideMark/>
          </w:tcPr>
          <w:p w:rsidR="00D1690D" w:rsidRPr="00E72B8C" w:rsidRDefault="00D1690D" w:rsidP="00A22390">
            <w:pPr>
              <w:spacing w:before="0" w:after="0" w:line="240" w:lineRule="auto"/>
              <w:rPr>
                <w:sz w:val="20"/>
                <w:szCs w:val="20"/>
              </w:rPr>
            </w:pPr>
            <w:r w:rsidRPr="00E72B8C">
              <w:rPr>
                <w:sz w:val="20"/>
                <w:szCs w:val="20"/>
              </w:rPr>
              <w:t>2018</w:t>
            </w:r>
          </w:p>
        </w:tc>
      </w:tr>
      <w:tr w:rsidR="00D1690D" w:rsidRPr="00E72B8C" w:rsidTr="00A22390">
        <w:trPr>
          <w:trHeight w:val="343"/>
        </w:trPr>
        <w:tc>
          <w:tcPr>
            <w:tcW w:w="4662" w:type="dxa"/>
            <w:noWrap/>
            <w:hideMark/>
          </w:tcPr>
          <w:p w:rsidR="00D1690D" w:rsidRPr="00E72B8C" w:rsidRDefault="00D1690D" w:rsidP="00A22390">
            <w:pPr>
              <w:spacing w:before="0" w:after="0" w:line="240" w:lineRule="auto"/>
              <w:rPr>
                <w:sz w:val="20"/>
                <w:szCs w:val="20"/>
              </w:rPr>
            </w:pPr>
            <w:proofErr w:type="spellStart"/>
            <w:r w:rsidRPr="00E72B8C">
              <w:rPr>
                <w:sz w:val="20"/>
                <w:szCs w:val="20"/>
              </w:rPr>
              <w:lastRenderedPageBreak/>
              <w:t>SusallWave</w:t>
            </w:r>
            <w:proofErr w:type="spellEnd"/>
          </w:p>
        </w:tc>
        <w:tc>
          <w:tcPr>
            <w:tcW w:w="2426" w:type="dxa"/>
            <w:noWrap/>
            <w:hideMark/>
          </w:tcPr>
          <w:p w:rsidR="00D1690D" w:rsidRPr="00E72B8C" w:rsidRDefault="00D1690D" w:rsidP="00A22390">
            <w:pPr>
              <w:spacing w:before="0" w:after="0" w:line="240" w:lineRule="auto"/>
              <w:rPr>
                <w:sz w:val="20"/>
                <w:szCs w:val="20"/>
              </w:rPr>
            </w:pPr>
            <w:r w:rsidRPr="00E72B8C">
              <w:rPr>
                <w:sz w:val="20"/>
                <w:szCs w:val="20"/>
              </w:rPr>
              <w:t>2018-2022</w:t>
            </w:r>
          </w:p>
        </w:tc>
        <w:tc>
          <w:tcPr>
            <w:tcW w:w="1984" w:type="dxa"/>
            <w:noWrap/>
            <w:hideMark/>
          </w:tcPr>
          <w:p w:rsidR="00D1690D" w:rsidRPr="00E72B8C" w:rsidRDefault="00D1690D" w:rsidP="00A22390">
            <w:pPr>
              <w:spacing w:before="0" w:after="0" w:line="240" w:lineRule="auto"/>
              <w:rPr>
                <w:sz w:val="20"/>
                <w:szCs w:val="20"/>
              </w:rPr>
            </w:pPr>
            <w:r w:rsidRPr="00E72B8C">
              <w:rPr>
                <w:sz w:val="20"/>
                <w:szCs w:val="20"/>
              </w:rPr>
              <w:t>2018</w:t>
            </w:r>
          </w:p>
        </w:tc>
      </w:tr>
      <w:tr w:rsidR="00D1690D" w:rsidRPr="00E72B8C" w:rsidTr="00A22390">
        <w:trPr>
          <w:trHeight w:val="323"/>
        </w:trPr>
        <w:tc>
          <w:tcPr>
            <w:tcW w:w="4662" w:type="dxa"/>
            <w:noWrap/>
            <w:hideMark/>
          </w:tcPr>
          <w:p w:rsidR="00D1690D" w:rsidRPr="00E72B8C" w:rsidRDefault="00D1690D" w:rsidP="00A22390">
            <w:pPr>
              <w:spacing w:before="0" w:after="0" w:line="240" w:lineRule="auto"/>
              <w:rPr>
                <w:sz w:val="20"/>
                <w:szCs w:val="20"/>
              </w:rPr>
            </w:pPr>
            <w:r w:rsidRPr="00E72B8C">
              <w:rPr>
                <w:sz w:val="20"/>
                <w:szCs w:val="20"/>
              </w:rPr>
              <w:t>Russell</w:t>
            </w:r>
          </w:p>
        </w:tc>
        <w:tc>
          <w:tcPr>
            <w:tcW w:w="2426" w:type="dxa"/>
            <w:noWrap/>
            <w:hideMark/>
          </w:tcPr>
          <w:p w:rsidR="00D1690D" w:rsidRPr="00E72B8C" w:rsidRDefault="00D1690D" w:rsidP="00A22390">
            <w:pPr>
              <w:spacing w:before="0" w:after="0" w:line="240" w:lineRule="auto"/>
              <w:rPr>
                <w:sz w:val="20"/>
                <w:szCs w:val="20"/>
              </w:rPr>
            </w:pPr>
            <w:r w:rsidRPr="00E72B8C">
              <w:rPr>
                <w:sz w:val="20"/>
                <w:szCs w:val="20"/>
              </w:rPr>
              <w:t>2018-2022</w:t>
            </w:r>
          </w:p>
        </w:tc>
        <w:tc>
          <w:tcPr>
            <w:tcW w:w="1984" w:type="dxa"/>
            <w:noWrap/>
            <w:hideMark/>
          </w:tcPr>
          <w:p w:rsidR="00D1690D" w:rsidRPr="00E72B8C" w:rsidRDefault="00D1690D" w:rsidP="00A22390">
            <w:pPr>
              <w:spacing w:before="0" w:after="0" w:line="240" w:lineRule="auto"/>
              <w:rPr>
                <w:sz w:val="20"/>
                <w:szCs w:val="20"/>
              </w:rPr>
            </w:pPr>
            <w:r w:rsidRPr="00E72B8C">
              <w:rPr>
                <w:sz w:val="20"/>
                <w:szCs w:val="20"/>
              </w:rPr>
              <w:t>2019</w:t>
            </w:r>
          </w:p>
        </w:tc>
      </w:tr>
      <w:tr w:rsidR="00D1690D" w:rsidRPr="00E72B8C" w:rsidTr="00A22390">
        <w:trPr>
          <w:trHeight w:val="323"/>
        </w:trPr>
        <w:tc>
          <w:tcPr>
            <w:tcW w:w="4662" w:type="dxa"/>
            <w:noWrap/>
            <w:hideMark/>
          </w:tcPr>
          <w:p w:rsidR="00D1690D" w:rsidRPr="00E72B8C" w:rsidRDefault="00D1690D" w:rsidP="00A22390">
            <w:pPr>
              <w:spacing w:before="0" w:after="0" w:line="240" w:lineRule="auto"/>
              <w:rPr>
                <w:sz w:val="20"/>
                <w:szCs w:val="20"/>
              </w:rPr>
            </w:pPr>
            <w:r w:rsidRPr="00E72B8C">
              <w:rPr>
                <w:sz w:val="20"/>
                <w:szCs w:val="20"/>
              </w:rPr>
              <w:t>Wind</w:t>
            </w:r>
          </w:p>
        </w:tc>
        <w:tc>
          <w:tcPr>
            <w:tcW w:w="2426" w:type="dxa"/>
            <w:noWrap/>
            <w:hideMark/>
          </w:tcPr>
          <w:p w:rsidR="00D1690D" w:rsidRPr="00E72B8C" w:rsidRDefault="00D1690D" w:rsidP="00A22390">
            <w:pPr>
              <w:spacing w:before="0" w:after="0" w:line="240" w:lineRule="auto"/>
              <w:rPr>
                <w:sz w:val="20"/>
                <w:szCs w:val="20"/>
              </w:rPr>
            </w:pPr>
            <w:r w:rsidRPr="00E72B8C">
              <w:rPr>
                <w:sz w:val="20"/>
                <w:szCs w:val="20"/>
              </w:rPr>
              <w:t>2018-2022</w:t>
            </w:r>
          </w:p>
        </w:tc>
        <w:tc>
          <w:tcPr>
            <w:tcW w:w="1984" w:type="dxa"/>
            <w:noWrap/>
            <w:hideMark/>
          </w:tcPr>
          <w:p w:rsidR="00D1690D" w:rsidRPr="00E72B8C" w:rsidRDefault="00D1690D" w:rsidP="00A22390">
            <w:pPr>
              <w:spacing w:before="0" w:after="0" w:line="240" w:lineRule="auto"/>
              <w:rPr>
                <w:sz w:val="20"/>
                <w:szCs w:val="20"/>
              </w:rPr>
            </w:pPr>
            <w:r w:rsidRPr="00E72B8C">
              <w:rPr>
                <w:sz w:val="20"/>
                <w:szCs w:val="20"/>
              </w:rPr>
              <w:t>2021</w:t>
            </w:r>
          </w:p>
        </w:tc>
      </w:tr>
      <w:tr w:rsidR="00D1690D" w:rsidRPr="00E72B8C" w:rsidTr="00A22390">
        <w:trPr>
          <w:trHeight w:val="323"/>
        </w:trPr>
        <w:tc>
          <w:tcPr>
            <w:tcW w:w="4662" w:type="dxa"/>
            <w:tcBorders>
              <w:bottom w:val="single" w:sz="4" w:space="0" w:color="auto"/>
            </w:tcBorders>
            <w:noWrap/>
            <w:hideMark/>
          </w:tcPr>
          <w:p w:rsidR="00D1690D" w:rsidRPr="00E72B8C" w:rsidRDefault="00D1690D" w:rsidP="00A22390">
            <w:pPr>
              <w:spacing w:before="0" w:after="0" w:line="240" w:lineRule="auto"/>
              <w:rPr>
                <w:sz w:val="20"/>
                <w:szCs w:val="20"/>
              </w:rPr>
            </w:pPr>
            <w:r w:rsidRPr="00E72B8C">
              <w:rPr>
                <w:sz w:val="20"/>
                <w:szCs w:val="20"/>
              </w:rPr>
              <w:t>Bloomberg</w:t>
            </w:r>
          </w:p>
        </w:tc>
        <w:tc>
          <w:tcPr>
            <w:tcW w:w="2426" w:type="dxa"/>
            <w:tcBorders>
              <w:bottom w:val="single" w:sz="4" w:space="0" w:color="auto"/>
            </w:tcBorders>
            <w:noWrap/>
            <w:hideMark/>
          </w:tcPr>
          <w:p w:rsidR="00D1690D" w:rsidRPr="00E72B8C" w:rsidRDefault="00D1690D" w:rsidP="00A22390">
            <w:pPr>
              <w:spacing w:before="0" w:after="0" w:line="240" w:lineRule="auto"/>
              <w:rPr>
                <w:sz w:val="20"/>
                <w:szCs w:val="20"/>
              </w:rPr>
            </w:pPr>
            <w:r w:rsidRPr="00E72B8C">
              <w:rPr>
                <w:sz w:val="20"/>
                <w:szCs w:val="20"/>
              </w:rPr>
              <w:t>2006-2022</w:t>
            </w:r>
          </w:p>
        </w:tc>
        <w:tc>
          <w:tcPr>
            <w:tcW w:w="1984" w:type="dxa"/>
            <w:tcBorders>
              <w:bottom w:val="single" w:sz="4" w:space="0" w:color="auto"/>
            </w:tcBorders>
            <w:noWrap/>
            <w:hideMark/>
          </w:tcPr>
          <w:p w:rsidR="00D1690D" w:rsidRPr="00E72B8C" w:rsidRDefault="00D1690D" w:rsidP="00A22390">
            <w:pPr>
              <w:spacing w:before="0" w:after="0" w:line="240" w:lineRule="auto"/>
              <w:rPr>
                <w:sz w:val="20"/>
                <w:szCs w:val="20"/>
              </w:rPr>
            </w:pPr>
            <w:r w:rsidRPr="00E72B8C">
              <w:rPr>
                <w:sz w:val="20"/>
                <w:szCs w:val="20"/>
              </w:rPr>
              <w:t>2020</w:t>
            </w:r>
          </w:p>
        </w:tc>
      </w:tr>
    </w:tbl>
    <w:p w:rsidR="00D1690D" w:rsidRPr="00E72B8C" w:rsidRDefault="00D1690D" w:rsidP="00D1690D">
      <w:pPr>
        <w:rPr>
          <w:sz w:val="20"/>
          <w:szCs w:val="20"/>
        </w:rPr>
      </w:pPr>
    </w:p>
    <w:p w:rsidR="00D1690D" w:rsidRPr="00E72B8C" w:rsidRDefault="00D1690D" w:rsidP="00D1690D">
      <w:pPr>
        <w:spacing w:before="0" w:after="0" w:line="240" w:lineRule="auto"/>
        <w:jc w:val="left"/>
        <w:rPr>
          <w:lang w:val="en-US"/>
        </w:rPr>
      </w:pPr>
    </w:p>
    <w:p w:rsidR="00F74CF1" w:rsidRDefault="00D1690D">
      <w:bookmarkStart w:id="0" w:name="_GoBack"/>
      <w:bookmarkEnd w:id="0"/>
    </w:p>
    <w:sectPr w:rsidR="00F74CF1" w:rsidSect="00155BF9">
      <w:footerReference w:type="even" r:id="rId5"/>
      <w:footerReference w:type="default" r:id="rId6"/>
      <w:pgSz w:w="11906" w:h="16838"/>
      <w:pgMar w:top="1440" w:right="1440" w:bottom="1440" w:left="144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75181755"/>
      <w:docPartObj>
        <w:docPartGallery w:val="Page Numbers (Bottom of Page)"/>
        <w:docPartUnique/>
      </w:docPartObj>
    </w:sdtPr>
    <w:sdtEndPr>
      <w:rPr>
        <w:rStyle w:val="PageNumber"/>
      </w:rPr>
    </w:sdtEndPr>
    <w:sdtContent>
      <w:p w:rsidR="000060BD" w:rsidRDefault="00D1690D" w:rsidP="00C90C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060BD" w:rsidRDefault="00D1690D" w:rsidP="007E5E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588823"/>
      <w:docPartObj>
        <w:docPartGallery w:val="Page Numbers (Bottom of Page)"/>
        <w:docPartUnique/>
      </w:docPartObj>
    </w:sdtPr>
    <w:sdtEndPr>
      <w:rPr>
        <w:noProof/>
      </w:rPr>
    </w:sdtEndPr>
    <w:sdtContent>
      <w:p w:rsidR="00697D6A" w:rsidRDefault="00D1690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060BD" w:rsidRDefault="00D1690D" w:rsidP="007E5E55">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0D"/>
    <w:rsid w:val="00161295"/>
    <w:rsid w:val="007A3299"/>
    <w:rsid w:val="00D169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90D"/>
    <w:pPr>
      <w:spacing w:before="120" w:after="120" w:line="360" w:lineRule="auto"/>
      <w:jc w:val="both"/>
    </w:pPr>
    <w:rPr>
      <w:rFonts w:ascii="Times New Roman" w:eastAsia="Times New Roman" w:hAnsi="Times New Roman" w:cs="Times New Roman"/>
      <w:sz w:val="24"/>
      <w:szCs w:val="24"/>
      <w:lang w:val="en-GB" w:eastAsia="zh-CN"/>
    </w:rPr>
  </w:style>
  <w:style w:type="paragraph" w:styleId="Heading4">
    <w:name w:val="heading 4"/>
    <w:basedOn w:val="Normal"/>
    <w:next w:val="Normal"/>
    <w:link w:val="Heading4Char"/>
    <w:uiPriority w:val="9"/>
    <w:unhideWhenUsed/>
    <w:qFormat/>
    <w:rsid w:val="00D1690D"/>
    <w:pPr>
      <w:spacing w:before="0" w:after="0"/>
      <w:outlineLvl w:val="3"/>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690D"/>
    <w:rPr>
      <w:rFonts w:ascii="Times New Roman" w:eastAsia="Times New Roman" w:hAnsi="Times New Roman" w:cs="Times New Roman"/>
      <w:sz w:val="20"/>
      <w:szCs w:val="20"/>
      <w:lang w:val="en-GB" w:eastAsia="zh-CN"/>
    </w:rPr>
  </w:style>
  <w:style w:type="paragraph" w:styleId="NormalWeb">
    <w:name w:val="Normal (Web)"/>
    <w:basedOn w:val="Normal"/>
    <w:uiPriority w:val="99"/>
    <w:unhideWhenUsed/>
    <w:rsid w:val="00D1690D"/>
    <w:pPr>
      <w:spacing w:before="100" w:beforeAutospacing="1" w:after="100" w:afterAutospacing="1"/>
    </w:pPr>
  </w:style>
  <w:style w:type="character" w:styleId="Emphasis">
    <w:name w:val="Emphasis"/>
    <w:basedOn w:val="DefaultParagraphFont"/>
    <w:uiPriority w:val="20"/>
    <w:qFormat/>
    <w:rsid w:val="00D1690D"/>
    <w:rPr>
      <w:i/>
      <w:iCs/>
    </w:rPr>
  </w:style>
  <w:style w:type="table" w:styleId="TableGrid">
    <w:name w:val="Table Grid"/>
    <w:basedOn w:val="TableNormal"/>
    <w:uiPriority w:val="59"/>
    <w:rsid w:val="00D1690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1690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1690D"/>
    <w:rPr>
      <w:rFonts w:ascii="Times New Roman" w:eastAsia="Times New Roman" w:hAnsi="Times New Roman" w:cs="Times New Roman"/>
      <w:sz w:val="24"/>
      <w:szCs w:val="24"/>
      <w:lang w:val="en-GB" w:eastAsia="zh-CN"/>
    </w:rPr>
  </w:style>
  <w:style w:type="character" w:styleId="PageNumber">
    <w:name w:val="page number"/>
    <w:basedOn w:val="DefaultParagraphFont"/>
    <w:uiPriority w:val="99"/>
    <w:semiHidden/>
    <w:unhideWhenUsed/>
    <w:rsid w:val="00D1690D"/>
  </w:style>
  <w:style w:type="paragraph" w:styleId="BalloonText">
    <w:name w:val="Balloon Text"/>
    <w:basedOn w:val="Normal"/>
    <w:link w:val="BalloonTextChar"/>
    <w:uiPriority w:val="99"/>
    <w:semiHidden/>
    <w:unhideWhenUsed/>
    <w:rsid w:val="00D1690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90D"/>
    <w:rPr>
      <w:rFonts w:ascii="Tahoma" w:eastAsia="Times New Roman" w:hAnsi="Tahoma" w:cs="Tahoma"/>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90D"/>
    <w:pPr>
      <w:spacing w:before="120" w:after="120" w:line="360" w:lineRule="auto"/>
      <w:jc w:val="both"/>
    </w:pPr>
    <w:rPr>
      <w:rFonts w:ascii="Times New Roman" w:eastAsia="Times New Roman" w:hAnsi="Times New Roman" w:cs="Times New Roman"/>
      <w:sz w:val="24"/>
      <w:szCs w:val="24"/>
      <w:lang w:val="en-GB" w:eastAsia="zh-CN"/>
    </w:rPr>
  </w:style>
  <w:style w:type="paragraph" w:styleId="Heading4">
    <w:name w:val="heading 4"/>
    <w:basedOn w:val="Normal"/>
    <w:next w:val="Normal"/>
    <w:link w:val="Heading4Char"/>
    <w:uiPriority w:val="9"/>
    <w:unhideWhenUsed/>
    <w:qFormat/>
    <w:rsid w:val="00D1690D"/>
    <w:pPr>
      <w:spacing w:before="0" w:after="0"/>
      <w:outlineLvl w:val="3"/>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690D"/>
    <w:rPr>
      <w:rFonts w:ascii="Times New Roman" w:eastAsia="Times New Roman" w:hAnsi="Times New Roman" w:cs="Times New Roman"/>
      <w:sz w:val="20"/>
      <w:szCs w:val="20"/>
      <w:lang w:val="en-GB" w:eastAsia="zh-CN"/>
    </w:rPr>
  </w:style>
  <w:style w:type="paragraph" w:styleId="NormalWeb">
    <w:name w:val="Normal (Web)"/>
    <w:basedOn w:val="Normal"/>
    <w:uiPriority w:val="99"/>
    <w:unhideWhenUsed/>
    <w:rsid w:val="00D1690D"/>
    <w:pPr>
      <w:spacing w:before="100" w:beforeAutospacing="1" w:after="100" w:afterAutospacing="1"/>
    </w:pPr>
  </w:style>
  <w:style w:type="character" w:styleId="Emphasis">
    <w:name w:val="Emphasis"/>
    <w:basedOn w:val="DefaultParagraphFont"/>
    <w:uiPriority w:val="20"/>
    <w:qFormat/>
    <w:rsid w:val="00D1690D"/>
    <w:rPr>
      <w:i/>
      <w:iCs/>
    </w:rPr>
  </w:style>
  <w:style w:type="table" w:styleId="TableGrid">
    <w:name w:val="Table Grid"/>
    <w:basedOn w:val="TableNormal"/>
    <w:uiPriority w:val="59"/>
    <w:rsid w:val="00D1690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1690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1690D"/>
    <w:rPr>
      <w:rFonts w:ascii="Times New Roman" w:eastAsia="Times New Roman" w:hAnsi="Times New Roman" w:cs="Times New Roman"/>
      <w:sz w:val="24"/>
      <w:szCs w:val="24"/>
      <w:lang w:val="en-GB" w:eastAsia="zh-CN"/>
    </w:rPr>
  </w:style>
  <w:style w:type="character" w:styleId="PageNumber">
    <w:name w:val="page number"/>
    <w:basedOn w:val="DefaultParagraphFont"/>
    <w:uiPriority w:val="99"/>
    <w:semiHidden/>
    <w:unhideWhenUsed/>
    <w:rsid w:val="00D1690D"/>
  </w:style>
  <w:style w:type="paragraph" w:styleId="BalloonText">
    <w:name w:val="Balloon Text"/>
    <w:basedOn w:val="Normal"/>
    <w:link w:val="BalloonTextChar"/>
    <w:uiPriority w:val="99"/>
    <w:semiHidden/>
    <w:unhideWhenUsed/>
    <w:rsid w:val="00D1690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90D"/>
    <w:rPr>
      <w:rFonts w:ascii="Tahoma" w:eastAsia="Times New Roman"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Subha K M.</dc:creator>
  <cp:lastModifiedBy>Subha K M.</cp:lastModifiedBy>
  <cp:revision>1</cp:revision>
  <dcterms:created xsi:type="dcterms:W3CDTF">2025-10-22T04:26:00Z</dcterms:created>
  <dcterms:modified xsi:type="dcterms:W3CDTF">2025-10-22T04:26:00Z</dcterms:modified>
</cp:coreProperties>
</file>