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FC" w:rsidRPr="003529B4" w:rsidRDefault="00D82BFC" w:rsidP="00D82BFC">
      <w:pPr>
        <w:pStyle w:val="Heading1"/>
      </w:pPr>
      <w:r w:rsidRPr="003529B4">
        <w:t xml:space="preserve">Appendix I: List of blockchain vocabulary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4"/>
        <w:gridCol w:w="4502"/>
      </w:tblGrid>
      <w:tr w:rsidR="00D82BFC" w:rsidRPr="003529B4" w:rsidTr="00150C9E">
        <w:tc>
          <w:tcPr>
            <w:tcW w:w="4514" w:type="dxa"/>
          </w:tcPr>
          <w:p w:rsidR="00D82BFC" w:rsidRPr="003529B4" w:rsidRDefault="00D82BFC" w:rsidP="00150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b/>
                <w:bCs/>
                <w:lang w:val="en-GB"/>
              </w:rPr>
              <w:t>Name</w:t>
            </w:r>
          </w:p>
        </w:tc>
        <w:tc>
          <w:tcPr>
            <w:tcW w:w="4502" w:type="dxa"/>
          </w:tcPr>
          <w:p w:rsidR="00D82BFC" w:rsidRPr="003529B4" w:rsidRDefault="00D82BFC" w:rsidP="00150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b/>
                <w:bCs/>
                <w:lang w:val="en-GB"/>
              </w:rPr>
              <w:t>Acronym</w:t>
            </w:r>
          </w:p>
        </w:tc>
      </w:tr>
      <w:tr w:rsidR="00D82BFC" w:rsidRPr="003529B4" w:rsidTr="00150C9E">
        <w:trPr>
          <w:trHeight w:val="90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Blockchain</w:t>
            </w:r>
          </w:p>
        </w:tc>
        <w:tc>
          <w:tcPr>
            <w:tcW w:w="4502" w:type="dxa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Consensus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m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echanism</w:t>
            </w:r>
          </w:p>
        </w:tc>
        <w:tc>
          <w:tcPr>
            <w:tcW w:w="4502" w:type="dxa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Consortium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c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hain</w:t>
            </w:r>
          </w:p>
        </w:tc>
        <w:tc>
          <w:tcPr>
            <w:tcW w:w="4502" w:type="dxa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Cross-chain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p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rotocol</w:t>
            </w:r>
          </w:p>
        </w:tc>
        <w:tc>
          <w:tcPr>
            <w:tcW w:w="4502" w:type="dxa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Digital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c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urrency</w:t>
            </w:r>
          </w:p>
        </w:tc>
        <w:tc>
          <w:tcPr>
            <w:tcW w:w="4502" w:type="dxa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Distributed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l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edger</w:t>
            </w:r>
          </w:p>
        </w:tc>
        <w:tc>
          <w:tcPr>
            <w:tcW w:w="4502" w:type="dxa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Mining</w:t>
            </w:r>
          </w:p>
        </w:tc>
        <w:tc>
          <w:tcPr>
            <w:tcW w:w="4502" w:type="dxa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Permissioned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b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lockchain</w:t>
            </w:r>
          </w:p>
        </w:tc>
        <w:tc>
          <w:tcPr>
            <w:tcW w:w="4502" w:type="dxa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Permissionless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b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lockchain</w:t>
            </w:r>
          </w:p>
        </w:tc>
        <w:tc>
          <w:tcPr>
            <w:tcW w:w="4502" w:type="dxa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Private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c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hain</w:t>
            </w:r>
          </w:p>
        </w:tc>
        <w:tc>
          <w:tcPr>
            <w:tcW w:w="4502" w:type="dxa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Public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c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hain</w:t>
            </w:r>
          </w:p>
        </w:tc>
        <w:tc>
          <w:tcPr>
            <w:tcW w:w="4502" w:type="dxa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Smart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c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ontract</w:t>
            </w:r>
          </w:p>
        </w:tc>
        <w:tc>
          <w:tcPr>
            <w:tcW w:w="4502" w:type="dxa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Blockchain as a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s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ervice</w:t>
            </w:r>
          </w:p>
        </w:tc>
        <w:tc>
          <w:tcPr>
            <w:tcW w:w="4502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BaaS</w:t>
            </w: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Byzantine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f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ault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t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olerance</w:t>
            </w:r>
          </w:p>
        </w:tc>
        <w:tc>
          <w:tcPr>
            <w:tcW w:w="4502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BFT</w:t>
            </w: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Certification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a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uthority</w:t>
            </w:r>
          </w:p>
        </w:tc>
        <w:tc>
          <w:tcPr>
            <w:tcW w:w="4502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CA</w:t>
            </w: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Directed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a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cyclic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g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raph</w:t>
            </w:r>
          </w:p>
        </w:tc>
        <w:tc>
          <w:tcPr>
            <w:tcW w:w="4502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DAG</w:t>
            </w: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Distributed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a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pplication</w:t>
            </w:r>
          </w:p>
        </w:tc>
        <w:tc>
          <w:tcPr>
            <w:tcW w:w="4502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DAPP</w:t>
            </w: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Distributed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d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enial of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s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ervice</w:t>
            </w:r>
          </w:p>
        </w:tc>
        <w:tc>
          <w:tcPr>
            <w:tcW w:w="4502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DDoS</w:t>
            </w: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Distributed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l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edger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t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echnology</w:t>
            </w:r>
          </w:p>
        </w:tc>
        <w:tc>
          <w:tcPr>
            <w:tcW w:w="4502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DLT</w:t>
            </w: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Distributed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h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ash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t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able</w:t>
            </w:r>
          </w:p>
        </w:tc>
        <w:tc>
          <w:tcPr>
            <w:tcW w:w="4502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DHT</w:t>
            </w: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Delegated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p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roof of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s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take</w:t>
            </w:r>
          </w:p>
        </w:tc>
        <w:tc>
          <w:tcPr>
            <w:tcW w:w="4502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DPoS</w:t>
            </w: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Elliptic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c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urve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c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ryptography</w:t>
            </w:r>
          </w:p>
        </w:tc>
        <w:tc>
          <w:tcPr>
            <w:tcW w:w="4502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ECC</w:t>
            </w: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Paxos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a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lgorithm</w:t>
            </w:r>
          </w:p>
        </w:tc>
        <w:tc>
          <w:tcPr>
            <w:tcW w:w="4502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Paxos</w:t>
            </w: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Practical Byzantine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f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ault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t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olerance</w:t>
            </w:r>
          </w:p>
        </w:tc>
        <w:tc>
          <w:tcPr>
            <w:tcW w:w="4502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PBFT</w:t>
            </w: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Public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k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ey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i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nfrastructure</w:t>
            </w:r>
          </w:p>
        </w:tc>
        <w:tc>
          <w:tcPr>
            <w:tcW w:w="4502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PKI</w:t>
            </w: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Proof of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w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ork</w:t>
            </w:r>
          </w:p>
        </w:tc>
        <w:tc>
          <w:tcPr>
            <w:tcW w:w="4502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PoW</w:t>
            </w: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Proof of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s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take</w:t>
            </w:r>
          </w:p>
        </w:tc>
        <w:tc>
          <w:tcPr>
            <w:tcW w:w="4502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PoS</w:t>
            </w:r>
          </w:p>
        </w:tc>
      </w:tr>
      <w:tr w:rsidR="00D82BFC" w:rsidRPr="003529B4" w:rsidTr="00150C9E">
        <w:trPr>
          <w:trHeight w:val="341"/>
        </w:trPr>
        <w:tc>
          <w:tcPr>
            <w:tcW w:w="4514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RSA </w:t>
            </w:r>
            <w:r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a</w:t>
            </w: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lgorithm</w:t>
            </w:r>
          </w:p>
        </w:tc>
        <w:tc>
          <w:tcPr>
            <w:tcW w:w="4502" w:type="dxa"/>
            <w:vAlign w:val="center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RSA</w:t>
            </w:r>
          </w:p>
        </w:tc>
      </w:tr>
    </w:tbl>
    <w:p w:rsidR="00D82BFC" w:rsidRDefault="00D82BFC" w:rsidP="00D82BFC">
      <w:pPr>
        <w:spacing w:line="360" w:lineRule="auto"/>
        <w:jc w:val="both"/>
        <w:rPr>
          <w:rFonts w:ascii="Times New Roman" w:hAnsi="Times New Roman"/>
          <w:i/>
          <w:iCs/>
          <w:sz w:val="20"/>
          <w:szCs w:val="20"/>
          <w:lang w:val="en-GB"/>
        </w:rPr>
      </w:pPr>
      <w:r w:rsidRPr="003529B4">
        <w:rPr>
          <w:rFonts w:ascii="Times New Roman" w:hAnsi="Times New Roman"/>
          <w:i/>
          <w:iCs/>
          <w:sz w:val="20"/>
          <w:szCs w:val="20"/>
          <w:lang w:val="en-GB"/>
        </w:rPr>
        <w:t xml:space="preserve">Sources: Blockchain vocabulary is based on the </w:t>
      </w:r>
      <w:r w:rsidRPr="007A23B7">
        <w:rPr>
          <w:rFonts w:ascii="Times New Roman" w:hAnsi="Times New Roman"/>
          <w:sz w:val="20"/>
          <w:szCs w:val="20"/>
          <w:lang w:val="en-GB"/>
        </w:rPr>
        <w:t>Chinese Blockchain Technology and Application Development White Paper</w:t>
      </w:r>
      <w:r w:rsidRPr="003529B4">
        <w:rPr>
          <w:rFonts w:ascii="Times New Roman" w:hAnsi="Times New Roman"/>
          <w:i/>
          <w:iCs/>
          <w:sz w:val="20"/>
          <w:szCs w:val="20"/>
          <w:lang w:val="en-GB"/>
        </w:rPr>
        <w:t xml:space="preserve"> (2016). All acronyms are obtained from these two reports. Some terms have no acronym.</w:t>
      </w:r>
    </w:p>
    <w:p w:rsidR="00D82BFC" w:rsidRDefault="00D82BFC" w:rsidP="00D82BFC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lang w:val="en-GB"/>
        </w:rPr>
      </w:pPr>
      <w:r>
        <w:rPr>
          <w:rFonts w:ascii="Times New Roman" w:hAnsi="Times New Roman"/>
          <w:i/>
          <w:iCs/>
          <w:sz w:val="20"/>
          <w:szCs w:val="20"/>
          <w:lang w:val="en-GB"/>
        </w:rPr>
        <w:br w:type="page"/>
      </w:r>
    </w:p>
    <w:p w:rsidR="00D82BFC" w:rsidRPr="003529B4" w:rsidRDefault="00D82BFC" w:rsidP="00D82BFC">
      <w:pPr>
        <w:pStyle w:val="Heading1"/>
      </w:pPr>
      <w:bookmarkStart w:id="0" w:name="_Toc185201435"/>
      <w:r w:rsidRPr="003529B4">
        <w:lastRenderedPageBreak/>
        <w:t xml:space="preserve">Appendix II: </w:t>
      </w:r>
      <w:r>
        <w:t>Corporate</w:t>
      </w:r>
      <w:r w:rsidRPr="003529B4">
        <w:t xml:space="preserve"> culture vocabulary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6554"/>
      </w:tblGrid>
      <w:tr w:rsidR="00D82BFC" w:rsidRPr="003529B4" w:rsidTr="00150C9E">
        <w:tc>
          <w:tcPr>
            <w:tcW w:w="2688" w:type="dxa"/>
          </w:tcPr>
          <w:p w:rsidR="00D82BFC" w:rsidRPr="003529B4" w:rsidRDefault="00D82BFC" w:rsidP="00150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b/>
                <w:bCs/>
                <w:lang w:val="en-GB"/>
              </w:rPr>
              <w:t>Culture type</w:t>
            </w:r>
          </w:p>
        </w:tc>
        <w:tc>
          <w:tcPr>
            <w:tcW w:w="6554" w:type="dxa"/>
          </w:tcPr>
          <w:p w:rsidR="00D82BFC" w:rsidRPr="003529B4" w:rsidRDefault="00D82BFC" w:rsidP="00150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GB"/>
              </w:rPr>
              <w:t>Word list</w:t>
            </w:r>
            <w:r w:rsidRPr="003529B4">
              <w:rPr>
                <w:rFonts w:ascii="Times New Roman" w:eastAsia="SimSu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D82BFC" w:rsidRPr="003529B4" w:rsidTr="00150C9E">
        <w:trPr>
          <w:trHeight w:val="90"/>
        </w:trPr>
        <w:tc>
          <w:tcPr>
            <w:tcW w:w="2688" w:type="dxa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Competition-oriented culture</w:t>
            </w:r>
          </w:p>
        </w:tc>
        <w:tc>
          <w:tcPr>
            <w:tcW w:w="6554" w:type="dxa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achiev*, acqui*, aggress*, agreem*, attack*, budget*, challeng*, charg*, client*, compet*, customer*, deliver*, direct*, driv*, excellen*, expand*, fast*, goal*, growth*, hard*, invest*, market*, mov*, outsourc*, performanc*, position*, pressur*, profit*, rapid*, reputation, result*, revenue*, satisf*, scan*, succes* signal*, speed*, strong, superior, target*, win*</w:t>
            </w:r>
          </w:p>
        </w:tc>
      </w:tr>
      <w:tr w:rsidR="00D82BFC" w:rsidRPr="003529B4" w:rsidTr="00150C9E">
        <w:trPr>
          <w:trHeight w:val="375"/>
        </w:trPr>
        <w:tc>
          <w:tcPr>
            <w:tcW w:w="2688" w:type="dxa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Creation-oriented culture</w:t>
            </w:r>
          </w:p>
        </w:tc>
        <w:tc>
          <w:tcPr>
            <w:tcW w:w="6554" w:type="dxa"/>
          </w:tcPr>
          <w:p w:rsidR="00D82BFC" w:rsidRPr="003529B4" w:rsidRDefault="00D82BFC" w:rsidP="00150C9E">
            <w:pPr>
              <w:spacing w:after="0"/>
              <w:jc w:val="center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adapt*, begin*, chang*, creat*, discontin*, dream*, elabor*, entrepre*, envis*, experim*, fantas*, freedom*, futur*, idea*, init*, innovat*, intellec*, learn*, new*, origin*, pioneer*, predict*, radic*, risk*, start*, thought*, trend*, unafra*, ventur*, vision*</w:t>
            </w:r>
          </w:p>
        </w:tc>
      </w:tr>
    </w:tbl>
    <w:p w:rsidR="00D82BFC" w:rsidRPr="003529B4" w:rsidRDefault="00D82BFC" w:rsidP="00D82BFC">
      <w:pPr>
        <w:spacing w:line="260" w:lineRule="auto"/>
        <w:jc w:val="both"/>
        <w:rPr>
          <w:rFonts w:ascii="Times New Roman" w:hAnsi="Times New Roman"/>
          <w:i/>
          <w:iCs/>
          <w:sz w:val="20"/>
          <w:szCs w:val="20"/>
          <w:lang w:val="en-GB"/>
        </w:rPr>
      </w:pPr>
      <w:r w:rsidRPr="003529B4">
        <w:rPr>
          <w:rFonts w:ascii="Times New Roman" w:hAnsi="Times New Roman"/>
          <w:i/>
          <w:iCs/>
          <w:sz w:val="20"/>
          <w:szCs w:val="20"/>
          <w:lang w:val="en-GB"/>
        </w:rPr>
        <w:t>The corporate culture</w:t>
      </w:r>
      <w:r>
        <w:rPr>
          <w:rFonts w:ascii="Times New Roman" w:hAnsi="Times New Roman"/>
          <w:i/>
          <w:iCs/>
          <w:sz w:val="20"/>
          <w:szCs w:val="20"/>
          <w:lang w:val="en-GB"/>
        </w:rPr>
        <w:t xml:space="preserve"> vocabulary</w:t>
      </w:r>
      <w:r w:rsidRPr="003529B4">
        <w:rPr>
          <w:rFonts w:ascii="Times New Roman" w:hAnsi="Times New Roman"/>
          <w:i/>
          <w:iCs/>
          <w:sz w:val="20"/>
          <w:szCs w:val="20"/>
          <w:lang w:val="en-GB"/>
        </w:rPr>
        <w:t xml:space="preserve"> is extracted from Fiordelisi and Ricci (2014).</w:t>
      </w:r>
    </w:p>
    <w:p w:rsidR="00D82BFC" w:rsidRPr="003529B4" w:rsidRDefault="00D82BFC" w:rsidP="00D82B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3529B4">
        <w:rPr>
          <w:rFonts w:ascii="Times New Roman" w:hAnsi="Times New Roman" w:cs="Times New Roman"/>
          <w:b/>
          <w:sz w:val="28"/>
          <w:szCs w:val="28"/>
          <w:lang w:val="en-GB"/>
        </w:rPr>
        <w:br w:type="page"/>
      </w:r>
    </w:p>
    <w:p w:rsidR="00D82BFC" w:rsidRPr="003529B4" w:rsidRDefault="00D82BFC" w:rsidP="00D82BFC">
      <w:pPr>
        <w:pStyle w:val="Heading1"/>
      </w:pPr>
      <w:bookmarkStart w:id="1" w:name="_Toc185201436"/>
      <w:r w:rsidRPr="003529B4">
        <w:lastRenderedPageBreak/>
        <w:t xml:space="preserve">Appendix III: Variable </w:t>
      </w:r>
      <w:bookmarkEnd w:id="1"/>
      <w:r>
        <w:t>d</w:t>
      </w:r>
      <w:r w:rsidRPr="003529B4">
        <w:t>efinitions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6552"/>
      </w:tblGrid>
      <w:tr w:rsidR="00D82BFC" w:rsidRPr="003529B4" w:rsidTr="00150C9E">
        <w:tc>
          <w:tcPr>
            <w:tcW w:w="9067" w:type="dxa"/>
            <w:gridSpan w:val="2"/>
          </w:tcPr>
          <w:p w:rsidR="00D82BFC" w:rsidRPr="003529B4" w:rsidRDefault="00D82BFC" w:rsidP="00150C9E">
            <w:pPr>
              <w:rPr>
                <w:i/>
                <w:iCs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  <w:lang w:val="en-GB"/>
              </w:rPr>
              <w:t>Dependent variables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BT_Adoption 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Equals 1 if the listed firms adopt blockchain technology and 0 otherwise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BT_Disclosure_Proportion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Ratio of the number of blockchain-related vocabulary to the total words of the MD&amp;A section excluded punctuated text multiplied by 10</w:t>
            </w:r>
            <w:r w:rsidRPr="007A23B7">
              <w:rPr>
                <w:rFonts w:ascii="Times New Roman" w:eastAsia="SimSun" w:hAnsi="Times New Roman" w:cs="Times New Roman"/>
                <w:sz w:val="21"/>
                <w:szCs w:val="21"/>
                <w:vertAlign w:val="superscript"/>
                <w:lang w:val="en-GB"/>
              </w:rPr>
              <w:t>3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BT_Disclosure_Only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The natural logarithm of the number of blockchain keywords mentioned in the MD&amp;A section annual reports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absDAC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The absolute value of discretionary accruals</w:t>
            </w:r>
          </w:p>
        </w:tc>
      </w:tr>
      <w:tr w:rsidR="00D82BFC" w:rsidRPr="003529B4" w:rsidTr="00150C9E">
        <w:tc>
          <w:tcPr>
            <w:tcW w:w="9067" w:type="dxa"/>
            <w:gridSpan w:val="2"/>
          </w:tcPr>
          <w:p w:rsidR="00D82BFC" w:rsidRPr="003529B4" w:rsidRDefault="00D82BFC" w:rsidP="00150C9E">
            <w:pPr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  <w:lang w:val="en-GB"/>
              </w:rPr>
              <w:t>Independent variables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AI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Equals 1 if the listed firms have artificial intelligence patents and 0 otherwise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Compete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The proportion of competition-oriented keywords mentioned in the annual reports exclud</w:t>
            </w:r>
            <w:r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ing</w:t>
            </w: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 xml:space="preserve"> punctuated text</w:t>
            </w:r>
            <w:r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,</w:t>
            </w: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 xml:space="preserve"> multiplied by 10</w:t>
            </w:r>
            <w:r w:rsidRPr="007A23B7">
              <w:rPr>
                <w:rFonts w:ascii="Times New Roman" w:eastAsia="SimSun" w:hAnsi="Times New Roman" w:cs="Times New Roman"/>
                <w:sz w:val="21"/>
                <w:szCs w:val="21"/>
                <w:vertAlign w:val="superscript"/>
                <w:lang w:val="en-GB"/>
              </w:rPr>
              <w:t>2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Create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The proportion of creation-oriented keywords mentioned in the annual reports exclud</w:t>
            </w:r>
            <w:r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ing</w:t>
            </w: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 xml:space="preserve"> punctuated text</w:t>
            </w:r>
            <w:r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,</w:t>
            </w: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 xml:space="preserve"> multiplied by 10</w:t>
            </w:r>
            <w:r w:rsidRPr="007A23B7">
              <w:rPr>
                <w:rFonts w:ascii="Times New Roman" w:eastAsia="SimSun" w:hAnsi="Times New Roman" w:cs="Times New Roman"/>
                <w:sz w:val="21"/>
                <w:szCs w:val="21"/>
                <w:vertAlign w:val="superscript"/>
                <w:lang w:val="en-GB"/>
              </w:rPr>
              <w:t>2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HHI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The Herfindahl index of listed firms is calculated as the sum of the squared revenue of each firm in total industry sales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Subsidy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The natural logarithm of government subsidi</w:t>
            </w:r>
            <w:r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es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DFI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 xml:space="preserve">The Digital Financial Inclusion Index </w:t>
            </w:r>
            <w:r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 xml:space="preserve">issued by the </w:t>
            </w: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 xml:space="preserve">Peking University Digital Finance Research Centre </w:t>
            </w:r>
          </w:p>
        </w:tc>
      </w:tr>
      <w:tr w:rsidR="00D82BFC" w:rsidRPr="003529B4" w:rsidTr="00150C9E">
        <w:tc>
          <w:tcPr>
            <w:tcW w:w="9067" w:type="dxa"/>
            <w:gridSpan w:val="2"/>
          </w:tcPr>
          <w:p w:rsidR="00D82BFC" w:rsidRPr="003529B4" w:rsidRDefault="00D82BFC" w:rsidP="00150C9E">
            <w:pPr>
              <w:rPr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  <w:lang w:val="en-GB"/>
              </w:rPr>
              <w:t>Control variables</w:t>
            </w:r>
          </w:p>
        </w:tc>
      </w:tr>
      <w:tr w:rsidR="00D82BFC" w:rsidRPr="003529B4" w:rsidTr="00150C9E">
        <w:tc>
          <w:tcPr>
            <w:tcW w:w="2515" w:type="dxa"/>
            <w:vAlign w:val="center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Size</w:t>
            </w:r>
          </w:p>
        </w:tc>
        <w:tc>
          <w:tcPr>
            <w:tcW w:w="6552" w:type="dxa"/>
            <w:vAlign w:val="center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The natural logarithm of total assets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ROA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Ratio of net income to net assets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Cash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Ratio of cash flow from operating activities to total assets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Growth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The one-year growth rate of a firm’s sales revenue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Lev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The total liabilities are divided by their total equity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MTB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The ratio of market value to the net book value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Netloss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Equals 1 if the listed firms report a net loss for the current year and 0 otherwise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Top1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The proportion of shares held by the largest shareholder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Agescale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The age scale takes values from 1</w:t>
            </w:r>
            <w:r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 xml:space="preserve"> to </w:t>
            </w: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5 according to the quantile of a firm’s age, representing the five stages of a firm’s lifecycle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SOE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Equals 1 if the actual controllers of the listed firms are central or local governments and 0 otherwise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HTT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Equals 1 if the listed firms belong to the high-tech industry and 0 otherwise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Tangibility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Ratio of fixed assets to total assets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Audtenure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Number of years the auditor has continuously audited the listed firms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Subsidiary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>The number of subsidiaries of listed companies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AuditorChange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 xml:space="preserve">Equals 1 if the listed firms change the auditors and 0 otherwise 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>Restate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 xml:space="preserve">Equals 1 if the listed firms restate the financial reporting and 0 otherwise </w:t>
            </w:r>
          </w:p>
        </w:tc>
      </w:tr>
      <w:tr w:rsidR="00D82BFC" w:rsidRPr="003529B4" w:rsidTr="00150C9E">
        <w:tc>
          <w:tcPr>
            <w:tcW w:w="2515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i/>
                <w:iCs/>
                <w:sz w:val="21"/>
                <w:szCs w:val="21"/>
                <w:lang w:val="en-GB"/>
              </w:rPr>
              <w:t xml:space="preserve">Big4 </w:t>
            </w:r>
          </w:p>
        </w:tc>
        <w:tc>
          <w:tcPr>
            <w:tcW w:w="6552" w:type="dxa"/>
          </w:tcPr>
          <w:p w:rsidR="00D82BFC" w:rsidRPr="003529B4" w:rsidRDefault="00D82BFC" w:rsidP="00150C9E">
            <w:pPr>
              <w:adjustRightInd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</w:pPr>
            <w:r w:rsidRPr="003529B4">
              <w:rPr>
                <w:rFonts w:ascii="Times New Roman" w:eastAsia="SimSun" w:hAnsi="Times New Roman" w:cs="Times New Roman"/>
                <w:sz w:val="21"/>
                <w:szCs w:val="21"/>
                <w:lang w:val="en-GB"/>
              </w:rPr>
              <w:t xml:space="preserve">Equals 1 if the listed firms hire Big Four accounting firms and 0 otherwise </w:t>
            </w:r>
          </w:p>
        </w:tc>
      </w:tr>
    </w:tbl>
    <w:p w:rsidR="00D82BFC" w:rsidRPr="003529B4" w:rsidRDefault="00D82BFC" w:rsidP="00D82BFC">
      <w:pPr>
        <w:rPr>
          <w:lang w:val="en-GB"/>
        </w:rPr>
      </w:pPr>
    </w:p>
    <w:p w:rsidR="005B5E88" w:rsidRDefault="00D82BFC">
      <w:bookmarkStart w:id="2" w:name="_GoBack"/>
      <w:bookmarkEnd w:id="2"/>
    </w:p>
    <w:sectPr w:rsidR="005B5E88" w:rsidSect="0066242B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FC"/>
    <w:rsid w:val="002E0ABC"/>
    <w:rsid w:val="00D81687"/>
    <w:rsid w:val="00D8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FC"/>
    <w:pPr>
      <w:spacing w:after="160" w:line="259" w:lineRule="auto"/>
    </w:pPr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BFC"/>
    <w:pPr>
      <w:adjustRightInd w:val="0"/>
      <w:snapToGrid w:val="0"/>
      <w:spacing w:before="480" w:after="0" w:line="360" w:lineRule="auto"/>
      <w:jc w:val="both"/>
      <w:outlineLvl w:val="0"/>
    </w:pPr>
    <w:rPr>
      <w:rFonts w:ascii="Times New Roman" w:eastAsia="SimSun" w:hAnsi="Times New Roman" w:cs="Times New Roman"/>
      <w:b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82BFC"/>
    <w:rPr>
      <w:rFonts w:ascii="Times New Roman" w:eastAsia="SimSun" w:hAnsi="Times New Roman" w:cs="Times New Roman"/>
      <w:b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FC"/>
    <w:pPr>
      <w:spacing w:after="160" w:line="259" w:lineRule="auto"/>
    </w:pPr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BFC"/>
    <w:pPr>
      <w:adjustRightInd w:val="0"/>
      <w:snapToGrid w:val="0"/>
      <w:spacing w:before="480" w:after="0" w:line="360" w:lineRule="auto"/>
      <w:jc w:val="both"/>
      <w:outlineLvl w:val="0"/>
    </w:pPr>
    <w:rPr>
      <w:rFonts w:ascii="Times New Roman" w:eastAsia="SimSun" w:hAnsi="Times New Roman" w:cs="Times New Roman"/>
      <w:b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82BFC"/>
    <w:rPr>
      <w:rFonts w:ascii="Times New Roman" w:eastAsia="SimSun" w:hAnsi="Times New Roman" w:cs="Times New Roman"/>
      <w:b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 K M.</dc:creator>
  <cp:lastModifiedBy>Subha K M.</cp:lastModifiedBy>
  <cp:revision>1</cp:revision>
  <dcterms:created xsi:type="dcterms:W3CDTF">2025-12-19T04:58:00Z</dcterms:created>
  <dcterms:modified xsi:type="dcterms:W3CDTF">2025-12-19T04:58:00Z</dcterms:modified>
</cp:coreProperties>
</file>