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042"/>
        <w:gridCol w:w="108"/>
        <w:gridCol w:w="6251"/>
      </w:tblGrid>
      <w:tr w:rsidR="00A83F7B" w:rsidRPr="00C80EB2" w:rsidTr="00E5470F">
        <w:trPr>
          <w:trHeight w:val="290"/>
        </w:trPr>
        <w:tc>
          <w:tcPr>
            <w:tcW w:w="9360" w:type="dxa"/>
            <w:gridSpan w:val="3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:rsidR="00A83F7B" w:rsidRPr="00C80EB2" w:rsidRDefault="00A83F7B" w:rsidP="00E547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A83F7B" w:rsidRPr="00C80EB2" w:rsidTr="00E5470F">
        <w:trPr>
          <w:trHeight w:val="20"/>
        </w:trPr>
        <w:tc>
          <w:tcPr>
            <w:tcW w:w="3028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3F7B" w:rsidRPr="00122C79" w:rsidRDefault="00A83F7B" w:rsidP="00E5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122C79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Variables</w:t>
            </w:r>
          </w:p>
        </w:tc>
        <w:tc>
          <w:tcPr>
            <w:tcW w:w="108" w:type="dxa"/>
            <w:vAlign w:val="bottom"/>
            <w:hideMark/>
          </w:tcPr>
          <w:p w:rsidR="00A83F7B" w:rsidRPr="00122C79" w:rsidRDefault="00A83F7B" w:rsidP="00E547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6224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3F7B" w:rsidRPr="00122C79" w:rsidRDefault="00A83F7B" w:rsidP="00E5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122C79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Description</w:t>
            </w:r>
          </w:p>
        </w:tc>
      </w:tr>
      <w:tr w:rsidR="00A83F7B" w:rsidRPr="00C80EB2" w:rsidTr="00E5470F">
        <w:trPr>
          <w:trHeight w:val="290"/>
        </w:trPr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Dependent Variables</w:t>
            </w:r>
          </w:p>
        </w:tc>
        <w:tc>
          <w:tcPr>
            <w:tcW w:w="108" w:type="dxa"/>
            <w:hideMark/>
          </w:tcPr>
          <w:p w:rsidR="00A83F7B" w:rsidRPr="00C80EB2" w:rsidRDefault="00A83F7B" w:rsidP="00E5470F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62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A83F7B" w:rsidRPr="00C80EB2" w:rsidTr="00E5470F">
        <w:trPr>
          <w:trHeight w:val="580"/>
        </w:trPr>
        <w:tc>
          <w:tcPr>
            <w:tcW w:w="3028" w:type="dxa"/>
            <w:hideMark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 xml:space="preserve">   Discretionary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Bonus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  <w:hideMark/>
          </w:tcPr>
          <w:p w:rsidR="00A83F7B" w:rsidRPr="00C80EB2" w:rsidRDefault="00A83F7B" w:rsidP="00E5470F">
            <w:pPr>
              <w:spacing w:line="25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</w:p>
        </w:tc>
        <w:tc>
          <w:tcPr>
            <w:tcW w:w="6224" w:type="dxa"/>
            <w:hideMark/>
          </w:tcPr>
          <w:p w:rsidR="00A83F7B" w:rsidRPr="00646769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An indicator variable which equal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s 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1 if the CEO of firm </w:t>
            </w:r>
            <w:proofErr w:type="spellStart"/>
            <w:r w:rsidRPr="006467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receive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s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a discretionary cash bonus in year </w:t>
            </w:r>
            <w:r w:rsidRPr="006467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and 0 otherwise.</w:t>
            </w:r>
          </w:p>
        </w:tc>
      </w:tr>
      <w:tr w:rsidR="00A83F7B" w:rsidRPr="00C80EB2" w:rsidTr="00E5470F">
        <w:trPr>
          <w:trHeight w:val="580"/>
        </w:trPr>
        <w:tc>
          <w:tcPr>
            <w:tcW w:w="3028" w:type="dxa"/>
            <w:hideMark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 xml:space="preserve">   Formula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Bonus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  <w:hideMark/>
          </w:tcPr>
          <w:p w:rsidR="00A83F7B" w:rsidRPr="00C80EB2" w:rsidRDefault="00A83F7B" w:rsidP="00E5470F">
            <w:pPr>
              <w:spacing w:line="25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</w:p>
        </w:tc>
        <w:tc>
          <w:tcPr>
            <w:tcW w:w="6224" w:type="dxa"/>
            <w:hideMark/>
          </w:tcPr>
          <w:p w:rsidR="00A83F7B" w:rsidRPr="00646769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An indicator variable which equal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s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1 if the CEO of firm </w:t>
            </w:r>
            <w:proofErr w:type="spellStart"/>
            <w:r w:rsidRPr="006467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receive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s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a formula cash bonus in year </w:t>
            </w:r>
            <w:r w:rsidRPr="006467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and 0 otherwise.</w:t>
            </w:r>
          </w:p>
        </w:tc>
      </w:tr>
      <w:tr w:rsidR="00A83F7B" w:rsidRPr="00C80EB2" w:rsidTr="00E5470F">
        <w:trPr>
          <w:trHeight w:val="580"/>
        </w:trPr>
        <w:tc>
          <w:tcPr>
            <w:tcW w:w="3028" w:type="dxa"/>
            <w:hideMark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color w:val="000000"/>
                <w:lang w:eastAsia="en-US"/>
              </w:rPr>
              <w:t xml:space="preserve">   Discretionary Bonus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color w:val="000000"/>
                <w:lang w:eastAsia="en-US"/>
              </w:rPr>
              <w:t>Weight</w:t>
            </w:r>
            <w:r w:rsidRPr="00C80EB2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  <w:hideMark/>
          </w:tcPr>
          <w:p w:rsidR="00A83F7B" w:rsidRPr="00C80EB2" w:rsidRDefault="00A83F7B" w:rsidP="00E5470F">
            <w:pPr>
              <w:spacing w:line="256" w:lineRule="auto"/>
              <w:rPr>
                <w:rFonts w:ascii="Times New Roman" w:eastAsia="Times New Roman" w:hAnsi="Times New Roman" w:cs="Times New Roman"/>
                <w:i/>
                <w:color w:val="000000"/>
                <w:lang w:eastAsia="en-US"/>
              </w:rPr>
            </w:pPr>
          </w:p>
        </w:tc>
        <w:tc>
          <w:tcPr>
            <w:tcW w:w="6224" w:type="dxa"/>
            <w:hideMark/>
          </w:tcPr>
          <w:p w:rsidR="00A83F7B" w:rsidRPr="00646769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The discretionary cash bonus that the CEO of firm </w:t>
            </w:r>
            <w:proofErr w:type="spellStart"/>
            <w:r w:rsidRPr="006467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proofErr w:type="gramStart"/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receive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s</w:t>
            </w:r>
            <w:proofErr w:type="gramEnd"/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in year </w:t>
            </w:r>
            <w:r w:rsidRPr="006467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scaled by the CEO cash compensation in year </w:t>
            </w:r>
            <w:r w:rsidRPr="006467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bookmarkStart w:id="0" w:name="_Hlk199079556"/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Cash compensation include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s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salary, discretionary cash bonuses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and formula-based cash bonuses.</w:t>
            </w:r>
            <w:bookmarkEnd w:id="0"/>
          </w:p>
        </w:tc>
      </w:tr>
      <w:tr w:rsidR="00A83F7B" w:rsidRPr="00C80EB2" w:rsidTr="00E5470F">
        <w:trPr>
          <w:trHeight w:val="330"/>
        </w:trPr>
        <w:tc>
          <w:tcPr>
            <w:tcW w:w="3028" w:type="dxa"/>
            <w:hideMark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color w:val="000000"/>
                <w:lang w:eastAsia="en-US"/>
              </w:rPr>
              <w:t xml:space="preserve">   Formula Bonus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color w:val="000000"/>
                <w:lang w:eastAsia="en-US"/>
              </w:rPr>
              <w:t>Weight</w:t>
            </w:r>
            <w:r w:rsidRPr="00C80EB2">
              <w:rPr>
                <w:rFonts w:ascii="Times New Roman" w:eastAsia="Times New Roman" w:hAnsi="Times New Roman" w:cs="Times New Roman"/>
                <w:i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  <w:hideMark/>
          </w:tcPr>
          <w:p w:rsidR="00A83F7B" w:rsidRPr="00C80EB2" w:rsidRDefault="00A83F7B" w:rsidP="00E5470F">
            <w:pPr>
              <w:spacing w:line="256" w:lineRule="auto"/>
              <w:rPr>
                <w:rFonts w:ascii="Times New Roman" w:eastAsia="Times New Roman" w:hAnsi="Times New Roman" w:cs="Times New Roman"/>
                <w:i/>
                <w:color w:val="000000"/>
                <w:lang w:eastAsia="en-US"/>
              </w:rPr>
            </w:pPr>
          </w:p>
        </w:tc>
        <w:tc>
          <w:tcPr>
            <w:tcW w:w="6224" w:type="dxa"/>
            <w:hideMark/>
          </w:tcPr>
          <w:p w:rsidR="00A83F7B" w:rsidRPr="00646769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The formula-based cash bonus that the CEO of firm </w:t>
            </w:r>
            <w:proofErr w:type="spellStart"/>
            <w:r w:rsidRPr="006467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receive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s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in year </w:t>
            </w:r>
            <w:r w:rsidRPr="006467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scaled by</w:t>
            </w:r>
            <w:r w:rsidRPr="00646769">
              <w:rPr>
                <w:rFonts w:ascii="Calibri" w:eastAsia="SimSun" w:hAnsi="Calibri" w:cs="Times New Roman"/>
                <w:lang w:eastAsia="en-US"/>
              </w:rPr>
              <w:t xml:space="preserve"> 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the CEO cash compensation in year </w:t>
            </w:r>
            <w:r w:rsidRPr="00646769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</w:tc>
      </w:tr>
      <w:tr w:rsidR="00A83F7B" w:rsidRPr="00C80EB2" w:rsidTr="00E5470F">
        <w:trPr>
          <w:trHeight w:val="290"/>
        </w:trPr>
        <w:tc>
          <w:tcPr>
            <w:tcW w:w="9360" w:type="dxa"/>
            <w:gridSpan w:val="3"/>
          </w:tcPr>
          <w:tbl>
            <w:tblPr>
              <w:tblW w:w="5000" w:type="pct"/>
              <w:tblCellMar>
                <w:left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2874"/>
              <w:gridCol w:w="102"/>
              <w:gridCol w:w="143"/>
              <w:gridCol w:w="6196"/>
            </w:tblGrid>
            <w:tr w:rsidR="00A83F7B" w:rsidRPr="00646769" w:rsidTr="00E5470F">
              <w:trPr>
                <w:trHeight w:val="290"/>
              </w:trPr>
              <w:tc>
                <w:tcPr>
                  <w:tcW w:w="1542" w:type="pct"/>
                  <w:hideMark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>Accounting Quality Variables</w:t>
                  </w:r>
                </w:p>
              </w:tc>
              <w:tc>
                <w:tcPr>
                  <w:tcW w:w="55" w:type="pct"/>
                  <w:hideMark/>
                </w:tcPr>
                <w:p w:rsidR="00A83F7B" w:rsidRPr="00646769" w:rsidRDefault="00A83F7B" w:rsidP="00E5470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403" w:type="pct"/>
                  <w:gridSpan w:val="2"/>
                </w:tcPr>
                <w:p w:rsidR="00A83F7B" w:rsidRPr="00646769" w:rsidRDefault="00A83F7B" w:rsidP="00E5470F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</w:tr>
            <w:tr w:rsidR="00A83F7B" w:rsidRPr="00646769" w:rsidTr="00E5470F">
              <w:trPr>
                <w:trHeight w:val="330"/>
              </w:trPr>
              <w:tc>
                <w:tcPr>
                  <w:tcW w:w="1542" w:type="pct"/>
                  <w:hideMark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   Big4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  <w:vertAlign w:val="subscript"/>
                    </w:rPr>
                    <w:t>it</w:t>
                  </w:r>
                </w:p>
              </w:tc>
              <w:tc>
                <w:tcPr>
                  <w:tcW w:w="132" w:type="pct"/>
                  <w:gridSpan w:val="2"/>
                  <w:hideMark/>
                </w:tcPr>
                <w:p w:rsidR="00A83F7B" w:rsidRPr="00646769" w:rsidRDefault="00A83F7B" w:rsidP="00E5470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</w:tc>
              <w:tc>
                <w:tcPr>
                  <w:tcW w:w="3326" w:type="pct"/>
                  <w:hideMark/>
                </w:tcPr>
                <w:p w:rsidR="00A83F7B" w:rsidRPr="00646769" w:rsidRDefault="00A83F7B" w:rsidP="00E5470F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>An indicator variable which equal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s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1 if the firm </w:t>
                  </w:r>
                  <w:proofErr w:type="spellStart"/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>i</w:t>
                  </w:r>
                  <w:proofErr w:type="spellEnd"/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i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>s audited by a Big 4 auditor in year t, and 0 otherwise.</w:t>
                  </w:r>
                </w:p>
              </w:tc>
            </w:tr>
            <w:tr w:rsidR="00A83F7B" w:rsidRPr="00646769" w:rsidTr="00E5470F">
              <w:trPr>
                <w:trHeight w:val="950"/>
              </w:trPr>
              <w:tc>
                <w:tcPr>
                  <w:tcW w:w="1542" w:type="pct"/>
                  <w:hideMark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   Earning Predict </w:t>
                  </w:r>
                  <w:proofErr w:type="spellStart"/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CF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  <w:vertAlign w:val="subscript"/>
                    </w:rPr>
                    <w:t>it</w:t>
                  </w:r>
                  <w:proofErr w:type="spellEnd"/>
                </w:p>
              </w:tc>
              <w:tc>
                <w:tcPr>
                  <w:tcW w:w="132" w:type="pct"/>
                  <w:gridSpan w:val="2"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6" w:type="pct"/>
                  <w:hideMark/>
                </w:tcPr>
                <w:p w:rsidR="00A83F7B" w:rsidRPr="00646769" w:rsidRDefault="00A83F7B" w:rsidP="00E5470F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>Earnings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’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ability to predict future cash flows of firm </w:t>
                  </w:r>
                  <w:proofErr w:type="spellStart"/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>i</w:t>
                  </w:r>
                  <w:proofErr w:type="spellEnd"/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in year t. It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i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>s measured by the incremental R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vertAlign w:val="superscript"/>
                    </w:rPr>
                    <w:t>2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Pr="00646769">
                    <w:rPr>
                      <w:rFonts w:ascii="Times New Roman" w:hAnsi="Times New Roman" w:cs="Times New Roman"/>
                    </w:rPr>
                    <w:t>derived from the difference between the R</w:t>
                  </w:r>
                  <w:r w:rsidRPr="00646769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646769">
                    <w:rPr>
                      <w:rFonts w:ascii="Times New Roman" w:hAnsi="Times New Roman" w:cs="Times New Roman"/>
                    </w:rPr>
                    <w:t xml:space="preserve"> in the time-series regression of one-year-ahead cash flows on the current earnings and cash flows and the R</w:t>
                  </w:r>
                  <w:r w:rsidRPr="00646769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r w:rsidRPr="00646769">
                    <w:rPr>
                      <w:rFonts w:ascii="Times New Roman" w:hAnsi="Times New Roman" w:cs="Times New Roman"/>
                    </w:rPr>
                    <w:t xml:space="preserve"> in the regression of one-year-ahead cash flows on the current cash flows by firm.</w:t>
                  </w:r>
                </w:p>
              </w:tc>
            </w:tr>
            <w:tr w:rsidR="00A83F7B" w:rsidRPr="00646769" w:rsidTr="00E5470F">
              <w:trPr>
                <w:trHeight w:val="950"/>
              </w:trPr>
              <w:tc>
                <w:tcPr>
                  <w:tcW w:w="1542" w:type="pct"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   Abnormal </w:t>
                  </w:r>
                  <w:proofErr w:type="spellStart"/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Accruals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  <w:vertAlign w:val="subscript"/>
                    </w:rPr>
                    <w:t>it</w:t>
                  </w:r>
                  <w:proofErr w:type="spellEnd"/>
                </w:p>
              </w:tc>
              <w:tc>
                <w:tcPr>
                  <w:tcW w:w="132" w:type="pct"/>
                  <w:gridSpan w:val="2"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6" w:type="pct"/>
                </w:tcPr>
                <w:p w:rsidR="00A83F7B" w:rsidRPr="00646769" w:rsidRDefault="00A83F7B" w:rsidP="00E5470F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Abnormal accruals of firm </w:t>
                  </w:r>
                  <w:proofErr w:type="spellStart"/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>i</w:t>
                  </w:r>
                  <w:proofErr w:type="spellEnd"/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in year t estimated by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a 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>modified Jones model (</w:t>
                  </w:r>
                  <w:proofErr w:type="spellStart"/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>Dechow</w:t>
                  </w:r>
                  <w:proofErr w:type="spellEnd"/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and Sloan 1995; Jones 1991), which include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s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a performance control variable (Kothari et al. 2005). </w:t>
                  </w:r>
                </w:p>
              </w:tc>
            </w:tr>
            <w:tr w:rsidR="00A83F7B" w:rsidRPr="00646769" w:rsidTr="00E5470F">
              <w:trPr>
                <w:trHeight w:val="950"/>
              </w:trPr>
              <w:tc>
                <w:tcPr>
                  <w:tcW w:w="1542" w:type="pct"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   Accounting Quality1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  <w:vertAlign w:val="subscript"/>
                    </w:rPr>
                    <w:t>it</w:t>
                  </w:r>
                </w:p>
              </w:tc>
              <w:tc>
                <w:tcPr>
                  <w:tcW w:w="132" w:type="pct"/>
                  <w:gridSpan w:val="2"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6" w:type="pct"/>
                </w:tcPr>
                <w:p w:rsidR="00A83F7B" w:rsidRPr="00646769" w:rsidRDefault="00A83F7B" w:rsidP="00E5470F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A composite measure of accounting quality, which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i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s the average of three standardized variables, including standardized 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>Big4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standardized 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>Earning Predict CF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, and the opposite of the standardized 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</w:rPr>
                    <w:t>Abnormal Accruals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  <w:tr w:rsidR="00A83F7B" w:rsidRPr="00646769" w:rsidTr="00E5470F">
              <w:trPr>
                <w:trHeight w:val="950"/>
              </w:trPr>
              <w:tc>
                <w:tcPr>
                  <w:tcW w:w="1542" w:type="pct"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   Accounting Quality2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color w:val="000000"/>
                      <w:vertAlign w:val="subscript"/>
                    </w:rPr>
                    <w:t>it</w:t>
                  </w:r>
                </w:p>
              </w:tc>
              <w:tc>
                <w:tcPr>
                  <w:tcW w:w="132" w:type="pct"/>
                  <w:gridSpan w:val="2"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3326" w:type="pct"/>
                </w:tcPr>
                <w:p w:rsidR="00A83F7B" w:rsidRPr="00646769" w:rsidRDefault="00A83F7B" w:rsidP="00E5470F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A composite measure of accounting quality, </w:t>
                  </w:r>
                  <w:r w:rsidRPr="00646769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which </w:t>
                  </w:r>
                  <w:r>
                    <w:rPr>
                      <w:rFonts w:ascii="Times New Roman" w:eastAsia="Times New Roman" w:hAnsi="Times New Roman" w:cs="Times New Roman"/>
                      <w:lang w:eastAsia="en-US"/>
                    </w:rPr>
                    <w:t>i</w:t>
                  </w:r>
                  <w:r w:rsidRPr="00646769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s the average of three ranks scaled by the number of observations. The sample observations </w:t>
                  </w:r>
                  <w:r>
                    <w:rPr>
                      <w:rFonts w:ascii="Times New Roman" w:eastAsia="Times New Roman" w:hAnsi="Times New Roman" w:cs="Times New Roman"/>
                      <w:lang w:eastAsia="en-US"/>
                    </w:rPr>
                    <w:t>a</w:t>
                  </w:r>
                  <w:r w:rsidRPr="00646769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re ranked by 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lang w:eastAsia="en-US"/>
                    </w:rPr>
                    <w:t>Big4</w:t>
                  </w:r>
                  <w:r w:rsidRPr="00646769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, 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lang w:eastAsia="en-US"/>
                    </w:rPr>
                    <w:t>Earning Predict CF</w:t>
                  </w:r>
                  <w:r w:rsidRPr="00646769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, and 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lang w:eastAsia="en-US"/>
                    </w:rPr>
                    <w:t>Abnormal Accruals</w:t>
                  </w:r>
                  <w:r w:rsidRPr="00646769">
                    <w:rPr>
                      <w:rFonts w:ascii="Times New Roman" w:eastAsia="Times New Roman" w:hAnsi="Times New Roman" w:cs="Times New Roman"/>
                      <w:lang w:eastAsia="en-US"/>
                    </w:rPr>
                    <w:t xml:space="preserve"> (in decreasing order) in three separate ranking processes to obtain the three ranks of each observation.</w:t>
                  </w:r>
                </w:p>
              </w:tc>
            </w:tr>
          </w:tbl>
          <w:p w:rsidR="00A83F7B" w:rsidRPr="00646769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646769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Control Variables</w:t>
            </w:r>
          </w:p>
        </w:tc>
      </w:tr>
      <w:tr w:rsidR="00A83F7B" w:rsidRPr="00C80EB2" w:rsidTr="00E5470F">
        <w:trPr>
          <w:trHeight w:val="290"/>
        </w:trPr>
        <w:tc>
          <w:tcPr>
            <w:tcW w:w="9360" w:type="dxa"/>
            <w:gridSpan w:val="3"/>
          </w:tcPr>
          <w:tbl>
            <w:tblPr>
              <w:tblW w:w="9225" w:type="dxa"/>
              <w:tblCellMar>
                <w:left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2997"/>
              <w:gridCol w:w="107"/>
              <w:gridCol w:w="6121"/>
            </w:tblGrid>
            <w:tr w:rsidR="00A83F7B" w:rsidRPr="00646769" w:rsidTr="00E5470F">
              <w:trPr>
                <w:trHeight w:val="580"/>
              </w:trPr>
              <w:tc>
                <w:tcPr>
                  <w:tcW w:w="2997" w:type="dxa"/>
                  <w:hideMark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 xml:space="preserve">   Return </w:t>
                  </w:r>
                  <w:proofErr w:type="spellStart"/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>Volatility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vertAlign w:val="subscript"/>
                      <w:lang w:eastAsia="en-US"/>
                    </w:rPr>
                    <w:t>it</w:t>
                  </w:r>
                  <w:proofErr w:type="spellEnd"/>
                </w:p>
              </w:tc>
              <w:tc>
                <w:tcPr>
                  <w:tcW w:w="107" w:type="dxa"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6121" w:type="dxa"/>
                  <w:hideMark/>
                </w:tcPr>
                <w:p w:rsidR="00A83F7B" w:rsidRPr="00646769" w:rsidRDefault="00A83F7B" w:rsidP="00E5470F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 xml:space="preserve">The standard deviation of residual obtained by regressing firm 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>i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 xml:space="preserve">'s 3-year monthly return ending before the start of the fiscal year 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>t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 xml:space="preserve"> on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 xml:space="preserve">a 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value-weighted market return.</w:t>
                  </w:r>
                </w:p>
              </w:tc>
            </w:tr>
            <w:tr w:rsidR="00A83F7B" w:rsidRPr="00646769" w:rsidTr="00E5470F">
              <w:trPr>
                <w:trHeight w:val="580"/>
              </w:trPr>
              <w:tc>
                <w:tcPr>
                  <w:tcW w:w="2997" w:type="dxa"/>
                  <w:hideMark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 xml:space="preserve">   ROA </w:t>
                  </w:r>
                  <w:proofErr w:type="spellStart"/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>Volatility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vertAlign w:val="subscript"/>
                      <w:lang w:eastAsia="en-US"/>
                    </w:rPr>
                    <w:t>it</w:t>
                  </w:r>
                  <w:proofErr w:type="spellEnd"/>
                </w:p>
              </w:tc>
              <w:tc>
                <w:tcPr>
                  <w:tcW w:w="107" w:type="dxa"/>
                  <w:hideMark/>
                </w:tcPr>
                <w:p w:rsidR="00A83F7B" w:rsidRPr="00646769" w:rsidRDefault="00A83F7B" w:rsidP="00E5470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6121" w:type="dxa"/>
                  <w:hideMark/>
                </w:tcPr>
                <w:p w:rsidR="00A83F7B" w:rsidRPr="00646769" w:rsidRDefault="00A83F7B" w:rsidP="00E5470F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 xml:space="preserve">The standard deviation of return on assets of industries based on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 xml:space="preserve">the 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3-digit SIC code in the past 5 years from year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 xml:space="preserve"> t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 xml:space="preserve">-5 to year 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>t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-1.</w:t>
                  </w:r>
                </w:p>
              </w:tc>
            </w:tr>
          </w:tbl>
          <w:p w:rsidR="00A83F7B" w:rsidRPr="00646769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A83F7B" w:rsidRPr="00C80EB2" w:rsidTr="00E5470F">
        <w:trPr>
          <w:trHeight w:val="290"/>
        </w:trPr>
        <w:tc>
          <w:tcPr>
            <w:tcW w:w="9360" w:type="dxa"/>
            <w:gridSpan w:val="3"/>
          </w:tcPr>
          <w:tbl>
            <w:tblPr>
              <w:tblW w:w="9315" w:type="dxa"/>
              <w:tblCellMar>
                <w:left w:w="43" w:type="dxa"/>
                <w:right w:w="43" w:type="dxa"/>
              </w:tblCellMar>
              <w:tblLook w:val="04A0" w:firstRow="1" w:lastRow="0" w:firstColumn="1" w:lastColumn="0" w:noHBand="0" w:noVBand="1"/>
            </w:tblPr>
            <w:tblGrid>
              <w:gridCol w:w="2997"/>
              <w:gridCol w:w="107"/>
              <w:gridCol w:w="6211"/>
            </w:tblGrid>
            <w:tr w:rsidR="00A83F7B" w:rsidRPr="00646769" w:rsidTr="00E5470F">
              <w:trPr>
                <w:trHeight w:val="340"/>
              </w:trPr>
              <w:tc>
                <w:tcPr>
                  <w:tcW w:w="2997" w:type="dxa"/>
                  <w:hideMark/>
                </w:tcPr>
                <w:p w:rsidR="00A83F7B" w:rsidRPr="00646769" w:rsidRDefault="00A83F7B" w:rsidP="00E547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 xml:space="preserve">   CEO </w:t>
                  </w:r>
                  <w:proofErr w:type="spellStart"/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>Tenure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vertAlign w:val="subscript"/>
                      <w:lang w:eastAsia="en-US"/>
                    </w:rPr>
                    <w:t>it</w:t>
                  </w:r>
                  <w:proofErr w:type="spellEnd"/>
                </w:p>
              </w:tc>
              <w:tc>
                <w:tcPr>
                  <w:tcW w:w="107" w:type="dxa"/>
                  <w:hideMark/>
                </w:tcPr>
                <w:p w:rsidR="00A83F7B" w:rsidRPr="00646769" w:rsidRDefault="00A83F7B" w:rsidP="00E5470F">
                  <w:pPr>
                    <w:spacing w:line="256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</w:pPr>
                </w:p>
              </w:tc>
              <w:tc>
                <w:tcPr>
                  <w:tcW w:w="6211" w:type="dxa"/>
                </w:tcPr>
                <w:p w:rsidR="00A83F7B" w:rsidRPr="00646769" w:rsidRDefault="00A83F7B" w:rsidP="00E5470F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</w:pP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Number of years that the executive ha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s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 xml:space="preserve"> served as the CEO of firm </w:t>
                  </w:r>
                  <w:proofErr w:type="spellStart"/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>i</w:t>
                  </w:r>
                  <w:proofErr w:type="spellEnd"/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 xml:space="preserve"> until year </w:t>
                  </w:r>
                  <w:r w:rsidRPr="00646769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lang w:eastAsia="en-US"/>
                    </w:rPr>
                    <w:t>t</w:t>
                  </w:r>
                  <w:r w:rsidRPr="00646769">
                    <w:rPr>
                      <w:rFonts w:ascii="Times New Roman" w:eastAsia="Times New Roman" w:hAnsi="Times New Roman" w:cs="Times New Roman"/>
                      <w:color w:val="000000"/>
                      <w:lang w:eastAsia="en-US"/>
                    </w:rPr>
                    <w:t>.</w:t>
                  </w:r>
                </w:p>
              </w:tc>
            </w:tr>
          </w:tbl>
          <w:p w:rsidR="00A83F7B" w:rsidRPr="00646769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A83F7B" w:rsidRPr="00C80EB2" w:rsidTr="00E5470F">
        <w:trPr>
          <w:trHeight w:val="576"/>
        </w:trPr>
        <w:tc>
          <w:tcPr>
            <w:tcW w:w="3028" w:type="dxa"/>
          </w:tcPr>
          <w:p w:rsidR="00A83F7B" w:rsidRPr="00C80EB2" w:rsidRDefault="00A83F7B" w:rsidP="00E547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</w:p>
        </w:tc>
        <w:tc>
          <w:tcPr>
            <w:tcW w:w="108" w:type="dxa"/>
          </w:tcPr>
          <w:p w:rsidR="00A83F7B" w:rsidRPr="00C80EB2" w:rsidRDefault="00A83F7B" w:rsidP="00E5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6224" w:type="dxa"/>
          </w:tcPr>
          <w:p w:rsidR="00A83F7B" w:rsidRPr="00C80EB2" w:rsidRDefault="00A83F7B" w:rsidP="00E54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</w:tr>
      <w:tr w:rsidR="00A83F7B" w:rsidRPr="00122C79" w:rsidTr="00E5470F">
        <w:trPr>
          <w:trHeight w:val="290"/>
        </w:trPr>
        <w:tc>
          <w:tcPr>
            <w:tcW w:w="3028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3F7B" w:rsidRPr="00122C79" w:rsidRDefault="00A83F7B" w:rsidP="00E5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122C79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Variables</w:t>
            </w:r>
          </w:p>
        </w:tc>
        <w:tc>
          <w:tcPr>
            <w:tcW w:w="108" w:type="dxa"/>
            <w:vAlign w:val="bottom"/>
            <w:hideMark/>
          </w:tcPr>
          <w:p w:rsidR="00A83F7B" w:rsidRPr="00122C79" w:rsidRDefault="00A83F7B" w:rsidP="00E5470F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6224" w:type="dxa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83F7B" w:rsidRPr="00122C79" w:rsidRDefault="00A83F7B" w:rsidP="00E54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 w:rsidRPr="00122C79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Description</w:t>
            </w:r>
          </w:p>
        </w:tc>
      </w:tr>
      <w:tr w:rsidR="00A83F7B" w:rsidRPr="00C80EB2" w:rsidTr="00E5470F">
        <w:trPr>
          <w:trHeight w:val="576"/>
        </w:trPr>
        <w:tc>
          <w:tcPr>
            <w:tcW w:w="3028" w:type="dxa"/>
          </w:tcPr>
          <w:p w:rsidR="00A83F7B" w:rsidRPr="00C80EB2" w:rsidRDefault="00A83F7B" w:rsidP="00E547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 xml:space="preserve">   CEO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Duality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</w:tcPr>
          <w:p w:rsidR="00A83F7B" w:rsidRPr="00C80EB2" w:rsidRDefault="00A83F7B" w:rsidP="00E5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6224" w:type="dxa"/>
          </w:tcPr>
          <w:p w:rsidR="00A83F7B" w:rsidRPr="00C80EB2" w:rsidRDefault="00A83F7B" w:rsidP="00E54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bookmarkStart w:id="1" w:name="_Hlk79393997"/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An indicator variable which equal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s 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1 if the same person serve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s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as both CEO and board chair of firm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in year 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bookmarkEnd w:id="1"/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and 0 otherwise.</w:t>
            </w:r>
          </w:p>
        </w:tc>
      </w:tr>
      <w:tr w:rsidR="00A83F7B" w:rsidRPr="00C80EB2" w:rsidTr="00E5470F">
        <w:trPr>
          <w:trHeight w:val="340"/>
        </w:trPr>
        <w:tc>
          <w:tcPr>
            <w:tcW w:w="3028" w:type="dxa"/>
            <w:hideMark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lastRenderedPageBreak/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B/M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Ratio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  <w:hideMark/>
          </w:tcPr>
          <w:p w:rsidR="00A83F7B" w:rsidRPr="00C80EB2" w:rsidRDefault="00A83F7B" w:rsidP="00E5470F">
            <w:pPr>
              <w:spacing w:line="25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</w:p>
        </w:tc>
        <w:tc>
          <w:tcPr>
            <w:tcW w:w="6224" w:type="dxa"/>
            <w:hideMark/>
          </w:tcPr>
          <w:p w:rsidR="00A83F7B" w:rsidRPr="00C80EB2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The ratio of the book value of equity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to the 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market value of equity of firm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 xml:space="preserve"> 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at the end of year 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</w:tc>
      </w:tr>
      <w:tr w:rsidR="00A83F7B" w:rsidRPr="00C80EB2" w:rsidTr="00E5470F">
        <w:trPr>
          <w:trHeight w:val="340"/>
        </w:trPr>
        <w:tc>
          <w:tcPr>
            <w:tcW w:w="3028" w:type="dxa"/>
            <w:hideMark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 xml:space="preserve">   R&amp;D to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Sales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6224" w:type="dxa"/>
            <w:hideMark/>
          </w:tcPr>
          <w:p w:rsidR="00A83F7B" w:rsidRPr="00C80EB2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R&amp;D expenses of firm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in year 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scaled by sales.</w:t>
            </w:r>
          </w:p>
        </w:tc>
      </w:tr>
      <w:tr w:rsidR="00A83F7B" w:rsidRPr="00C80EB2" w:rsidTr="00E5470F">
        <w:trPr>
          <w:trHeight w:val="580"/>
        </w:trPr>
        <w:tc>
          <w:tcPr>
            <w:tcW w:w="3028" w:type="dxa"/>
            <w:hideMark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 xml:space="preserve">  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Loss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  <w:hideMark/>
          </w:tcPr>
          <w:p w:rsidR="00A83F7B" w:rsidRPr="00C80EB2" w:rsidRDefault="00A83F7B" w:rsidP="00E5470F">
            <w:pPr>
              <w:spacing w:line="25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</w:p>
        </w:tc>
        <w:tc>
          <w:tcPr>
            <w:tcW w:w="6224" w:type="dxa"/>
            <w:hideMark/>
          </w:tcPr>
          <w:p w:rsidR="00A83F7B" w:rsidRPr="00C80EB2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An indicator variable which equal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s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1 if income before extraordinary items of firm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i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s negative in year </w:t>
            </w:r>
            <w:proofErr w:type="gram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</w:t>
            </w:r>
            <w:proofErr w:type="gramEnd"/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and 0 otherwise.</w:t>
            </w:r>
          </w:p>
        </w:tc>
      </w:tr>
      <w:tr w:rsidR="00A83F7B" w:rsidRPr="00C80EB2" w:rsidTr="00E5470F">
        <w:trPr>
          <w:trHeight w:val="340"/>
        </w:trPr>
        <w:tc>
          <w:tcPr>
            <w:tcW w:w="3028" w:type="dxa"/>
            <w:hideMark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 xml:space="preserve">  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Size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  <w:hideMark/>
          </w:tcPr>
          <w:p w:rsidR="00A83F7B" w:rsidRPr="00C80EB2" w:rsidRDefault="00A83F7B" w:rsidP="00E5470F">
            <w:pPr>
              <w:spacing w:line="25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</w:p>
        </w:tc>
        <w:tc>
          <w:tcPr>
            <w:tcW w:w="6224" w:type="dxa"/>
            <w:hideMark/>
          </w:tcPr>
          <w:p w:rsidR="00A83F7B" w:rsidRPr="00C80EB2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Natural log of the market value of equity of firm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at the end of year 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</w:tc>
      </w:tr>
      <w:tr w:rsidR="00A83F7B" w:rsidRPr="00C80EB2" w:rsidTr="00E5470F">
        <w:trPr>
          <w:trHeight w:val="340"/>
        </w:trPr>
        <w:tc>
          <w:tcPr>
            <w:tcW w:w="3028" w:type="dxa"/>
            <w:hideMark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 xml:space="preserve">  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Leverage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  <w:hideMark/>
          </w:tcPr>
          <w:p w:rsidR="00A83F7B" w:rsidRPr="00C80EB2" w:rsidRDefault="00A83F7B" w:rsidP="00E5470F">
            <w:pPr>
              <w:spacing w:line="25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</w:p>
        </w:tc>
        <w:tc>
          <w:tcPr>
            <w:tcW w:w="6224" w:type="dxa"/>
            <w:hideMark/>
          </w:tcPr>
          <w:p w:rsidR="00A83F7B" w:rsidRPr="00C80EB2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The ratio of long-term debts to total assets of firm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at the end of year 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</w:tc>
      </w:tr>
      <w:tr w:rsidR="00A83F7B" w:rsidRPr="00C80EB2" w:rsidTr="00E5470F">
        <w:trPr>
          <w:trHeight w:val="340"/>
        </w:trPr>
        <w:tc>
          <w:tcPr>
            <w:tcW w:w="3028" w:type="dxa"/>
            <w:hideMark/>
          </w:tcPr>
          <w:p w:rsidR="00A83F7B" w:rsidRPr="00C80EB2" w:rsidRDefault="00A83F7B" w:rsidP="00E5470F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 xml:space="preserve">   Annual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Return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  <w:hideMark/>
          </w:tcPr>
          <w:p w:rsidR="00A83F7B" w:rsidRPr="00C80EB2" w:rsidRDefault="00A83F7B" w:rsidP="00E5470F">
            <w:pPr>
              <w:spacing w:line="25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</w:p>
        </w:tc>
        <w:tc>
          <w:tcPr>
            <w:tcW w:w="6224" w:type="dxa"/>
            <w:hideMark/>
          </w:tcPr>
          <w:p w:rsidR="00A83F7B" w:rsidRPr="00C80EB2" w:rsidRDefault="00A83F7B" w:rsidP="00E5470F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Buy and hold stock return of firm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in year 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</w:t>
            </w:r>
          </w:p>
        </w:tc>
      </w:tr>
      <w:tr w:rsidR="00A83F7B" w:rsidRPr="00C80EB2" w:rsidTr="00E5470F">
        <w:trPr>
          <w:trHeight w:val="340"/>
        </w:trPr>
        <w:tc>
          <w:tcPr>
            <w:tcW w:w="3028" w:type="dxa"/>
            <w:tcBorders>
              <w:bottom w:val="single" w:sz="8" w:space="0" w:color="auto"/>
            </w:tcBorders>
            <w:hideMark/>
          </w:tcPr>
          <w:p w:rsidR="00A83F7B" w:rsidRPr="00C80EB2" w:rsidRDefault="00A83F7B" w:rsidP="00E547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 xml:space="preserve">  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ROA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bscript"/>
                <w:lang w:eastAsia="en-US"/>
              </w:rPr>
              <w:t>it</w:t>
            </w:r>
            <w:proofErr w:type="spellEnd"/>
          </w:p>
        </w:tc>
        <w:tc>
          <w:tcPr>
            <w:tcW w:w="108" w:type="dxa"/>
            <w:tcBorders>
              <w:bottom w:val="single" w:sz="8" w:space="0" w:color="auto"/>
            </w:tcBorders>
          </w:tcPr>
          <w:p w:rsidR="00A83F7B" w:rsidRPr="00C80EB2" w:rsidRDefault="00A83F7B" w:rsidP="00E54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6224" w:type="dxa"/>
            <w:tcBorders>
              <w:bottom w:val="single" w:sz="8" w:space="0" w:color="auto"/>
            </w:tcBorders>
            <w:hideMark/>
          </w:tcPr>
          <w:p w:rsidR="00A83F7B" w:rsidRPr="00C80EB2" w:rsidRDefault="00A83F7B" w:rsidP="00E547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Return on assets of firm </w:t>
            </w:r>
            <w:proofErr w:type="spellStart"/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i</w:t>
            </w:r>
            <w:proofErr w:type="spellEnd"/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in year </w:t>
            </w:r>
            <w:r w:rsidRPr="00C80EB2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US"/>
              </w:rPr>
              <w:t>t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Return on assets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i</w:t>
            </w:r>
            <w:r w:rsidRPr="00C80EB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s the income before extraordinary items scaled by average total assets. </w:t>
            </w:r>
          </w:p>
        </w:tc>
      </w:tr>
    </w:tbl>
    <w:p w:rsidR="005B5E88" w:rsidRDefault="00A83F7B">
      <w:bookmarkStart w:id="2" w:name="_GoBack"/>
      <w:bookmarkEnd w:id="2"/>
    </w:p>
    <w:sectPr w:rsidR="005B5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F7B"/>
    <w:rsid w:val="002E0ABC"/>
    <w:rsid w:val="00A83F7B"/>
    <w:rsid w:val="00D8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7B"/>
    <w:pPr>
      <w:spacing w:after="160" w:line="259" w:lineRule="auto"/>
    </w:pPr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F7B"/>
    <w:pPr>
      <w:spacing w:after="160" w:line="259" w:lineRule="auto"/>
    </w:pPr>
    <w:rPr>
      <w:rFonts w:eastAsiaTheme="minorEastAsia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 K M.</dc:creator>
  <cp:lastModifiedBy>Subha K M.</cp:lastModifiedBy>
  <cp:revision>1</cp:revision>
  <dcterms:created xsi:type="dcterms:W3CDTF">2026-01-19T07:28:00Z</dcterms:created>
  <dcterms:modified xsi:type="dcterms:W3CDTF">2026-01-19T07:28:00Z</dcterms:modified>
</cp:coreProperties>
</file>