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jc w:val="center"/>
        <w:tblLayout w:type="fixed"/>
        <w:tblLook w:val="04A0" w:firstRow="1" w:lastRow="0" w:firstColumn="1" w:lastColumn="0" w:noHBand="0" w:noVBand="1"/>
      </w:tblPr>
      <w:tblGrid>
        <w:gridCol w:w="2127"/>
        <w:gridCol w:w="7796"/>
      </w:tblGrid>
      <w:tr w:rsidR="00CA4FFD" w:rsidRPr="00E521F6" w:rsidTr="00F9168A">
        <w:trPr>
          <w:trHeight w:val="270"/>
          <w:jc w:val="center"/>
        </w:trPr>
        <w:tc>
          <w:tcPr>
            <w:tcW w:w="9923" w:type="dxa"/>
            <w:gridSpan w:val="2"/>
            <w:tcBorders>
              <w:top w:val="nil"/>
              <w:left w:val="nil"/>
              <w:bottom w:val="single" w:sz="6" w:space="0" w:color="000000"/>
              <w:right w:val="nil"/>
              <w:tl2br w:val="nil"/>
              <w:tr2bl w:val="nil"/>
            </w:tcBorders>
          </w:tcPr>
          <w:p w:rsidR="00CA4FFD" w:rsidRPr="00E521F6" w:rsidRDefault="00CA4FFD" w:rsidP="00F9168A">
            <w:pPr>
              <w:widowControl/>
              <w:jc w:val="center"/>
              <w:rPr>
                <w:rFonts w:ascii="Times New Roman" w:hAnsi="Times New Roman" w:cs="Times New Roman"/>
                <w:b/>
                <w:i/>
                <w:iCs/>
                <w:color w:val="000000"/>
                <w:sz w:val="24"/>
                <w:szCs w:val="24"/>
              </w:rPr>
            </w:pPr>
            <w:r>
              <w:rPr>
                <w:rFonts w:ascii="Times New Roman" w:hAnsi="Times New Roman" w:cs="Times New Roman"/>
                <w:b/>
                <w:iCs/>
                <w:color w:val="000000"/>
                <w:sz w:val="24"/>
                <w:szCs w:val="24"/>
              </w:rPr>
              <w:t xml:space="preserve">Appendix </w:t>
            </w:r>
            <w:r w:rsidRPr="00E521F6">
              <w:rPr>
                <w:rFonts w:ascii="Times New Roman" w:hAnsi="Times New Roman" w:cs="Times New Roman"/>
                <w:b/>
                <w:iCs/>
                <w:color w:val="000000"/>
                <w:sz w:val="24"/>
                <w:szCs w:val="24"/>
              </w:rPr>
              <w:t>Table A1 Variable Definition</w:t>
            </w:r>
          </w:p>
        </w:tc>
      </w:tr>
      <w:tr w:rsidR="00CA4FFD" w:rsidRPr="00E521F6" w:rsidTr="00F9168A">
        <w:trPr>
          <w:trHeight w:val="270"/>
          <w:jc w:val="center"/>
        </w:trPr>
        <w:tc>
          <w:tcPr>
            <w:tcW w:w="2127" w:type="dxa"/>
            <w:tcBorders>
              <w:top w:val="single" w:sz="12" w:space="0" w:color="auto"/>
              <w:left w:val="nil"/>
              <w:bottom w:val="single" w:sz="6" w:space="0" w:color="auto"/>
              <w:right w:val="single" w:sz="6" w:space="0" w:color="000000"/>
              <w:tl2br w:val="nil"/>
              <w:tr2bl w:val="nil"/>
            </w:tcBorders>
          </w:tcPr>
          <w:p w:rsidR="00CA4FFD" w:rsidRPr="00E521F6" w:rsidRDefault="00CA4FFD" w:rsidP="00F9168A">
            <w:pPr>
              <w:widowControl/>
              <w:jc w:val="left"/>
              <w:rPr>
                <w:rFonts w:ascii="Times New Roman" w:hAnsi="Times New Roman" w:cs="Times New Roman"/>
                <w:i/>
                <w:color w:val="000000"/>
                <w:szCs w:val="21"/>
              </w:rPr>
            </w:pPr>
            <w:r w:rsidRPr="00E521F6">
              <w:rPr>
                <w:rFonts w:ascii="Times New Roman" w:hAnsi="Times New Roman" w:cs="Times New Roman"/>
                <w:color w:val="000000"/>
                <w:szCs w:val="21"/>
              </w:rPr>
              <w:t>Variables</w:t>
            </w:r>
          </w:p>
        </w:tc>
        <w:tc>
          <w:tcPr>
            <w:tcW w:w="7796" w:type="dxa"/>
            <w:tcBorders>
              <w:top w:val="single" w:sz="12" w:space="0" w:color="auto"/>
              <w:bottom w:val="single" w:sz="6" w:space="0" w:color="auto"/>
            </w:tcBorders>
          </w:tcPr>
          <w:p w:rsidR="00CA4FFD" w:rsidRPr="00E521F6" w:rsidRDefault="00CA4FFD" w:rsidP="00F9168A">
            <w:pPr>
              <w:widowControl/>
              <w:jc w:val="left"/>
              <w:rPr>
                <w:rFonts w:ascii="Times New Roman" w:hAnsi="Times New Roman" w:cs="Times New Roman"/>
                <w:i/>
                <w:color w:val="000000"/>
                <w:szCs w:val="21"/>
              </w:rPr>
            </w:pPr>
            <w:r w:rsidRPr="00E521F6">
              <w:rPr>
                <w:rFonts w:ascii="Times New Roman" w:hAnsi="Times New Roman" w:cs="Times New Roman"/>
                <w:color w:val="000000"/>
                <w:szCs w:val="21"/>
              </w:rPr>
              <w:t>Definition</w:t>
            </w:r>
          </w:p>
        </w:tc>
      </w:tr>
      <w:tr w:rsidR="00CA4FFD" w:rsidRPr="00E521F6" w:rsidTr="00F9168A">
        <w:trPr>
          <w:trHeight w:val="270"/>
          <w:jc w:val="center"/>
        </w:trPr>
        <w:tc>
          <w:tcPr>
            <w:tcW w:w="2127" w:type="dxa"/>
            <w:tcBorders>
              <w:left w:val="nil"/>
              <w:bottom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000000"/>
                <w:szCs w:val="21"/>
                <w:vertAlign w:val="subscript"/>
              </w:rPr>
            </w:pPr>
            <w:r w:rsidRPr="00E521F6">
              <w:rPr>
                <w:rFonts w:ascii="Times New Roman" w:hAnsi="Times New Roman" w:cs="Times New Roman"/>
                <w:b/>
                <w:i/>
                <w:color w:val="000000"/>
                <w:szCs w:val="21"/>
              </w:rPr>
              <w:t>NCSKEW</w:t>
            </w:r>
          </w:p>
        </w:tc>
        <w:tc>
          <w:tcPr>
            <w:tcW w:w="7796" w:type="dxa"/>
          </w:tcPr>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color w:val="000000"/>
                <w:szCs w:val="21"/>
              </w:rPr>
              <w:t xml:space="preserve">The negative coefficient of </w:t>
            </w:r>
            <w:proofErr w:type="spellStart"/>
            <w:r w:rsidRPr="00E521F6">
              <w:rPr>
                <w:rFonts w:ascii="Times New Roman" w:hAnsi="Times New Roman" w:cs="Times New Roman"/>
                <w:color w:val="000000"/>
                <w:szCs w:val="21"/>
              </w:rPr>
              <w:t>skewness</w:t>
            </w:r>
            <w:proofErr w:type="spellEnd"/>
            <w:r w:rsidRPr="00E521F6">
              <w:rPr>
                <w:rFonts w:ascii="Times New Roman" w:hAnsi="Times New Roman" w:cs="Times New Roman"/>
                <w:color w:val="000000"/>
                <w:szCs w:val="21"/>
              </w:rPr>
              <w:t xml:space="preserve"> of weekly excess return, measured as the negative of third moments of weekly excess return scaled by cubed standard deviation of daily excess return in a fiscal year. </w:t>
            </w:r>
          </w:p>
        </w:tc>
      </w:tr>
      <w:tr w:rsidR="00CA4FFD" w:rsidRPr="00E521F6" w:rsidTr="00F9168A">
        <w:trPr>
          <w:trHeight w:val="270"/>
          <w:jc w:val="center"/>
        </w:trPr>
        <w:tc>
          <w:tcPr>
            <w:tcW w:w="2127" w:type="dxa"/>
            <w:tcBorders>
              <w:left w:val="nil"/>
              <w:bottom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000000"/>
                <w:szCs w:val="21"/>
                <w:vertAlign w:val="subscript"/>
              </w:rPr>
            </w:pPr>
            <w:r w:rsidRPr="00E521F6">
              <w:rPr>
                <w:rFonts w:ascii="Times New Roman" w:hAnsi="Times New Roman" w:cs="Times New Roman"/>
                <w:b/>
                <w:i/>
                <w:color w:val="000000"/>
                <w:szCs w:val="21"/>
              </w:rPr>
              <w:t>DUVOL</w:t>
            </w:r>
          </w:p>
        </w:tc>
        <w:tc>
          <w:tcPr>
            <w:tcW w:w="7796" w:type="dxa"/>
          </w:tcPr>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color w:val="000000"/>
                <w:szCs w:val="21"/>
              </w:rPr>
              <w:t>The down-to-up volatility, measured as the log of the ratio of the standard deviation of weekly excess returns for the “down-week” sample to standard deviation of weekly excess returns for the “up-week” sample over the fiscal year.</w:t>
            </w:r>
          </w:p>
        </w:tc>
      </w:tr>
      <w:tr w:rsidR="00CA4FFD" w:rsidRPr="00E521F6" w:rsidTr="00F9168A">
        <w:trPr>
          <w:trHeight w:val="270"/>
          <w:jc w:val="center"/>
        </w:trPr>
        <w:tc>
          <w:tcPr>
            <w:tcW w:w="2127" w:type="dxa"/>
            <w:tcBorders>
              <w:left w:val="nil"/>
              <w:bottom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000000"/>
                <w:szCs w:val="21"/>
              </w:rPr>
            </w:pPr>
            <w:r w:rsidRPr="00E521F6">
              <w:rPr>
                <w:rFonts w:ascii="Times New Roman" w:hAnsi="Times New Roman" w:cs="Times New Roman"/>
                <w:b/>
                <w:i/>
                <w:color w:val="000000"/>
                <w:szCs w:val="21"/>
              </w:rPr>
              <w:t>ESIGMA</w:t>
            </w:r>
          </w:p>
        </w:tc>
        <w:tc>
          <w:tcPr>
            <w:tcW w:w="7796" w:type="dxa"/>
          </w:tcPr>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color w:val="000000"/>
                <w:szCs w:val="21"/>
              </w:rPr>
              <w:t>The extreme sigma, measured as the negative of the worst deviation of firm-specific weekly returns from the average firm-specific weekly return divided by the standard deviation of firm-specific weekly returns in a fiscal year.</w:t>
            </w:r>
          </w:p>
        </w:tc>
      </w:tr>
      <w:tr w:rsidR="00CA4FFD" w:rsidRPr="00E521F6" w:rsidTr="00F9168A">
        <w:trPr>
          <w:trHeight w:val="270"/>
          <w:jc w:val="center"/>
        </w:trPr>
        <w:tc>
          <w:tcPr>
            <w:tcW w:w="2127" w:type="dxa"/>
            <w:tcBorders>
              <w:left w:val="nil"/>
              <w:bottom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000000"/>
                <w:szCs w:val="21"/>
              </w:rPr>
            </w:pPr>
            <w:r w:rsidRPr="00E521F6">
              <w:rPr>
                <w:rFonts w:ascii="Times New Roman" w:hAnsi="Times New Roman" w:cs="Times New Roman"/>
                <w:b/>
                <w:i/>
                <w:color w:val="000000"/>
                <w:szCs w:val="21"/>
              </w:rPr>
              <w:t>CRASHDUM</w:t>
            </w:r>
          </w:p>
        </w:tc>
        <w:tc>
          <w:tcPr>
            <w:tcW w:w="7796" w:type="dxa"/>
          </w:tcPr>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color w:val="000000"/>
                <w:szCs w:val="21"/>
              </w:rPr>
              <w:t>Crash risk dummy, measured as an indicator variable equal one if within its fiscal year a firm experiences one or more weekly excess returns falling 3.09 or more standard deviations below the mean weekly excess returns for its fiscal year and equal zero otherwise.</w:t>
            </w:r>
          </w:p>
        </w:tc>
      </w:tr>
      <w:tr w:rsidR="00CA4FFD" w:rsidRPr="00E521F6" w:rsidTr="00F9168A">
        <w:trPr>
          <w:trHeight w:val="270"/>
          <w:jc w:val="center"/>
        </w:trPr>
        <w:tc>
          <w:tcPr>
            <w:tcW w:w="2127" w:type="dxa"/>
            <w:tcBorders>
              <w:left w:val="nil"/>
              <w:bottom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000000"/>
                <w:szCs w:val="21"/>
                <w:vertAlign w:val="subscript"/>
              </w:rPr>
            </w:pPr>
            <w:r w:rsidRPr="00E521F6">
              <w:rPr>
                <w:rFonts w:ascii="Times New Roman" w:hAnsi="Times New Roman" w:cs="Times New Roman"/>
                <w:b/>
                <w:i/>
                <w:color w:val="000000"/>
                <w:szCs w:val="21"/>
              </w:rPr>
              <w:t>IDDR</w:t>
            </w:r>
          </w:p>
        </w:tc>
        <w:tc>
          <w:tcPr>
            <w:tcW w:w="7796" w:type="dxa"/>
          </w:tcPr>
          <w:p w:rsidR="00CA4FFD" w:rsidRPr="00E521F6" w:rsidRDefault="00CA4FFD" w:rsidP="00F9168A">
            <w:pPr>
              <w:widowControl/>
              <w:rPr>
                <w:rFonts w:ascii="Times New Roman" w:hAnsi="Times New Roman" w:cs="Times New Roman"/>
                <w:color w:val="000000"/>
                <w:szCs w:val="21"/>
              </w:rPr>
            </w:pPr>
            <w:r>
              <w:rPr>
                <w:rFonts w:ascii="Times New Roman" w:hAnsi="Times New Roman" w:cs="Times New Roman"/>
                <w:color w:val="000000"/>
                <w:szCs w:val="21"/>
              </w:rPr>
              <w:t>R</w:t>
            </w:r>
            <w:r w:rsidRPr="00E521F6">
              <w:rPr>
                <w:rFonts w:ascii="Times New Roman" w:hAnsi="Times New Roman" w:cs="Times New Roman"/>
                <w:color w:val="000000"/>
                <w:szCs w:val="21"/>
              </w:rPr>
              <w:t>ejection of the Inevitable Disclosure Doctrine (IDD), an indicator variable equals one if a firm’s headquarter state has rejected the IDD, and zero otherwise.</w:t>
            </w:r>
          </w:p>
        </w:tc>
      </w:tr>
      <w:tr w:rsidR="00CA4FFD" w:rsidRPr="00E521F6" w:rsidTr="00F9168A">
        <w:trPr>
          <w:trHeight w:val="270"/>
          <w:jc w:val="center"/>
        </w:trPr>
        <w:tc>
          <w:tcPr>
            <w:tcW w:w="2127" w:type="dxa"/>
            <w:tcBorders>
              <w:left w:val="nil"/>
              <w:bottom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000000"/>
                <w:szCs w:val="21"/>
                <w:vertAlign w:val="subscript"/>
              </w:rPr>
            </w:pPr>
            <w:r w:rsidRPr="00E521F6">
              <w:rPr>
                <w:rFonts w:ascii="Times New Roman" w:hAnsi="Times New Roman" w:cs="Times New Roman"/>
                <w:b/>
                <w:i/>
                <w:color w:val="000000"/>
                <w:szCs w:val="21"/>
              </w:rPr>
              <w:t>IDD</w:t>
            </w:r>
          </w:p>
        </w:tc>
        <w:tc>
          <w:tcPr>
            <w:tcW w:w="7796" w:type="dxa"/>
          </w:tcPr>
          <w:p w:rsidR="00CA4FFD" w:rsidRPr="00E521F6" w:rsidRDefault="00CA4FFD" w:rsidP="00F9168A">
            <w:pPr>
              <w:widowControl/>
              <w:rPr>
                <w:rFonts w:ascii="Times New Roman" w:hAnsi="Times New Roman" w:cs="Times New Roman"/>
                <w:color w:val="000000"/>
                <w:szCs w:val="21"/>
              </w:rPr>
            </w:pPr>
            <w:r>
              <w:rPr>
                <w:rFonts w:ascii="Times New Roman" w:hAnsi="Times New Roman" w:cs="Times New Roman"/>
                <w:color w:val="000000"/>
                <w:szCs w:val="21"/>
              </w:rPr>
              <w:t>A</w:t>
            </w:r>
            <w:r w:rsidRPr="00E521F6">
              <w:rPr>
                <w:rFonts w:ascii="Times New Roman" w:hAnsi="Times New Roman" w:cs="Times New Roman"/>
                <w:color w:val="000000"/>
                <w:szCs w:val="21"/>
              </w:rPr>
              <w:t>doption of the Inevitable Disclosure Doctrine (IDD), an indicator variable equals one if a firm’s headquarter state has adopted the IDD, and zero otherwise.</w:t>
            </w:r>
          </w:p>
        </w:tc>
      </w:tr>
      <w:tr w:rsidR="00CA4FFD" w:rsidRPr="00E521F6" w:rsidTr="00F9168A">
        <w:trPr>
          <w:trHeight w:val="270"/>
          <w:jc w:val="center"/>
        </w:trPr>
        <w:tc>
          <w:tcPr>
            <w:tcW w:w="2127" w:type="dxa"/>
            <w:tcBorders>
              <w:left w:val="nil"/>
              <w:bottom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000000"/>
                <w:szCs w:val="21"/>
                <w:vertAlign w:val="subscript"/>
              </w:rPr>
            </w:pPr>
            <w:r w:rsidRPr="00E521F6">
              <w:rPr>
                <w:rFonts w:ascii="Times New Roman" w:hAnsi="Times New Roman" w:cs="Times New Roman"/>
                <w:b/>
                <w:i/>
                <w:color w:val="000000"/>
                <w:szCs w:val="21"/>
              </w:rPr>
              <w:t>DTURN</w:t>
            </w:r>
          </w:p>
        </w:tc>
        <w:tc>
          <w:tcPr>
            <w:tcW w:w="7796" w:type="dxa"/>
          </w:tcPr>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color w:val="000000"/>
                <w:szCs w:val="21"/>
              </w:rPr>
              <w:t>The de-trended stock turnover, measured as the average monthly share turnover over the current fiscal year period minus the average monthly share turnover over the previous fiscal year period, where monthly share turnover is calculated as the monthly trading volume divided by the total number of shares outstanding during the month.</w:t>
            </w:r>
          </w:p>
        </w:tc>
      </w:tr>
      <w:tr w:rsidR="00CA4FFD" w:rsidRPr="00E521F6" w:rsidTr="00F9168A">
        <w:trPr>
          <w:trHeight w:val="270"/>
          <w:jc w:val="center"/>
        </w:trPr>
        <w:tc>
          <w:tcPr>
            <w:tcW w:w="2127" w:type="dxa"/>
            <w:tcBorders>
              <w:left w:val="nil"/>
              <w:bottom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000000"/>
                <w:szCs w:val="21"/>
                <w:vertAlign w:val="subscript"/>
              </w:rPr>
            </w:pPr>
            <w:r w:rsidRPr="00E521F6">
              <w:rPr>
                <w:rFonts w:ascii="Times New Roman" w:hAnsi="Times New Roman" w:cs="Times New Roman"/>
                <w:b/>
                <w:i/>
                <w:color w:val="000000"/>
                <w:szCs w:val="21"/>
              </w:rPr>
              <w:t>SIGMA</w:t>
            </w:r>
          </w:p>
        </w:tc>
        <w:tc>
          <w:tcPr>
            <w:tcW w:w="7796" w:type="dxa"/>
          </w:tcPr>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color w:val="000000"/>
                <w:szCs w:val="21"/>
              </w:rPr>
              <w:t xml:space="preserve">Firm-specific stock return volatility, measured as the standard deviation of firm-specific weekly returns over the fiscal year period. </w:t>
            </w:r>
          </w:p>
        </w:tc>
      </w:tr>
      <w:tr w:rsidR="00CA4FFD" w:rsidRPr="00E521F6" w:rsidTr="00F9168A">
        <w:trPr>
          <w:trHeight w:val="270"/>
          <w:jc w:val="center"/>
        </w:trPr>
        <w:tc>
          <w:tcPr>
            <w:tcW w:w="2127" w:type="dxa"/>
            <w:tcBorders>
              <w:left w:val="nil"/>
              <w:bottom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000000"/>
                <w:szCs w:val="21"/>
                <w:vertAlign w:val="subscript"/>
              </w:rPr>
            </w:pPr>
            <w:r w:rsidRPr="00E521F6">
              <w:rPr>
                <w:rFonts w:ascii="Times New Roman" w:hAnsi="Times New Roman" w:cs="Times New Roman"/>
                <w:b/>
                <w:i/>
                <w:color w:val="000000"/>
                <w:szCs w:val="21"/>
              </w:rPr>
              <w:t>RET</w:t>
            </w:r>
          </w:p>
        </w:tc>
        <w:tc>
          <w:tcPr>
            <w:tcW w:w="7796" w:type="dxa"/>
          </w:tcPr>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color w:val="000000"/>
                <w:szCs w:val="21"/>
              </w:rPr>
              <w:t>Firm-specific stock return, the average of firm-specific weekly returns over the fiscal year period.</w:t>
            </w:r>
          </w:p>
        </w:tc>
      </w:tr>
      <w:tr w:rsidR="00CA4FFD" w:rsidRPr="00E521F6" w:rsidTr="00F9168A">
        <w:trPr>
          <w:trHeight w:val="270"/>
          <w:jc w:val="center"/>
        </w:trPr>
        <w:tc>
          <w:tcPr>
            <w:tcW w:w="2127" w:type="dxa"/>
            <w:tcBorders>
              <w:left w:val="nil"/>
              <w:bottom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000000"/>
                <w:szCs w:val="21"/>
              </w:rPr>
            </w:pPr>
            <w:r w:rsidRPr="00E521F6">
              <w:rPr>
                <w:rFonts w:ascii="Times New Roman" w:hAnsi="Times New Roman" w:cs="Times New Roman"/>
                <w:b/>
                <w:i/>
                <w:color w:val="000000"/>
                <w:szCs w:val="21"/>
              </w:rPr>
              <w:t>SIZE</w:t>
            </w:r>
          </w:p>
        </w:tc>
        <w:tc>
          <w:tcPr>
            <w:tcW w:w="7796" w:type="dxa"/>
          </w:tcPr>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color w:val="000000"/>
                <w:szCs w:val="21"/>
              </w:rPr>
              <w:t xml:space="preserve">Firm size, the natural log of total assets (AT). </w:t>
            </w:r>
          </w:p>
        </w:tc>
      </w:tr>
      <w:tr w:rsidR="00CA4FFD" w:rsidRPr="00E521F6" w:rsidTr="00F9168A">
        <w:trPr>
          <w:trHeight w:val="270"/>
          <w:jc w:val="center"/>
        </w:trPr>
        <w:tc>
          <w:tcPr>
            <w:tcW w:w="2127" w:type="dxa"/>
            <w:tcBorders>
              <w:left w:val="nil"/>
              <w:bottom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000000"/>
                <w:szCs w:val="21"/>
              </w:rPr>
            </w:pPr>
            <w:r w:rsidRPr="00E521F6">
              <w:rPr>
                <w:rFonts w:ascii="Times New Roman" w:hAnsi="Times New Roman" w:cs="Times New Roman"/>
                <w:b/>
                <w:i/>
                <w:color w:val="000000"/>
                <w:szCs w:val="21"/>
              </w:rPr>
              <w:t>MB</w:t>
            </w:r>
          </w:p>
        </w:tc>
        <w:tc>
          <w:tcPr>
            <w:tcW w:w="7796" w:type="dxa"/>
          </w:tcPr>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color w:val="000000"/>
                <w:szCs w:val="21"/>
              </w:rPr>
              <w:t>Market-to-book ratio, the ratio of the market value of equity (PRCC_F×CSHO) to the book value of equity (CEQ).</w:t>
            </w:r>
          </w:p>
        </w:tc>
      </w:tr>
      <w:tr w:rsidR="00CA4FFD" w:rsidRPr="00E521F6" w:rsidTr="00F9168A">
        <w:trPr>
          <w:trHeight w:val="270"/>
          <w:jc w:val="center"/>
        </w:trPr>
        <w:tc>
          <w:tcPr>
            <w:tcW w:w="2127" w:type="dxa"/>
            <w:tcBorders>
              <w:left w:val="nil"/>
              <w:bottom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000000"/>
                <w:szCs w:val="21"/>
              </w:rPr>
            </w:pPr>
            <w:r w:rsidRPr="00E521F6">
              <w:rPr>
                <w:rFonts w:ascii="Times New Roman" w:hAnsi="Times New Roman" w:cs="Times New Roman"/>
                <w:b/>
                <w:i/>
                <w:color w:val="000000"/>
                <w:szCs w:val="21"/>
              </w:rPr>
              <w:t>LEV</w:t>
            </w:r>
          </w:p>
        </w:tc>
        <w:tc>
          <w:tcPr>
            <w:tcW w:w="7796" w:type="dxa"/>
          </w:tcPr>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color w:val="000000"/>
                <w:szCs w:val="21"/>
              </w:rPr>
              <w:t>Long-term leverage, the ratio of long-term debt (DLTT) to total assets (AT).</w:t>
            </w:r>
          </w:p>
        </w:tc>
      </w:tr>
      <w:tr w:rsidR="00CA4FFD" w:rsidRPr="00E521F6" w:rsidTr="00F9168A">
        <w:trPr>
          <w:trHeight w:val="270"/>
          <w:jc w:val="center"/>
        </w:trPr>
        <w:tc>
          <w:tcPr>
            <w:tcW w:w="2127" w:type="dxa"/>
            <w:tcBorders>
              <w:left w:val="nil"/>
              <w:bottom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000000"/>
                <w:szCs w:val="21"/>
              </w:rPr>
            </w:pPr>
            <w:r w:rsidRPr="00E521F6">
              <w:rPr>
                <w:rFonts w:ascii="Times New Roman" w:hAnsi="Times New Roman" w:cs="Times New Roman"/>
                <w:b/>
                <w:i/>
                <w:color w:val="000000"/>
                <w:szCs w:val="21"/>
              </w:rPr>
              <w:t>ROA</w:t>
            </w:r>
          </w:p>
        </w:tc>
        <w:tc>
          <w:tcPr>
            <w:tcW w:w="7796" w:type="dxa"/>
          </w:tcPr>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color w:val="000000"/>
                <w:szCs w:val="21"/>
              </w:rPr>
              <w:t>Return on assets, the ratio of net income (NI) to total assets (AT).</w:t>
            </w:r>
          </w:p>
        </w:tc>
      </w:tr>
      <w:tr w:rsidR="00CA4FFD" w:rsidRPr="00E521F6" w:rsidTr="00F9168A">
        <w:trPr>
          <w:trHeight w:val="270"/>
          <w:jc w:val="center"/>
        </w:trPr>
        <w:tc>
          <w:tcPr>
            <w:tcW w:w="2127" w:type="dxa"/>
            <w:tcBorders>
              <w:left w:val="nil"/>
              <w:bottom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FF0000"/>
                <w:szCs w:val="21"/>
              </w:rPr>
            </w:pPr>
            <w:r w:rsidRPr="007A4371">
              <w:rPr>
                <w:rFonts w:ascii="Times New Roman" w:hAnsi="Times New Roman" w:cs="Times New Roman" w:hint="eastAsia"/>
                <w:b/>
                <w:i/>
                <w:color w:val="000000"/>
                <w:szCs w:val="21"/>
              </w:rPr>
              <w:t>A</w:t>
            </w:r>
            <w:r w:rsidRPr="007A4371">
              <w:rPr>
                <w:rFonts w:ascii="Times New Roman" w:hAnsi="Times New Roman" w:cs="Times New Roman"/>
                <w:b/>
                <w:i/>
                <w:color w:val="000000"/>
                <w:szCs w:val="21"/>
              </w:rPr>
              <w:t>CCM</w:t>
            </w:r>
          </w:p>
        </w:tc>
        <w:tc>
          <w:tcPr>
            <w:tcW w:w="7796" w:type="dxa"/>
          </w:tcPr>
          <w:p w:rsidR="00CA4FFD" w:rsidRPr="00E521F6" w:rsidRDefault="00CA4FFD" w:rsidP="00F9168A">
            <w:pPr>
              <w:widowControl/>
              <w:rPr>
                <w:rFonts w:ascii="Times New Roman" w:hAnsi="Times New Roman" w:cs="Times New Roman"/>
                <w:color w:val="000000"/>
                <w:szCs w:val="21"/>
              </w:rPr>
            </w:pPr>
            <w:r w:rsidRPr="007A4371">
              <w:rPr>
                <w:rFonts w:ascii="Times New Roman" w:hAnsi="Times New Roman" w:cs="Times New Roman"/>
                <w:color w:val="000000"/>
                <w:szCs w:val="21"/>
              </w:rPr>
              <w:t>Accounting quality, the prior three years’ moving sum of the absolute value of discretionary accruals, where discretionary accruals are estimated from the modified Jones model (</w:t>
            </w:r>
            <w:proofErr w:type="spellStart"/>
            <w:r>
              <w:rPr>
                <w:rFonts w:ascii="Times New Roman" w:hAnsi="Times New Roman" w:cs="Times New Roman"/>
                <w:color w:val="000000"/>
                <w:szCs w:val="21"/>
              </w:rPr>
              <w:t>Dechow</w:t>
            </w:r>
            <w:proofErr w:type="spellEnd"/>
            <w:r w:rsidRPr="002335EC">
              <w:rPr>
                <w:rFonts w:ascii="Times New Roman" w:hAnsi="Times New Roman" w:cs="Times New Roman"/>
                <w:color w:val="000000"/>
                <w:szCs w:val="21"/>
              </w:rPr>
              <w:t xml:space="preserve">, Sloan, </w:t>
            </w:r>
            <w:r>
              <w:rPr>
                <w:rFonts w:ascii="Times New Roman" w:hAnsi="Times New Roman" w:cs="Times New Roman" w:hint="eastAsia"/>
                <w:color w:val="000000"/>
                <w:szCs w:val="21"/>
              </w:rPr>
              <w:t xml:space="preserve">and </w:t>
            </w:r>
            <w:r w:rsidRPr="002335EC">
              <w:rPr>
                <w:rFonts w:ascii="Times New Roman" w:hAnsi="Times New Roman" w:cs="Times New Roman"/>
                <w:color w:val="000000"/>
                <w:szCs w:val="21"/>
              </w:rPr>
              <w:t>Sweeney</w:t>
            </w:r>
            <w:r w:rsidRPr="007A4371">
              <w:rPr>
                <w:rFonts w:ascii="Times New Roman" w:hAnsi="Times New Roman" w:cs="Times New Roman"/>
                <w:color w:val="000000"/>
                <w:szCs w:val="21"/>
              </w:rPr>
              <w:t xml:space="preserve">, 1995).   </w:t>
            </w:r>
          </w:p>
        </w:tc>
      </w:tr>
      <w:tr w:rsidR="00CA4FFD" w:rsidRPr="00E521F6" w:rsidTr="00F9168A">
        <w:trPr>
          <w:trHeight w:val="245"/>
          <w:jc w:val="center"/>
        </w:trPr>
        <w:tc>
          <w:tcPr>
            <w:tcW w:w="2127" w:type="dxa"/>
            <w:tcBorders>
              <w:left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kern w:val="0"/>
                <w:szCs w:val="21"/>
              </w:rPr>
            </w:pPr>
            <w:r w:rsidRPr="00E521F6">
              <w:rPr>
                <w:rFonts w:ascii="Times New Roman" w:hAnsi="Times New Roman" w:cs="Times New Roman"/>
                <w:b/>
                <w:i/>
                <w:color w:val="000000"/>
                <w:szCs w:val="21"/>
              </w:rPr>
              <w:t>NETHIRE</w:t>
            </w:r>
          </w:p>
        </w:tc>
        <w:tc>
          <w:tcPr>
            <w:tcW w:w="7796" w:type="dxa"/>
          </w:tcPr>
          <w:p w:rsidR="00CA4FFD" w:rsidRPr="00E521F6" w:rsidRDefault="00CA4FFD" w:rsidP="00F9168A">
            <w:pPr>
              <w:widowControl/>
              <w:rPr>
                <w:rFonts w:ascii="Times New Roman" w:hAnsi="Times New Roman" w:cs="Times New Roman"/>
                <w:color w:val="000000"/>
              </w:rPr>
            </w:pPr>
            <w:r>
              <w:rPr>
                <w:rFonts w:ascii="Times New Roman" w:hAnsi="Times New Roman" w:cs="Times New Roman"/>
                <w:color w:val="000000"/>
                <w:szCs w:val="21"/>
              </w:rPr>
              <w:t>Net h</w:t>
            </w:r>
            <w:r w:rsidRPr="00E521F6">
              <w:rPr>
                <w:rFonts w:ascii="Times New Roman" w:hAnsi="Times New Roman" w:cs="Times New Roman"/>
                <w:color w:val="000000"/>
                <w:szCs w:val="21"/>
              </w:rPr>
              <w:t xml:space="preserve">iring rate, constructed following Belo, Lin, and </w:t>
            </w:r>
            <w:proofErr w:type="spellStart"/>
            <w:r w:rsidRPr="00E521F6">
              <w:rPr>
                <w:rFonts w:ascii="Times New Roman" w:hAnsi="Times New Roman" w:cs="Times New Roman"/>
                <w:color w:val="000000"/>
                <w:szCs w:val="21"/>
              </w:rPr>
              <w:t>Bazdresch</w:t>
            </w:r>
            <w:proofErr w:type="spellEnd"/>
            <w:r w:rsidRPr="00E521F6">
              <w:rPr>
                <w:rFonts w:ascii="Times New Roman" w:hAnsi="Times New Roman" w:cs="Times New Roman"/>
                <w:color w:val="000000"/>
                <w:szCs w:val="21"/>
              </w:rPr>
              <w:t xml:space="preserve"> (2014).</w:t>
            </w:r>
          </w:p>
        </w:tc>
      </w:tr>
      <w:tr w:rsidR="00CA4FFD" w:rsidRPr="00E521F6" w:rsidTr="00F9168A">
        <w:trPr>
          <w:trHeight w:val="245"/>
          <w:jc w:val="center"/>
        </w:trPr>
        <w:tc>
          <w:tcPr>
            <w:tcW w:w="2127" w:type="dxa"/>
            <w:tcBorders>
              <w:left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000000"/>
                <w:szCs w:val="21"/>
              </w:rPr>
            </w:pPr>
            <w:r w:rsidRPr="00E521F6">
              <w:rPr>
                <w:rFonts w:ascii="Times New Roman" w:hAnsi="Times New Roman" w:cs="Times New Roman"/>
                <w:b/>
                <w:i/>
                <w:color w:val="000000"/>
                <w:szCs w:val="21"/>
              </w:rPr>
              <w:t>GSALE</w:t>
            </w:r>
          </w:p>
        </w:tc>
        <w:tc>
          <w:tcPr>
            <w:tcW w:w="7796" w:type="dxa"/>
          </w:tcPr>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szCs w:val="21"/>
              </w:rPr>
              <w:t>Sales growth, the growth rate of total sales</w:t>
            </w:r>
            <w:r w:rsidRPr="00E521F6">
              <w:rPr>
                <w:rFonts w:ascii="Times New Roman" w:hAnsi="Times New Roman" w:cs="Times New Roman"/>
                <w:color w:val="000000"/>
                <w:szCs w:val="21"/>
              </w:rPr>
              <w:t xml:space="preserve"> (SALE) from year t-1 to year t.</w:t>
            </w:r>
          </w:p>
        </w:tc>
      </w:tr>
      <w:tr w:rsidR="00CA4FFD" w:rsidRPr="00E521F6" w:rsidTr="00F9168A">
        <w:trPr>
          <w:trHeight w:val="245"/>
          <w:jc w:val="center"/>
        </w:trPr>
        <w:tc>
          <w:tcPr>
            <w:tcW w:w="2127" w:type="dxa"/>
            <w:tcBorders>
              <w:left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000000"/>
                <w:szCs w:val="21"/>
              </w:rPr>
            </w:pPr>
            <w:r w:rsidRPr="00E521F6">
              <w:rPr>
                <w:rFonts w:ascii="Times New Roman" w:hAnsi="Times New Roman" w:cs="Times New Roman"/>
                <w:b/>
                <w:i/>
                <w:color w:val="000000"/>
                <w:szCs w:val="21"/>
              </w:rPr>
              <w:t>AZ</w:t>
            </w:r>
          </w:p>
        </w:tc>
        <w:tc>
          <w:tcPr>
            <w:tcW w:w="7796" w:type="dxa"/>
          </w:tcPr>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color w:val="000000"/>
                <w:szCs w:val="21"/>
              </w:rPr>
              <w:t xml:space="preserve">Altman’s Z score, calculated following Altman (1968): </w:t>
            </w:r>
          </w:p>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color w:val="000000"/>
                <w:szCs w:val="21"/>
              </w:rPr>
              <w:t>0.3*IB/AT+SALE/AT+1.4*RE/AT+1.2*(ACT-LCT)/AT+0.6*PRCC_F*CSHO/LT.</w:t>
            </w:r>
          </w:p>
        </w:tc>
      </w:tr>
      <w:tr w:rsidR="00CA4FFD" w:rsidRPr="00E521F6" w:rsidTr="00F9168A">
        <w:trPr>
          <w:trHeight w:val="245"/>
          <w:jc w:val="center"/>
        </w:trPr>
        <w:tc>
          <w:tcPr>
            <w:tcW w:w="2127" w:type="dxa"/>
            <w:tcBorders>
              <w:left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000000"/>
                <w:szCs w:val="21"/>
              </w:rPr>
            </w:pPr>
            <w:r w:rsidRPr="00AD5164">
              <w:rPr>
                <w:rFonts w:ascii="Times New Roman" w:hAnsi="Times New Roman" w:cs="Times New Roman"/>
                <w:b/>
                <w:i/>
                <w:kern w:val="0"/>
                <w:szCs w:val="21"/>
              </w:rPr>
              <w:t>EDF</w:t>
            </w:r>
          </w:p>
        </w:tc>
        <w:tc>
          <w:tcPr>
            <w:tcW w:w="7796" w:type="dxa"/>
          </w:tcPr>
          <w:p w:rsidR="00CA4FFD" w:rsidRPr="00E521F6" w:rsidRDefault="00CA4FFD" w:rsidP="00F9168A">
            <w:pPr>
              <w:widowControl/>
              <w:rPr>
                <w:rFonts w:ascii="Times New Roman" w:hAnsi="Times New Roman" w:cs="Times New Roman"/>
                <w:color w:val="000000"/>
                <w:szCs w:val="21"/>
              </w:rPr>
            </w:pPr>
            <w:r w:rsidRPr="00A93B3F">
              <w:rPr>
                <w:rFonts w:ascii="Times New Roman" w:hAnsi="Times New Roman" w:cs="Times New Roman"/>
                <w:color w:val="000000"/>
                <w:szCs w:val="21"/>
              </w:rPr>
              <w:t xml:space="preserve">A simplified version of Merton (1974) structural distance-to-default model. See </w:t>
            </w:r>
            <w:proofErr w:type="spellStart"/>
            <w:r w:rsidRPr="00A93B3F">
              <w:rPr>
                <w:rFonts w:ascii="Times New Roman" w:hAnsi="Times New Roman" w:cs="Times New Roman"/>
                <w:color w:val="000000"/>
                <w:szCs w:val="21"/>
              </w:rPr>
              <w:t>Bharath</w:t>
            </w:r>
            <w:proofErr w:type="spellEnd"/>
            <w:r w:rsidRPr="00A93B3F">
              <w:rPr>
                <w:rFonts w:ascii="Times New Roman" w:hAnsi="Times New Roman" w:cs="Times New Roman"/>
                <w:color w:val="000000"/>
                <w:szCs w:val="21"/>
              </w:rPr>
              <w:t xml:space="preserve"> and Shumway (2008).</w:t>
            </w:r>
          </w:p>
        </w:tc>
      </w:tr>
      <w:tr w:rsidR="00CA4FFD" w:rsidRPr="00E521F6" w:rsidTr="00F9168A">
        <w:trPr>
          <w:trHeight w:val="245"/>
          <w:jc w:val="center"/>
        </w:trPr>
        <w:tc>
          <w:tcPr>
            <w:tcW w:w="2127" w:type="dxa"/>
            <w:tcBorders>
              <w:left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color w:val="000000"/>
                <w:szCs w:val="21"/>
              </w:rPr>
            </w:pPr>
            <w:r w:rsidRPr="00E521F6">
              <w:rPr>
                <w:rFonts w:ascii="Times New Roman" w:hAnsi="Times New Roman" w:cs="Times New Roman"/>
                <w:b/>
                <w:i/>
                <w:kern w:val="0"/>
                <w:szCs w:val="21"/>
              </w:rPr>
              <w:t>NINTH_POST</w:t>
            </w:r>
          </w:p>
        </w:tc>
        <w:tc>
          <w:tcPr>
            <w:tcW w:w="7796" w:type="dxa"/>
          </w:tcPr>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color w:val="000000"/>
              </w:rPr>
              <w:t xml:space="preserve">The 1999 ruling of the Ninth Circuit Court of Appeals. </w:t>
            </w:r>
            <w:r w:rsidRPr="00E91E90">
              <w:rPr>
                <w:rFonts w:ascii="Times New Roman" w:hAnsi="Times New Roman" w:cs="Times New Roman"/>
                <w:i/>
                <w:color w:val="000000"/>
                <w:szCs w:val="21"/>
              </w:rPr>
              <w:t>NINTH</w:t>
            </w:r>
            <w:r w:rsidRPr="00E521F6">
              <w:rPr>
                <w:rFonts w:ascii="Times New Roman" w:hAnsi="Times New Roman" w:cs="Times New Roman"/>
                <w:color w:val="000000"/>
                <w:szCs w:val="21"/>
              </w:rPr>
              <w:t xml:space="preserve"> is an indicator variable equals one if a firm’s state of headquarter belongs to the Ninth Circuit, and zero otherwise. </w:t>
            </w:r>
            <w:r w:rsidRPr="00E91E90">
              <w:rPr>
                <w:rFonts w:ascii="Times New Roman" w:hAnsi="Times New Roman" w:cs="Times New Roman"/>
                <w:i/>
                <w:color w:val="000000"/>
                <w:szCs w:val="21"/>
              </w:rPr>
              <w:t>POST</w:t>
            </w:r>
            <w:r w:rsidRPr="00E521F6">
              <w:rPr>
                <w:rFonts w:ascii="Times New Roman" w:hAnsi="Times New Roman" w:cs="Times New Roman"/>
                <w:color w:val="000000"/>
                <w:szCs w:val="21"/>
              </w:rPr>
              <w:t xml:space="preserve"> is an indicator variable equals one if it is year 1999 or after, and zero otherwise. </w:t>
            </w:r>
            <w:r w:rsidRPr="00E91E90">
              <w:rPr>
                <w:rFonts w:ascii="Times New Roman" w:hAnsi="Times New Roman" w:cs="Times New Roman"/>
                <w:i/>
                <w:color w:val="000000"/>
                <w:szCs w:val="21"/>
              </w:rPr>
              <w:t>NINTH_POST</w:t>
            </w:r>
            <w:r w:rsidRPr="00E521F6">
              <w:rPr>
                <w:rFonts w:ascii="Times New Roman" w:hAnsi="Times New Roman" w:cs="Times New Roman"/>
                <w:color w:val="000000"/>
                <w:szCs w:val="21"/>
              </w:rPr>
              <w:t xml:space="preserve"> is the interaction term of </w:t>
            </w:r>
            <w:r w:rsidRPr="00E91E90">
              <w:rPr>
                <w:rFonts w:ascii="Times New Roman" w:hAnsi="Times New Roman" w:cs="Times New Roman"/>
                <w:i/>
                <w:color w:val="000000"/>
                <w:szCs w:val="21"/>
              </w:rPr>
              <w:t>NINTH</w:t>
            </w:r>
            <w:r w:rsidRPr="00E521F6">
              <w:rPr>
                <w:rFonts w:ascii="Times New Roman" w:hAnsi="Times New Roman" w:cs="Times New Roman"/>
                <w:color w:val="000000"/>
                <w:szCs w:val="21"/>
              </w:rPr>
              <w:t xml:space="preserve"> and </w:t>
            </w:r>
            <w:r w:rsidRPr="00E91E90">
              <w:rPr>
                <w:rFonts w:ascii="Times New Roman" w:hAnsi="Times New Roman" w:cs="Times New Roman"/>
                <w:i/>
                <w:color w:val="000000"/>
                <w:szCs w:val="21"/>
              </w:rPr>
              <w:t>POST</w:t>
            </w:r>
            <w:r w:rsidRPr="00E521F6">
              <w:rPr>
                <w:rFonts w:ascii="Times New Roman" w:hAnsi="Times New Roman" w:cs="Times New Roman"/>
                <w:color w:val="000000"/>
                <w:szCs w:val="21"/>
              </w:rPr>
              <w:t>.</w:t>
            </w:r>
          </w:p>
        </w:tc>
      </w:tr>
      <w:tr w:rsidR="00CA4FFD" w:rsidRPr="00E521F6" w:rsidTr="00F9168A">
        <w:trPr>
          <w:trHeight w:val="245"/>
          <w:jc w:val="center"/>
        </w:trPr>
        <w:tc>
          <w:tcPr>
            <w:tcW w:w="2127" w:type="dxa"/>
            <w:tcBorders>
              <w:left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kern w:val="0"/>
                <w:szCs w:val="21"/>
              </w:rPr>
            </w:pPr>
            <w:r w:rsidRPr="00E521F6">
              <w:rPr>
                <w:rFonts w:ascii="Times New Roman" w:hAnsi="Times New Roman" w:cs="Times New Roman"/>
                <w:b/>
                <w:i/>
                <w:kern w:val="0"/>
                <w:szCs w:val="21"/>
              </w:rPr>
              <w:t>WDL</w:t>
            </w:r>
          </w:p>
        </w:tc>
        <w:tc>
          <w:tcPr>
            <w:tcW w:w="7796" w:type="dxa"/>
          </w:tcPr>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color w:val="000000"/>
                <w:szCs w:val="21"/>
              </w:rPr>
              <w:t xml:space="preserve">Wrongful </w:t>
            </w:r>
            <w:r>
              <w:rPr>
                <w:rFonts w:ascii="Times New Roman" w:hAnsi="Times New Roman" w:cs="Times New Roman"/>
                <w:color w:val="000000"/>
                <w:szCs w:val="21"/>
              </w:rPr>
              <w:t>d</w:t>
            </w:r>
            <w:r w:rsidRPr="00E521F6">
              <w:rPr>
                <w:rFonts w:ascii="Times New Roman" w:hAnsi="Times New Roman" w:cs="Times New Roman"/>
                <w:color w:val="000000"/>
                <w:szCs w:val="21"/>
              </w:rPr>
              <w:t xml:space="preserve">ischarge laws, an indicator variable equals one if a firm’s state of headquarter has adopted the </w:t>
            </w:r>
            <w:r>
              <w:rPr>
                <w:rFonts w:ascii="Times New Roman" w:hAnsi="Times New Roman" w:cs="Times New Roman"/>
                <w:color w:val="000000"/>
                <w:szCs w:val="21"/>
              </w:rPr>
              <w:t>w</w:t>
            </w:r>
            <w:r w:rsidRPr="00E521F6">
              <w:rPr>
                <w:rFonts w:ascii="Times New Roman" w:hAnsi="Times New Roman" w:cs="Times New Roman"/>
                <w:color w:val="000000"/>
                <w:szCs w:val="21"/>
              </w:rPr>
              <w:t xml:space="preserve">rongful </w:t>
            </w:r>
            <w:r>
              <w:rPr>
                <w:rFonts w:ascii="Times New Roman" w:hAnsi="Times New Roman" w:cs="Times New Roman"/>
                <w:color w:val="000000"/>
                <w:szCs w:val="21"/>
              </w:rPr>
              <w:t>d</w:t>
            </w:r>
            <w:r w:rsidRPr="00E521F6">
              <w:rPr>
                <w:rFonts w:ascii="Times New Roman" w:hAnsi="Times New Roman" w:cs="Times New Roman"/>
                <w:color w:val="000000"/>
                <w:szCs w:val="21"/>
              </w:rPr>
              <w:t>ischarge law, and zero otherwise.</w:t>
            </w:r>
          </w:p>
        </w:tc>
      </w:tr>
      <w:tr w:rsidR="00CA4FFD" w:rsidRPr="00E521F6" w:rsidTr="00F9168A">
        <w:trPr>
          <w:trHeight w:val="245"/>
          <w:jc w:val="center"/>
        </w:trPr>
        <w:tc>
          <w:tcPr>
            <w:tcW w:w="2127" w:type="dxa"/>
            <w:tcBorders>
              <w:left w:val="nil"/>
              <w:right w:val="single" w:sz="6" w:space="0" w:color="000000"/>
              <w:tl2br w:val="nil"/>
              <w:tr2bl w:val="nil"/>
            </w:tcBorders>
          </w:tcPr>
          <w:p w:rsidR="00CA4FFD" w:rsidRPr="00E521F6" w:rsidRDefault="00CA4FFD" w:rsidP="00F9168A">
            <w:pPr>
              <w:widowControl/>
              <w:jc w:val="left"/>
              <w:rPr>
                <w:rFonts w:ascii="Times New Roman" w:hAnsi="Times New Roman" w:cs="Times New Roman"/>
                <w:b/>
                <w:i/>
                <w:kern w:val="0"/>
                <w:szCs w:val="21"/>
              </w:rPr>
            </w:pPr>
            <w:r w:rsidRPr="00E521F6">
              <w:rPr>
                <w:rFonts w:ascii="Times New Roman" w:hAnsi="Times New Roman" w:cs="Times New Roman"/>
                <w:b/>
                <w:i/>
                <w:kern w:val="0"/>
                <w:szCs w:val="21"/>
              </w:rPr>
              <w:t>RIGHT</w:t>
            </w:r>
          </w:p>
        </w:tc>
        <w:tc>
          <w:tcPr>
            <w:tcW w:w="7796" w:type="dxa"/>
          </w:tcPr>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color w:val="000000"/>
                <w:szCs w:val="21"/>
              </w:rPr>
              <w:t>Right-to-work laws, an indicator variable equals one if a firm’s state of headquarter has adopted the right-to-work law, and zero otherwise.</w:t>
            </w:r>
          </w:p>
        </w:tc>
      </w:tr>
      <w:tr w:rsidR="00CA4FFD" w:rsidRPr="00E521F6" w:rsidTr="00F9168A">
        <w:trPr>
          <w:trHeight w:val="245"/>
          <w:jc w:val="center"/>
        </w:trPr>
        <w:tc>
          <w:tcPr>
            <w:tcW w:w="2127" w:type="dxa"/>
            <w:tcBorders>
              <w:left w:val="nil"/>
              <w:bottom w:val="single" w:sz="12" w:space="0" w:color="auto"/>
              <w:right w:val="single" w:sz="6" w:space="0" w:color="000000"/>
              <w:tl2br w:val="nil"/>
              <w:tr2bl w:val="nil"/>
            </w:tcBorders>
          </w:tcPr>
          <w:p w:rsidR="00CA4FFD" w:rsidRPr="00E521F6" w:rsidRDefault="00CA4FFD" w:rsidP="00F9168A">
            <w:pPr>
              <w:widowControl/>
              <w:jc w:val="left"/>
              <w:rPr>
                <w:rFonts w:ascii="Times New Roman" w:hAnsi="Times New Roman" w:cs="Times New Roman"/>
                <w:b/>
                <w:i/>
                <w:kern w:val="0"/>
                <w:szCs w:val="21"/>
              </w:rPr>
            </w:pPr>
            <w:r w:rsidRPr="00E521F6">
              <w:rPr>
                <w:rFonts w:ascii="Times New Roman" w:hAnsi="Times New Roman" w:cs="Times New Roman"/>
                <w:b/>
                <w:i/>
                <w:kern w:val="0"/>
                <w:szCs w:val="21"/>
              </w:rPr>
              <w:t>ANTI</w:t>
            </w:r>
          </w:p>
        </w:tc>
        <w:tc>
          <w:tcPr>
            <w:tcW w:w="7796" w:type="dxa"/>
            <w:tcBorders>
              <w:bottom w:val="single" w:sz="12" w:space="0" w:color="auto"/>
            </w:tcBorders>
          </w:tcPr>
          <w:p w:rsidR="00CA4FFD" w:rsidRPr="00E521F6" w:rsidRDefault="00CA4FFD" w:rsidP="00F9168A">
            <w:pPr>
              <w:widowControl/>
              <w:rPr>
                <w:rFonts w:ascii="Times New Roman" w:hAnsi="Times New Roman" w:cs="Times New Roman"/>
                <w:color w:val="000000"/>
                <w:szCs w:val="21"/>
              </w:rPr>
            </w:pPr>
            <w:r w:rsidRPr="00E521F6">
              <w:rPr>
                <w:rFonts w:ascii="Times New Roman" w:hAnsi="Times New Roman" w:cs="Times New Roman"/>
                <w:color w:val="000000"/>
                <w:szCs w:val="21"/>
              </w:rPr>
              <w:t xml:space="preserve">Anti-takeover laws, an indicator variable equals one if a firm’s state of incorporation has adopted one of the five anti-takeover laws (including </w:t>
            </w:r>
            <w:r>
              <w:rPr>
                <w:rFonts w:ascii="Times New Roman" w:hAnsi="Times New Roman" w:cs="Times New Roman"/>
                <w:color w:val="000000"/>
                <w:szCs w:val="21"/>
              </w:rPr>
              <w:t>c</w:t>
            </w:r>
            <w:r w:rsidRPr="00E521F6">
              <w:rPr>
                <w:rFonts w:ascii="Times New Roman" w:hAnsi="Times New Roman" w:cs="Times New Roman"/>
                <w:color w:val="000000"/>
                <w:szCs w:val="21"/>
              </w:rPr>
              <w:t xml:space="preserve">ontrol </w:t>
            </w:r>
            <w:r>
              <w:rPr>
                <w:rFonts w:ascii="Times New Roman" w:hAnsi="Times New Roman" w:cs="Times New Roman"/>
                <w:color w:val="000000"/>
                <w:szCs w:val="21"/>
              </w:rPr>
              <w:t>s</w:t>
            </w:r>
            <w:r w:rsidRPr="00E521F6">
              <w:rPr>
                <w:rFonts w:ascii="Times New Roman" w:hAnsi="Times New Roman" w:cs="Times New Roman"/>
                <w:color w:val="000000"/>
                <w:szCs w:val="21"/>
              </w:rPr>
              <w:t xml:space="preserve">hare </w:t>
            </w:r>
            <w:r>
              <w:rPr>
                <w:rFonts w:ascii="Times New Roman" w:hAnsi="Times New Roman" w:cs="Times New Roman"/>
                <w:color w:val="000000"/>
                <w:szCs w:val="21"/>
              </w:rPr>
              <w:t>a</w:t>
            </w:r>
            <w:r w:rsidRPr="00E521F6">
              <w:rPr>
                <w:rFonts w:ascii="Times New Roman" w:hAnsi="Times New Roman" w:cs="Times New Roman"/>
                <w:color w:val="000000"/>
                <w:szCs w:val="21"/>
              </w:rPr>
              <w:t xml:space="preserve">cquisition laws, </w:t>
            </w:r>
            <w:r>
              <w:rPr>
                <w:rFonts w:ascii="Times New Roman" w:hAnsi="Times New Roman" w:cs="Times New Roman"/>
                <w:color w:val="000000"/>
                <w:szCs w:val="21"/>
              </w:rPr>
              <w:t>d</w:t>
            </w:r>
            <w:r w:rsidRPr="00E521F6">
              <w:rPr>
                <w:rFonts w:ascii="Times New Roman" w:hAnsi="Times New Roman" w:cs="Times New Roman"/>
                <w:color w:val="000000"/>
                <w:szCs w:val="21"/>
              </w:rPr>
              <w:t xml:space="preserve">irector </w:t>
            </w:r>
            <w:r>
              <w:rPr>
                <w:rFonts w:ascii="Times New Roman" w:hAnsi="Times New Roman" w:cs="Times New Roman"/>
                <w:color w:val="000000"/>
                <w:szCs w:val="21"/>
              </w:rPr>
              <w:t>d</w:t>
            </w:r>
            <w:r w:rsidRPr="00E521F6">
              <w:rPr>
                <w:rFonts w:ascii="Times New Roman" w:hAnsi="Times New Roman" w:cs="Times New Roman"/>
                <w:color w:val="000000"/>
                <w:szCs w:val="21"/>
              </w:rPr>
              <w:t xml:space="preserve">uty laws, </w:t>
            </w:r>
            <w:r>
              <w:rPr>
                <w:rFonts w:ascii="Times New Roman" w:hAnsi="Times New Roman" w:cs="Times New Roman"/>
                <w:color w:val="000000"/>
                <w:szCs w:val="21"/>
              </w:rPr>
              <w:t>b</w:t>
            </w:r>
            <w:r w:rsidRPr="00E521F6">
              <w:rPr>
                <w:rFonts w:ascii="Times New Roman" w:hAnsi="Times New Roman" w:cs="Times New Roman"/>
                <w:color w:val="000000"/>
                <w:szCs w:val="21"/>
              </w:rPr>
              <w:t xml:space="preserve">usiness </w:t>
            </w:r>
            <w:r>
              <w:rPr>
                <w:rFonts w:ascii="Times New Roman" w:hAnsi="Times New Roman" w:cs="Times New Roman"/>
                <w:color w:val="000000"/>
                <w:szCs w:val="21"/>
              </w:rPr>
              <w:t>c</w:t>
            </w:r>
            <w:r w:rsidRPr="00E521F6">
              <w:rPr>
                <w:rFonts w:ascii="Times New Roman" w:hAnsi="Times New Roman" w:cs="Times New Roman"/>
                <w:color w:val="000000"/>
                <w:szCs w:val="21"/>
              </w:rPr>
              <w:t xml:space="preserve">ombination laws, </w:t>
            </w:r>
            <w:r>
              <w:rPr>
                <w:rFonts w:ascii="Times New Roman" w:hAnsi="Times New Roman" w:cs="Times New Roman"/>
                <w:color w:val="000000"/>
                <w:szCs w:val="21"/>
              </w:rPr>
              <w:t>p</w:t>
            </w:r>
            <w:r w:rsidRPr="00E521F6">
              <w:rPr>
                <w:rFonts w:ascii="Times New Roman" w:hAnsi="Times New Roman" w:cs="Times New Roman"/>
                <w:color w:val="000000"/>
                <w:szCs w:val="21"/>
              </w:rPr>
              <w:t xml:space="preserve">oison </w:t>
            </w:r>
            <w:r>
              <w:rPr>
                <w:rFonts w:ascii="Times New Roman" w:hAnsi="Times New Roman" w:cs="Times New Roman"/>
                <w:color w:val="000000"/>
                <w:szCs w:val="21"/>
              </w:rPr>
              <w:t>p</w:t>
            </w:r>
            <w:r w:rsidRPr="00E521F6">
              <w:rPr>
                <w:rFonts w:ascii="Times New Roman" w:hAnsi="Times New Roman" w:cs="Times New Roman"/>
                <w:color w:val="000000"/>
                <w:szCs w:val="21"/>
              </w:rPr>
              <w:t xml:space="preserve">ill laws, and </w:t>
            </w:r>
            <w:r>
              <w:rPr>
                <w:rFonts w:ascii="Times New Roman" w:hAnsi="Times New Roman" w:cs="Times New Roman"/>
                <w:color w:val="000000"/>
                <w:szCs w:val="21"/>
              </w:rPr>
              <w:t>f</w:t>
            </w:r>
            <w:r w:rsidRPr="00E521F6">
              <w:rPr>
                <w:rFonts w:ascii="Times New Roman" w:hAnsi="Times New Roman" w:cs="Times New Roman"/>
                <w:color w:val="000000"/>
                <w:szCs w:val="21"/>
              </w:rPr>
              <w:t xml:space="preserve">air </w:t>
            </w:r>
            <w:r>
              <w:rPr>
                <w:rFonts w:ascii="Times New Roman" w:hAnsi="Times New Roman" w:cs="Times New Roman"/>
                <w:color w:val="000000"/>
                <w:szCs w:val="21"/>
              </w:rPr>
              <w:t>p</w:t>
            </w:r>
            <w:r w:rsidRPr="00E521F6">
              <w:rPr>
                <w:rFonts w:ascii="Times New Roman" w:hAnsi="Times New Roman" w:cs="Times New Roman"/>
                <w:color w:val="000000"/>
                <w:szCs w:val="21"/>
              </w:rPr>
              <w:t xml:space="preserve">rice laws) indicated by </w:t>
            </w:r>
            <w:proofErr w:type="spellStart"/>
            <w:r w:rsidRPr="00E521F6">
              <w:rPr>
                <w:rFonts w:ascii="Times New Roman" w:hAnsi="Times New Roman" w:cs="Times New Roman"/>
                <w:color w:val="000000"/>
                <w:szCs w:val="21"/>
              </w:rPr>
              <w:t>Karpoff</w:t>
            </w:r>
            <w:proofErr w:type="spellEnd"/>
            <w:r w:rsidRPr="00E521F6">
              <w:rPr>
                <w:rFonts w:ascii="Times New Roman" w:hAnsi="Times New Roman" w:cs="Times New Roman"/>
                <w:color w:val="000000"/>
                <w:szCs w:val="21"/>
              </w:rPr>
              <w:t xml:space="preserve"> and </w:t>
            </w:r>
            <w:proofErr w:type="spellStart"/>
            <w:r w:rsidRPr="00E521F6">
              <w:rPr>
                <w:rFonts w:ascii="Times New Roman" w:hAnsi="Times New Roman" w:cs="Times New Roman"/>
                <w:color w:val="000000"/>
                <w:szCs w:val="21"/>
              </w:rPr>
              <w:t>Wittry</w:t>
            </w:r>
            <w:proofErr w:type="spellEnd"/>
            <w:r w:rsidRPr="00E521F6">
              <w:rPr>
                <w:rFonts w:ascii="Times New Roman" w:hAnsi="Times New Roman" w:cs="Times New Roman"/>
                <w:color w:val="000000"/>
                <w:szCs w:val="21"/>
              </w:rPr>
              <w:t xml:space="preserve"> (2018), and zero otherwise.</w:t>
            </w:r>
          </w:p>
        </w:tc>
      </w:tr>
    </w:tbl>
    <w:p w:rsidR="005B5E88" w:rsidRDefault="00CA4FFD">
      <w:bookmarkStart w:id="0" w:name="_GoBack"/>
      <w:bookmarkEnd w:id="0"/>
    </w:p>
    <w:sectPr w:rsidR="005B5E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FFD"/>
    <w:rsid w:val="002E0ABC"/>
    <w:rsid w:val="00CA4FFD"/>
    <w:rsid w:val="00D816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FD"/>
    <w:pPr>
      <w:widowControl w:val="0"/>
      <w:spacing w:after="0" w:line="240" w:lineRule="auto"/>
      <w:jc w:val="both"/>
    </w:pPr>
    <w:rPr>
      <w:rFonts w:eastAsiaTheme="minorEastAsia"/>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FD"/>
    <w:pPr>
      <w:widowControl w:val="0"/>
      <w:spacing w:after="0" w:line="240" w:lineRule="auto"/>
      <w:jc w:val="both"/>
    </w:pPr>
    <w:rPr>
      <w:rFonts w:eastAsiaTheme="minorEastAsia"/>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TNQ</dc:creator>
  <cp:lastModifiedBy>TNQ</cp:lastModifiedBy>
  <cp:revision>1</cp:revision>
  <dcterms:created xsi:type="dcterms:W3CDTF">2026-04-29T07:25:00Z</dcterms:created>
  <dcterms:modified xsi:type="dcterms:W3CDTF">2026-04-29T07:26:00Z</dcterms:modified>
</cp:coreProperties>
</file>