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312A5" w14:textId="702E78CF" w:rsidR="005B5E88" w:rsidRPr="00FD75F1" w:rsidRDefault="0089451B" w:rsidP="00FD75F1">
      <w:pPr>
        <w:autoSpaceDE w:val="0"/>
        <w:autoSpaceDN w:val="0"/>
        <w:adjustRightInd w:val="0"/>
        <w:spacing w:afterLines="50" w:after="120" w:line="240" w:lineRule="auto"/>
        <w:rPr>
          <w:rFonts w:ascii="Times New Roman" w:hAnsi="Times New Roman" w:cs="Times New Roman"/>
          <w:b/>
          <w:bCs/>
        </w:rPr>
      </w:pPr>
      <w:r w:rsidRPr="00566852">
        <w:rPr>
          <w:rFonts w:ascii="Times New Roman" w:hAnsi="Times New Roman" w:cs="Times New Roman"/>
          <w:b/>
          <w:bCs/>
        </w:rPr>
        <w:t>Appendix. Variable definition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55"/>
        <w:gridCol w:w="7371"/>
      </w:tblGrid>
      <w:tr w:rsidR="00FD75F1" w:rsidRPr="00FD75F1" w14:paraId="4BC00C65" w14:textId="77777777" w:rsidTr="0089451B">
        <w:trPr>
          <w:trHeight w:val="279"/>
        </w:trPr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2918" w14:textId="77777777" w:rsidR="0089451B" w:rsidRPr="00FD75F1" w:rsidRDefault="0089451B" w:rsidP="00DA2594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FD75F1">
              <w:rPr>
                <w:rFonts w:ascii="Times New Roman" w:hAnsi="Times New Roman" w:cs="Times New Roman"/>
                <w:sz w:val="20"/>
              </w:rPr>
              <w:t>Variable</w:t>
            </w:r>
          </w:p>
        </w:tc>
        <w:tc>
          <w:tcPr>
            <w:tcW w:w="41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385FCD" w14:textId="77777777" w:rsidR="0089451B" w:rsidRPr="00FD75F1" w:rsidRDefault="0089451B" w:rsidP="00DA2594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FD75F1">
              <w:rPr>
                <w:rFonts w:ascii="Times New Roman" w:hAnsi="Times New Roman" w:cs="Times New Roman"/>
                <w:sz w:val="20"/>
              </w:rPr>
              <w:t>Definition</w:t>
            </w:r>
          </w:p>
        </w:tc>
      </w:tr>
      <w:tr w:rsidR="00FD75F1" w:rsidRPr="00FD75F1" w14:paraId="2A0ADE09" w14:textId="77777777" w:rsidTr="0089451B">
        <w:trPr>
          <w:trHeight w:val="20"/>
        </w:trPr>
        <w:tc>
          <w:tcPr>
            <w:tcW w:w="89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1A85F20" w14:textId="77777777" w:rsidR="0089451B" w:rsidRPr="00FD75F1" w:rsidRDefault="0089451B" w:rsidP="00DA2594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</w:rPr>
            </w:pPr>
            <w:proofErr w:type="spellStart"/>
            <w:proofErr w:type="gramStart"/>
            <w:r w:rsidRPr="00FD75F1">
              <w:rPr>
                <w:rFonts w:ascii="Times New Roman" w:hAnsi="Times New Roman" w:cs="Times New Roman"/>
                <w:i/>
                <w:iCs/>
                <w:sz w:val="20"/>
              </w:rPr>
              <w:t>ROA</w:t>
            </w:r>
            <w:r w:rsidRPr="00FD75F1">
              <w:rPr>
                <w:rFonts w:ascii="Times New Roman" w:hAnsi="Times New Roman" w:cs="Times New Roman"/>
                <w:i/>
                <w:iCs/>
                <w:sz w:val="20"/>
                <w:vertAlign w:val="subscript"/>
              </w:rPr>
              <w:t>i,t</w:t>
            </w:r>
            <w:proofErr w:type="gramEnd"/>
            <w:r w:rsidRPr="00FD75F1">
              <w:rPr>
                <w:rFonts w:ascii="Times New Roman" w:hAnsi="Times New Roman" w:cs="Times New Roman"/>
                <w:i/>
                <w:iCs/>
                <w:sz w:val="20"/>
                <w:vertAlign w:val="subscript"/>
              </w:rPr>
              <w:t>+k</w:t>
            </w:r>
            <w:proofErr w:type="spellEnd"/>
          </w:p>
        </w:tc>
        <w:tc>
          <w:tcPr>
            <w:tcW w:w="410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3561FB2" w14:textId="5B1BEF52" w:rsidR="0089451B" w:rsidRPr="00FD75F1" w:rsidRDefault="0089451B" w:rsidP="00DA259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D75F1">
              <w:rPr>
                <w:rFonts w:ascii="Times New Roman" w:hAnsi="Times New Roman" w:cs="Times New Roman"/>
                <w:sz w:val="20"/>
              </w:rPr>
              <w:t xml:space="preserve">The ratio of net income to the total asset in years </w:t>
            </w:r>
            <w:r w:rsidRPr="00FD75F1">
              <w:rPr>
                <w:rFonts w:ascii="Times New Roman" w:hAnsi="Times New Roman" w:cs="Times New Roman"/>
                <w:i/>
                <w:iCs/>
                <w:sz w:val="20"/>
              </w:rPr>
              <w:t>t</w:t>
            </w:r>
            <w:r w:rsidRPr="00FD75F1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FD75F1">
              <w:rPr>
                <w:rFonts w:ascii="Times New Roman" w:hAnsi="Times New Roman" w:cs="Times New Roman"/>
                <w:i/>
                <w:iCs/>
                <w:sz w:val="20"/>
              </w:rPr>
              <w:t>t</w:t>
            </w:r>
            <w:r w:rsidRPr="00FD75F1">
              <w:rPr>
                <w:rFonts w:ascii="Times New Roman" w:hAnsi="Times New Roman" w:cs="Times New Roman"/>
                <w:sz w:val="20"/>
              </w:rPr>
              <w:t xml:space="preserve">+1, </w:t>
            </w:r>
            <w:r w:rsidRPr="00FD75F1">
              <w:rPr>
                <w:rFonts w:ascii="Times New Roman" w:hAnsi="Times New Roman" w:cs="Times New Roman"/>
                <w:i/>
                <w:iCs/>
                <w:sz w:val="20"/>
              </w:rPr>
              <w:t>t</w:t>
            </w:r>
            <w:r w:rsidRPr="00FD75F1">
              <w:rPr>
                <w:rFonts w:ascii="Times New Roman" w:hAnsi="Times New Roman" w:cs="Times New Roman"/>
                <w:sz w:val="20"/>
              </w:rPr>
              <w:t xml:space="preserve">+2, </w:t>
            </w:r>
            <w:r w:rsidRPr="00FD75F1">
              <w:rPr>
                <w:rFonts w:ascii="Times New Roman" w:hAnsi="Times New Roman" w:cs="Times New Roman"/>
                <w:i/>
                <w:iCs/>
                <w:sz w:val="20"/>
              </w:rPr>
              <w:t>t</w:t>
            </w:r>
            <w:r w:rsidRPr="00FD75F1">
              <w:rPr>
                <w:rFonts w:ascii="Times New Roman" w:hAnsi="Times New Roman" w:cs="Times New Roman"/>
                <w:sz w:val="20"/>
              </w:rPr>
              <w:t>+3</w:t>
            </w:r>
            <w:r w:rsidR="00187C52" w:rsidRPr="00FD75F1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FD75F1" w:rsidRPr="00FD75F1" w14:paraId="3ED0CAC1" w14:textId="77777777" w:rsidTr="0089451B">
        <w:trPr>
          <w:trHeight w:val="20"/>
        </w:trPr>
        <w:tc>
          <w:tcPr>
            <w:tcW w:w="895" w:type="pct"/>
            <w:shd w:val="clear" w:color="auto" w:fill="auto"/>
            <w:vAlign w:val="center"/>
            <w:hideMark/>
          </w:tcPr>
          <w:p w14:paraId="7DF4C819" w14:textId="77777777" w:rsidR="0089451B" w:rsidRPr="00FD75F1" w:rsidRDefault="0089451B" w:rsidP="00DA2594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</w:rPr>
            </w:pPr>
            <w:proofErr w:type="spellStart"/>
            <w:proofErr w:type="gramStart"/>
            <w:r w:rsidRPr="00FD75F1">
              <w:rPr>
                <w:rFonts w:ascii="Times New Roman" w:hAnsi="Times New Roman" w:cs="Times New Roman"/>
                <w:i/>
                <w:iCs/>
                <w:sz w:val="20"/>
              </w:rPr>
              <w:t>ROE</w:t>
            </w:r>
            <w:r w:rsidRPr="00FD75F1">
              <w:rPr>
                <w:rFonts w:ascii="Times New Roman" w:hAnsi="Times New Roman" w:cs="Times New Roman"/>
                <w:i/>
                <w:iCs/>
                <w:sz w:val="20"/>
                <w:vertAlign w:val="subscript"/>
              </w:rPr>
              <w:t>i,t</w:t>
            </w:r>
            <w:proofErr w:type="gramEnd"/>
            <w:r w:rsidRPr="00FD75F1">
              <w:rPr>
                <w:rFonts w:ascii="Times New Roman" w:hAnsi="Times New Roman" w:cs="Times New Roman"/>
                <w:i/>
                <w:iCs/>
                <w:sz w:val="20"/>
                <w:vertAlign w:val="subscript"/>
              </w:rPr>
              <w:t>+k</w:t>
            </w:r>
            <w:proofErr w:type="spellEnd"/>
          </w:p>
        </w:tc>
        <w:tc>
          <w:tcPr>
            <w:tcW w:w="4105" w:type="pct"/>
            <w:shd w:val="clear" w:color="auto" w:fill="auto"/>
            <w:vAlign w:val="center"/>
            <w:hideMark/>
          </w:tcPr>
          <w:p w14:paraId="32AD5634" w14:textId="6B815161" w:rsidR="0089451B" w:rsidRPr="00FD75F1" w:rsidRDefault="0089451B" w:rsidP="00DA259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D75F1">
              <w:rPr>
                <w:rFonts w:ascii="Times New Roman" w:hAnsi="Times New Roman" w:cs="Times New Roman"/>
                <w:sz w:val="20"/>
              </w:rPr>
              <w:t xml:space="preserve">The ratio of net income to total equity in years </w:t>
            </w:r>
            <w:r w:rsidRPr="00FD75F1">
              <w:rPr>
                <w:rFonts w:ascii="Times New Roman" w:hAnsi="Times New Roman" w:cs="Times New Roman"/>
                <w:i/>
                <w:iCs/>
                <w:sz w:val="20"/>
              </w:rPr>
              <w:t>t</w:t>
            </w:r>
            <w:r w:rsidRPr="00FD75F1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FD75F1">
              <w:rPr>
                <w:rFonts w:ascii="Times New Roman" w:hAnsi="Times New Roman" w:cs="Times New Roman"/>
                <w:i/>
                <w:iCs/>
                <w:sz w:val="20"/>
              </w:rPr>
              <w:t>t</w:t>
            </w:r>
            <w:r w:rsidRPr="00FD75F1">
              <w:rPr>
                <w:rFonts w:ascii="Times New Roman" w:hAnsi="Times New Roman" w:cs="Times New Roman"/>
                <w:sz w:val="20"/>
              </w:rPr>
              <w:t xml:space="preserve">+1, </w:t>
            </w:r>
            <w:r w:rsidRPr="00FD75F1">
              <w:rPr>
                <w:rFonts w:ascii="Times New Roman" w:hAnsi="Times New Roman" w:cs="Times New Roman"/>
                <w:i/>
                <w:iCs/>
                <w:sz w:val="20"/>
              </w:rPr>
              <w:t>t</w:t>
            </w:r>
            <w:r w:rsidRPr="00FD75F1">
              <w:rPr>
                <w:rFonts w:ascii="Times New Roman" w:hAnsi="Times New Roman" w:cs="Times New Roman"/>
                <w:sz w:val="20"/>
              </w:rPr>
              <w:t>+2,</w:t>
            </w:r>
            <w:r w:rsidRPr="00FD75F1">
              <w:rPr>
                <w:rFonts w:ascii="Times New Roman" w:hAnsi="Times New Roman" w:cs="Times New Roman"/>
                <w:i/>
                <w:iCs/>
                <w:sz w:val="20"/>
              </w:rPr>
              <w:t xml:space="preserve"> t</w:t>
            </w:r>
            <w:r w:rsidRPr="00FD75F1">
              <w:rPr>
                <w:rFonts w:ascii="Times New Roman" w:hAnsi="Times New Roman" w:cs="Times New Roman"/>
                <w:sz w:val="20"/>
              </w:rPr>
              <w:t>+3</w:t>
            </w:r>
            <w:r w:rsidR="00187C52" w:rsidRPr="00FD75F1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FD75F1" w:rsidRPr="00FD75F1" w14:paraId="46208071" w14:textId="77777777" w:rsidTr="0089451B">
        <w:trPr>
          <w:trHeight w:val="20"/>
        </w:trPr>
        <w:tc>
          <w:tcPr>
            <w:tcW w:w="895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AFF1AFD" w14:textId="77777777" w:rsidR="0089451B" w:rsidRPr="00FD75F1" w:rsidRDefault="0089451B" w:rsidP="00DA2594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</w:rPr>
            </w:pPr>
            <w:proofErr w:type="spellStart"/>
            <w:proofErr w:type="gramStart"/>
            <w:r w:rsidRPr="00FD75F1">
              <w:rPr>
                <w:rFonts w:ascii="Times New Roman" w:hAnsi="Times New Roman" w:cs="Times New Roman"/>
                <w:i/>
                <w:iCs/>
                <w:sz w:val="20"/>
              </w:rPr>
              <w:t>RDC</w:t>
            </w:r>
            <w:r w:rsidRPr="00FD75F1">
              <w:rPr>
                <w:rFonts w:ascii="Times New Roman" w:hAnsi="Times New Roman" w:cs="Times New Roman"/>
                <w:i/>
                <w:iCs/>
                <w:sz w:val="20"/>
                <w:vertAlign w:val="subscript"/>
              </w:rPr>
              <w:t>i,t</w:t>
            </w:r>
            <w:proofErr w:type="spellEnd"/>
            <w:proofErr w:type="gramEnd"/>
          </w:p>
        </w:tc>
        <w:tc>
          <w:tcPr>
            <w:tcW w:w="4105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7BB43AF" w14:textId="77777777" w:rsidR="0089451B" w:rsidRPr="00FD75F1" w:rsidRDefault="0089451B" w:rsidP="00DA259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D75F1">
              <w:rPr>
                <w:rFonts w:ascii="Times New Roman" w:hAnsi="Times New Roman" w:cs="Times New Roman"/>
                <w:sz w:val="20"/>
              </w:rPr>
              <w:t>A dummy variable, takes the value of 1 if the firm capitalizes the R&amp;D expenditure in year t, and zero otherwise.</w:t>
            </w:r>
          </w:p>
        </w:tc>
      </w:tr>
      <w:tr w:rsidR="00FD75F1" w:rsidRPr="00FD75F1" w14:paraId="7EF43B48" w14:textId="77777777" w:rsidTr="0089451B">
        <w:trPr>
          <w:trHeight w:val="20"/>
        </w:trPr>
        <w:tc>
          <w:tcPr>
            <w:tcW w:w="89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7EC5028" w14:textId="77777777" w:rsidR="0089451B" w:rsidRPr="00FD75F1" w:rsidRDefault="0089451B" w:rsidP="00DA2594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</w:rPr>
            </w:pPr>
            <w:bookmarkStart w:id="0" w:name="OLE_LINK7"/>
            <w:proofErr w:type="spellStart"/>
            <w:proofErr w:type="gramStart"/>
            <w:r w:rsidRPr="00FD75F1">
              <w:rPr>
                <w:rFonts w:ascii="Times New Roman" w:hAnsi="Times New Roman" w:cs="Times New Roman"/>
                <w:i/>
                <w:iCs/>
                <w:sz w:val="20"/>
              </w:rPr>
              <w:t>OTC</w:t>
            </w:r>
            <w:r w:rsidRPr="00FD75F1">
              <w:rPr>
                <w:rFonts w:ascii="Times New Roman" w:hAnsi="Times New Roman" w:cs="Times New Roman"/>
                <w:i/>
                <w:iCs/>
                <w:sz w:val="20"/>
                <w:vertAlign w:val="subscript"/>
              </w:rPr>
              <w:t>i,t</w:t>
            </w:r>
            <w:bookmarkEnd w:id="0"/>
            <w:proofErr w:type="spellEnd"/>
            <w:proofErr w:type="gramEnd"/>
          </w:p>
        </w:tc>
        <w:tc>
          <w:tcPr>
            <w:tcW w:w="410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CBF7F4" w14:textId="2AE82CFC" w:rsidR="0089451B" w:rsidRPr="00FD75F1" w:rsidRDefault="0089451B" w:rsidP="00DA259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D75F1">
              <w:rPr>
                <w:rFonts w:ascii="Times New Roman" w:hAnsi="Times New Roman" w:cs="Times New Roman"/>
                <w:sz w:val="20"/>
              </w:rPr>
              <w:t>A dummy variable, equals one if the firm has opportunistic capitalization in year t, and zero otherwise (including both normal capitalizers and expense-all firms). We identify the opportunistic capitalization at the firm level if at least one R&amp;D project in a firm</w:t>
            </w:r>
            <w:r w:rsidR="00187C52" w:rsidRPr="00FD75F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D75F1">
              <w:rPr>
                <w:rFonts w:ascii="Times New Roman" w:hAnsi="Times New Roman" w:cs="Times New Roman"/>
                <w:sz w:val="20"/>
              </w:rPr>
              <w:t>year is impaired in the subsequent three years.</w:t>
            </w:r>
          </w:p>
        </w:tc>
      </w:tr>
      <w:tr w:rsidR="00FD75F1" w:rsidRPr="00FD75F1" w14:paraId="52E9EDBC" w14:textId="77777777" w:rsidTr="0089451B">
        <w:trPr>
          <w:trHeight w:val="20"/>
        </w:trPr>
        <w:tc>
          <w:tcPr>
            <w:tcW w:w="89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A932BDE" w14:textId="77777777" w:rsidR="0089451B" w:rsidRPr="00FD75F1" w:rsidRDefault="0089451B" w:rsidP="00DA2594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FD75F1">
              <w:rPr>
                <w:rFonts w:ascii="Times New Roman" w:hAnsi="Times New Roman" w:cs="Times New Roman"/>
                <w:i/>
                <w:iCs/>
                <w:sz w:val="20"/>
              </w:rPr>
              <w:t>OTC1</w:t>
            </w:r>
            <w:proofErr w:type="gramStart"/>
            <w:r w:rsidRPr="00FD75F1">
              <w:rPr>
                <w:rFonts w:ascii="Times New Roman" w:hAnsi="Times New Roman" w:cs="Times New Roman"/>
                <w:i/>
                <w:iCs/>
                <w:sz w:val="20"/>
                <w:vertAlign w:val="subscript"/>
              </w:rPr>
              <w:t>i,t</w:t>
            </w:r>
            <w:proofErr w:type="gramEnd"/>
          </w:p>
        </w:tc>
        <w:tc>
          <w:tcPr>
            <w:tcW w:w="410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06E772" w14:textId="0E6F30F8" w:rsidR="0089451B" w:rsidRPr="00FD75F1" w:rsidRDefault="0089451B" w:rsidP="00DA259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D75F1">
              <w:rPr>
                <w:rFonts w:ascii="Times New Roman" w:hAnsi="Times New Roman" w:cs="Times New Roman"/>
                <w:sz w:val="20"/>
              </w:rPr>
              <w:t xml:space="preserve">A dummy variable, equals </w:t>
            </w:r>
            <w:r w:rsidR="00187C52" w:rsidRPr="00FD75F1">
              <w:rPr>
                <w:rFonts w:ascii="Times New Roman" w:hAnsi="Times New Roman" w:cs="Times New Roman"/>
                <w:sz w:val="20"/>
              </w:rPr>
              <w:t>1</w:t>
            </w:r>
            <w:r w:rsidRPr="00FD75F1">
              <w:rPr>
                <w:rFonts w:ascii="Times New Roman" w:hAnsi="Times New Roman" w:cs="Times New Roman"/>
                <w:sz w:val="20"/>
              </w:rPr>
              <w:t xml:space="preserve"> if the firm has opportunistic capitalization in year t</w:t>
            </w:r>
            <w:r w:rsidR="00187C52" w:rsidRPr="00FD75F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D75F1">
              <w:rPr>
                <w:rFonts w:ascii="Times New Roman" w:hAnsi="Times New Roman" w:cs="Times New Roman"/>
                <w:sz w:val="20"/>
              </w:rPr>
              <w:t xml:space="preserve">and </w:t>
            </w:r>
            <w:r w:rsidR="00187C52" w:rsidRPr="00FD75F1">
              <w:rPr>
                <w:rFonts w:ascii="Times New Roman" w:hAnsi="Times New Roman" w:cs="Times New Roman"/>
                <w:sz w:val="20"/>
              </w:rPr>
              <w:t>0</w:t>
            </w:r>
            <w:r w:rsidRPr="00FD75F1">
              <w:rPr>
                <w:rFonts w:ascii="Times New Roman" w:hAnsi="Times New Roman" w:cs="Times New Roman"/>
                <w:sz w:val="20"/>
              </w:rPr>
              <w:t xml:space="preserve"> if the firm has normal capitalization.</w:t>
            </w:r>
          </w:p>
        </w:tc>
      </w:tr>
      <w:tr w:rsidR="00FD75F1" w:rsidRPr="00FD75F1" w14:paraId="5E9C25A1" w14:textId="77777777" w:rsidTr="0089451B">
        <w:trPr>
          <w:trHeight w:val="20"/>
        </w:trPr>
        <w:tc>
          <w:tcPr>
            <w:tcW w:w="89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521FBC" w14:textId="77777777" w:rsidR="0089451B" w:rsidRPr="00FD75F1" w:rsidRDefault="0089451B" w:rsidP="00DA2594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</w:rPr>
            </w:pPr>
            <w:proofErr w:type="spellStart"/>
            <w:proofErr w:type="gramStart"/>
            <w:r w:rsidRPr="00FD75F1">
              <w:rPr>
                <w:rFonts w:ascii="Times New Roman" w:hAnsi="Times New Roman" w:cs="Times New Roman"/>
                <w:i/>
                <w:iCs/>
                <w:sz w:val="20"/>
              </w:rPr>
              <w:t>NMC</w:t>
            </w:r>
            <w:r w:rsidRPr="00FD75F1">
              <w:rPr>
                <w:rFonts w:ascii="Times New Roman" w:hAnsi="Times New Roman" w:cs="Times New Roman"/>
                <w:i/>
                <w:iCs/>
                <w:sz w:val="20"/>
                <w:vertAlign w:val="subscript"/>
              </w:rPr>
              <w:t>i,t</w:t>
            </w:r>
            <w:proofErr w:type="spellEnd"/>
            <w:proofErr w:type="gramEnd"/>
          </w:p>
        </w:tc>
        <w:tc>
          <w:tcPr>
            <w:tcW w:w="410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098525A" w14:textId="77777777" w:rsidR="0089451B" w:rsidRPr="00FD75F1" w:rsidRDefault="0089451B" w:rsidP="00DA259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D75F1">
              <w:rPr>
                <w:rFonts w:ascii="Times New Roman" w:hAnsi="Times New Roman" w:cs="Times New Roman"/>
                <w:sz w:val="20"/>
              </w:rPr>
              <w:t>A dummy variable, takes the value of 1 if firm</w:t>
            </w:r>
            <w:r w:rsidRPr="00FD75F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i/>
                <w:sz w:val="20"/>
              </w:rPr>
              <w:t>i</w:t>
            </w:r>
            <w:proofErr w:type="spellEnd"/>
            <w:r w:rsidRPr="00FD75F1">
              <w:rPr>
                <w:rFonts w:ascii="Times New Roman" w:hAnsi="Times New Roman" w:cs="Times New Roman"/>
                <w:sz w:val="20"/>
              </w:rPr>
              <w:t xml:space="preserve"> has normal capitalization in year </w:t>
            </w:r>
            <w:r w:rsidRPr="00FD75F1">
              <w:rPr>
                <w:rFonts w:ascii="Times New Roman" w:hAnsi="Times New Roman" w:cs="Times New Roman"/>
                <w:i/>
                <w:sz w:val="20"/>
              </w:rPr>
              <w:t>t</w:t>
            </w:r>
            <w:r w:rsidRPr="00FD75F1">
              <w:rPr>
                <w:rFonts w:ascii="Times New Roman" w:hAnsi="Times New Roman" w:cs="Times New Roman"/>
                <w:sz w:val="20"/>
              </w:rPr>
              <w:t xml:space="preserve">, and 0 if firm </w:t>
            </w:r>
            <w:proofErr w:type="spellStart"/>
            <w:r w:rsidRPr="00FD75F1">
              <w:rPr>
                <w:rFonts w:ascii="Times New Roman" w:hAnsi="Times New Roman" w:cs="Times New Roman"/>
                <w:i/>
                <w:sz w:val="20"/>
              </w:rPr>
              <w:t>i</w:t>
            </w:r>
            <w:proofErr w:type="spellEnd"/>
            <w:r w:rsidRPr="00FD75F1">
              <w:rPr>
                <w:rFonts w:ascii="Times New Roman" w:hAnsi="Times New Roman" w:cs="Times New Roman"/>
                <w:sz w:val="20"/>
              </w:rPr>
              <w:t xml:space="preserve"> is in the expense sample in year </w:t>
            </w:r>
            <w:r w:rsidRPr="00FD75F1">
              <w:rPr>
                <w:rFonts w:ascii="Times New Roman" w:hAnsi="Times New Roman" w:cs="Times New Roman"/>
                <w:i/>
                <w:sz w:val="20"/>
              </w:rPr>
              <w:t>t.</w:t>
            </w:r>
          </w:p>
        </w:tc>
      </w:tr>
      <w:tr w:rsidR="00FD75F1" w:rsidRPr="00FD75F1" w14:paraId="45D53410" w14:textId="77777777" w:rsidTr="0089451B">
        <w:trPr>
          <w:trHeight w:val="20"/>
        </w:trPr>
        <w:tc>
          <w:tcPr>
            <w:tcW w:w="89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75C70A6" w14:textId="77777777" w:rsidR="0089451B" w:rsidRPr="00FD75F1" w:rsidRDefault="0089451B" w:rsidP="00DA2594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</w:rPr>
            </w:pPr>
            <w:proofErr w:type="spellStart"/>
            <w:proofErr w:type="gramStart"/>
            <w:r w:rsidRPr="00FD75F1">
              <w:rPr>
                <w:rFonts w:ascii="Times New Roman" w:hAnsi="Times New Roman" w:cs="Times New Roman"/>
                <w:i/>
                <w:iCs/>
                <w:sz w:val="20"/>
              </w:rPr>
              <w:t>Size</w:t>
            </w:r>
            <w:r w:rsidRPr="00FD75F1">
              <w:rPr>
                <w:rFonts w:ascii="Times New Roman" w:hAnsi="Times New Roman" w:cs="Times New Roman"/>
                <w:i/>
                <w:iCs/>
                <w:sz w:val="20"/>
                <w:vertAlign w:val="subscript"/>
              </w:rPr>
              <w:t>i,t</w:t>
            </w:r>
            <w:proofErr w:type="spellEnd"/>
            <w:proofErr w:type="gramEnd"/>
          </w:p>
        </w:tc>
        <w:tc>
          <w:tcPr>
            <w:tcW w:w="410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05A5E02" w14:textId="5AB651D7" w:rsidR="0089451B" w:rsidRPr="00FD75F1" w:rsidRDefault="0089451B" w:rsidP="00DA259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D75F1">
              <w:rPr>
                <w:rFonts w:ascii="Times New Roman" w:hAnsi="Times New Roman" w:cs="Times New Roman"/>
                <w:sz w:val="20"/>
              </w:rPr>
              <w:t xml:space="preserve">Firm size, calculated as the logarithm of the total asset in year </w:t>
            </w:r>
            <w:r w:rsidRPr="00FD75F1">
              <w:rPr>
                <w:rFonts w:ascii="Times New Roman" w:hAnsi="Times New Roman" w:cs="Times New Roman"/>
                <w:i/>
                <w:iCs/>
                <w:sz w:val="20"/>
              </w:rPr>
              <w:t>t</w:t>
            </w:r>
            <w:r w:rsidR="00187C52" w:rsidRPr="00FD75F1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FD75F1" w:rsidRPr="00FD75F1" w14:paraId="08319022" w14:textId="77777777" w:rsidTr="0089451B">
        <w:trPr>
          <w:trHeight w:val="20"/>
        </w:trPr>
        <w:tc>
          <w:tcPr>
            <w:tcW w:w="895" w:type="pct"/>
            <w:shd w:val="clear" w:color="auto" w:fill="auto"/>
            <w:vAlign w:val="center"/>
            <w:hideMark/>
          </w:tcPr>
          <w:p w14:paraId="1F3B32A4" w14:textId="77777777" w:rsidR="0089451B" w:rsidRPr="00FD75F1" w:rsidRDefault="0089451B" w:rsidP="00DA2594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</w:rPr>
            </w:pPr>
            <w:proofErr w:type="spellStart"/>
            <w:proofErr w:type="gramStart"/>
            <w:r w:rsidRPr="00FD75F1">
              <w:rPr>
                <w:rFonts w:ascii="Times New Roman" w:hAnsi="Times New Roman" w:cs="Times New Roman"/>
                <w:i/>
                <w:iCs/>
                <w:sz w:val="20"/>
              </w:rPr>
              <w:t>Lev</w:t>
            </w:r>
            <w:r w:rsidRPr="00FD75F1">
              <w:rPr>
                <w:rFonts w:ascii="Times New Roman" w:hAnsi="Times New Roman" w:cs="Times New Roman"/>
                <w:i/>
                <w:iCs/>
                <w:sz w:val="20"/>
                <w:vertAlign w:val="subscript"/>
              </w:rPr>
              <w:t>i,t</w:t>
            </w:r>
            <w:proofErr w:type="spellEnd"/>
            <w:proofErr w:type="gramEnd"/>
          </w:p>
        </w:tc>
        <w:tc>
          <w:tcPr>
            <w:tcW w:w="4105" w:type="pct"/>
            <w:shd w:val="clear" w:color="auto" w:fill="auto"/>
            <w:vAlign w:val="center"/>
            <w:hideMark/>
          </w:tcPr>
          <w:p w14:paraId="3D12757A" w14:textId="1F6E8457" w:rsidR="0089451B" w:rsidRPr="00FD75F1" w:rsidRDefault="0089451B" w:rsidP="00DA259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D75F1">
              <w:rPr>
                <w:rFonts w:ascii="Times New Roman" w:hAnsi="Times New Roman" w:cs="Times New Roman"/>
                <w:sz w:val="20"/>
              </w:rPr>
              <w:t xml:space="preserve">Leverage, calculated as liability divided by total assets in year </w:t>
            </w:r>
            <w:r w:rsidRPr="00FD75F1">
              <w:rPr>
                <w:rFonts w:ascii="Times New Roman" w:hAnsi="Times New Roman" w:cs="Times New Roman"/>
                <w:i/>
                <w:iCs/>
                <w:sz w:val="20"/>
              </w:rPr>
              <w:t>t</w:t>
            </w:r>
            <w:r w:rsidR="00187C52" w:rsidRPr="00FD75F1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FD75F1" w:rsidRPr="00FD75F1" w14:paraId="67B0DFF9" w14:textId="77777777" w:rsidTr="0089451B">
        <w:trPr>
          <w:trHeight w:val="20"/>
        </w:trPr>
        <w:tc>
          <w:tcPr>
            <w:tcW w:w="895" w:type="pct"/>
            <w:shd w:val="clear" w:color="auto" w:fill="auto"/>
            <w:vAlign w:val="center"/>
            <w:hideMark/>
          </w:tcPr>
          <w:p w14:paraId="70730E6A" w14:textId="77777777" w:rsidR="0089451B" w:rsidRPr="00FD75F1" w:rsidRDefault="0089451B" w:rsidP="00DA2594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</w:rPr>
            </w:pPr>
            <w:proofErr w:type="spellStart"/>
            <w:proofErr w:type="gramStart"/>
            <w:r w:rsidRPr="00FD75F1">
              <w:rPr>
                <w:rFonts w:ascii="Times New Roman" w:hAnsi="Times New Roman" w:cs="Times New Roman"/>
                <w:i/>
                <w:iCs/>
                <w:sz w:val="20"/>
              </w:rPr>
              <w:t>MB</w:t>
            </w:r>
            <w:r w:rsidRPr="00FD75F1">
              <w:rPr>
                <w:rFonts w:ascii="Times New Roman" w:hAnsi="Times New Roman" w:cs="Times New Roman"/>
                <w:i/>
                <w:iCs/>
                <w:sz w:val="20"/>
                <w:vertAlign w:val="subscript"/>
              </w:rPr>
              <w:t>i,t</w:t>
            </w:r>
            <w:proofErr w:type="spellEnd"/>
            <w:proofErr w:type="gramEnd"/>
          </w:p>
        </w:tc>
        <w:tc>
          <w:tcPr>
            <w:tcW w:w="4105" w:type="pct"/>
            <w:shd w:val="clear" w:color="auto" w:fill="auto"/>
            <w:vAlign w:val="center"/>
            <w:hideMark/>
          </w:tcPr>
          <w:p w14:paraId="08FCDCD7" w14:textId="0BAAAB03" w:rsidR="0089451B" w:rsidRPr="00FD75F1" w:rsidRDefault="0089451B" w:rsidP="00DA259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D75F1">
              <w:rPr>
                <w:rFonts w:ascii="Times New Roman" w:hAnsi="Times New Roman" w:cs="Times New Roman"/>
                <w:sz w:val="20"/>
              </w:rPr>
              <w:t xml:space="preserve">The logarithm of the ratio of market value to </w:t>
            </w:r>
            <w:r w:rsidR="00187C52" w:rsidRPr="00FD75F1">
              <w:rPr>
                <w:rFonts w:ascii="Times New Roman" w:hAnsi="Times New Roman" w:cs="Times New Roman"/>
                <w:sz w:val="20"/>
              </w:rPr>
              <w:t>b</w:t>
            </w:r>
            <w:r w:rsidRPr="00FD75F1">
              <w:rPr>
                <w:rFonts w:ascii="Times New Roman" w:hAnsi="Times New Roman" w:cs="Times New Roman"/>
                <w:sz w:val="20"/>
              </w:rPr>
              <w:t xml:space="preserve">ook value in year </w:t>
            </w:r>
            <w:r w:rsidRPr="00FD75F1">
              <w:rPr>
                <w:rFonts w:ascii="Times New Roman" w:hAnsi="Times New Roman" w:cs="Times New Roman"/>
                <w:i/>
                <w:iCs/>
                <w:sz w:val="20"/>
              </w:rPr>
              <w:t>t</w:t>
            </w:r>
            <w:r w:rsidRPr="00FD75F1">
              <w:rPr>
                <w:rFonts w:ascii="Times New Roman" w:hAnsi="Times New Roman" w:cs="Times New Roman"/>
                <w:sz w:val="20"/>
              </w:rPr>
              <w:t xml:space="preserve">. The market value is calculated as the closing price of the final trading day in year </w:t>
            </w:r>
            <w:r w:rsidRPr="00FD75F1">
              <w:rPr>
                <w:rFonts w:ascii="Times New Roman" w:hAnsi="Times New Roman" w:cs="Times New Roman"/>
                <w:i/>
                <w:iCs/>
                <w:sz w:val="20"/>
              </w:rPr>
              <w:t>t</w:t>
            </w:r>
            <w:r w:rsidRPr="00FD75F1">
              <w:rPr>
                <w:rFonts w:ascii="Times New Roman" w:hAnsi="Times New Roman" w:cs="Times New Roman"/>
                <w:sz w:val="20"/>
              </w:rPr>
              <w:t xml:space="preserve"> multiplied by the total number of shares issued by firm </w:t>
            </w:r>
            <w:proofErr w:type="spellStart"/>
            <w:r w:rsidRPr="00FD75F1">
              <w:rPr>
                <w:rFonts w:ascii="Times New Roman" w:hAnsi="Times New Roman" w:cs="Times New Roman"/>
                <w:i/>
                <w:iCs/>
                <w:sz w:val="20"/>
              </w:rPr>
              <w:t>i</w:t>
            </w:r>
            <w:proofErr w:type="spellEnd"/>
            <w:r w:rsidRPr="00FD75F1">
              <w:rPr>
                <w:rFonts w:ascii="Times New Roman" w:hAnsi="Times New Roman" w:cs="Times New Roman"/>
                <w:sz w:val="20"/>
              </w:rPr>
              <w:t xml:space="preserve"> in year </w:t>
            </w:r>
            <w:r w:rsidRPr="00FD75F1">
              <w:rPr>
                <w:rFonts w:ascii="Times New Roman" w:hAnsi="Times New Roman" w:cs="Times New Roman"/>
                <w:i/>
                <w:iCs/>
                <w:sz w:val="20"/>
              </w:rPr>
              <w:t>t</w:t>
            </w:r>
            <w:r w:rsidRPr="00FD75F1">
              <w:rPr>
                <w:rFonts w:ascii="Times New Roman" w:hAnsi="Times New Roman" w:cs="Times New Roman"/>
                <w:sz w:val="20"/>
              </w:rPr>
              <w:t xml:space="preserve">. The book value is the equity value of firm </w:t>
            </w:r>
            <w:proofErr w:type="spellStart"/>
            <w:r w:rsidRPr="00FD75F1">
              <w:rPr>
                <w:rFonts w:ascii="Times New Roman" w:hAnsi="Times New Roman" w:cs="Times New Roman"/>
                <w:i/>
                <w:iCs/>
                <w:sz w:val="20"/>
              </w:rPr>
              <w:t>i</w:t>
            </w:r>
            <w:proofErr w:type="spellEnd"/>
            <w:r w:rsidRPr="00FD75F1">
              <w:rPr>
                <w:rFonts w:ascii="Times New Roman" w:hAnsi="Times New Roman" w:cs="Times New Roman"/>
                <w:sz w:val="20"/>
              </w:rPr>
              <w:t xml:space="preserve"> in year </w:t>
            </w:r>
            <w:r w:rsidRPr="00FD75F1">
              <w:rPr>
                <w:rFonts w:ascii="Times New Roman" w:hAnsi="Times New Roman" w:cs="Times New Roman"/>
                <w:i/>
                <w:iCs/>
                <w:sz w:val="20"/>
              </w:rPr>
              <w:t>t</w:t>
            </w:r>
            <w:r w:rsidRPr="00FD75F1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FD75F1" w:rsidRPr="00FD75F1" w14:paraId="223FF039" w14:textId="77777777" w:rsidTr="0089451B">
        <w:trPr>
          <w:trHeight w:val="20"/>
        </w:trPr>
        <w:tc>
          <w:tcPr>
            <w:tcW w:w="895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078D3252" w14:textId="77777777" w:rsidR="0089451B" w:rsidRPr="00FD75F1" w:rsidRDefault="0089451B" w:rsidP="00DA2594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</w:rPr>
            </w:pPr>
            <w:proofErr w:type="spellStart"/>
            <w:proofErr w:type="gramStart"/>
            <w:r w:rsidRPr="00FD75F1">
              <w:rPr>
                <w:rFonts w:ascii="Times New Roman" w:hAnsi="Times New Roman" w:cs="Times New Roman"/>
                <w:i/>
                <w:iCs/>
                <w:sz w:val="20"/>
              </w:rPr>
              <w:t>Growth</w:t>
            </w:r>
            <w:r w:rsidRPr="00FD75F1">
              <w:rPr>
                <w:rFonts w:ascii="Times New Roman" w:hAnsi="Times New Roman" w:cs="Times New Roman"/>
                <w:i/>
                <w:iCs/>
                <w:sz w:val="20"/>
                <w:vertAlign w:val="subscript"/>
              </w:rPr>
              <w:t>i,t</w:t>
            </w:r>
            <w:proofErr w:type="spellEnd"/>
            <w:proofErr w:type="gramEnd"/>
          </w:p>
        </w:tc>
        <w:tc>
          <w:tcPr>
            <w:tcW w:w="4105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4ED0259E" w14:textId="77777777" w:rsidR="0089451B" w:rsidRPr="00FD75F1" w:rsidRDefault="0089451B" w:rsidP="00DA259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D75F1">
              <w:rPr>
                <w:rFonts w:ascii="Times New Roman" w:hAnsi="Times New Roman" w:cs="Times New Roman"/>
                <w:sz w:val="20"/>
              </w:rPr>
              <w:t>The growth rate of the total asset in year t. We use the logarithm of 1 plus the total asset growth rate ((</w:t>
            </w:r>
            <w:proofErr w:type="spellStart"/>
            <w:proofErr w:type="gramStart"/>
            <w:r w:rsidRPr="00FD75F1">
              <w:rPr>
                <w:rFonts w:ascii="Times New Roman" w:hAnsi="Times New Roman" w:cs="Times New Roman"/>
                <w:sz w:val="20"/>
              </w:rPr>
              <w:t>TA</w:t>
            </w:r>
            <w:r w:rsidRPr="00FD75F1">
              <w:rPr>
                <w:rFonts w:ascii="Times New Roman" w:hAnsi="Times New Roman" w:cs="Times New Roman"/>
                <w:sz w:val="20"/>
                <w:vertAlign w:val="subscript"/>
              </w:rPr>
              <w:t>i,t</w:t>
            </w:r>
            <w:proofErr w:type="spellEnd"/>
            <w:proofErr w:type="gramEnd"/>
            <w:r w:rsidRPr="00FD75F1">
              <w:rPr>
                <w:rFonts w:ascii="Times New Roman" w:hAnsi="Times New Roman" w:cs="Times New Roman"/>
                <w:sz w:val="20"/>
                <w:vertAlign w:val="subscript"/>
              </w:rPr>
              <w:t xml:space="preserve"> </w:t>
            </w:r>
            <w:r w:rsidRPr="00FD75F1">
              <w:rPr>
                <w:rFonts w:ascii="Times New Roman" w:hAnsi="Times New Roman" w:cs="Times New Roman"/>
                <w:sz w:val="20"/>
              </w:rPr>
              <w:t>– TA</w:t>
            </w:r>
            <w:r w:rsidRPr="00FD75F1">
              <w:rPr>
                <w:rFonts w:ascii="Times New Roman" w:hAnsi="Times New Roman" w:cs="Times New Roman"/>
                <w:sz w:val="20"/>
                <w:vertAlign w:val="subscript"/>
              </w:rPr>
              <w:t>i,t-1</w:t>
            </w:r>
            <w:r w:rsidRPr="00FD75F1">
              <w:rPr>
                <w:rFonts w:ascii="Times New Roman" w:hAnsi="Times New Roman" w:cs="Times New Roman"/>
                <w:sz w:val="20"/>
              </w:rPr>
              <w:t>)/TA</w:t>
            </w:r>
            <w:r w:rsidRPr="00FD75F1">
              <w:rPr>
                <w:rFonts w:ascii="Times New Roman" w:hAnsi="Times New Roman" w:cs="Times New Roman"/>
                <w:sz w:val="20"/>
                <w:vertAlign w:val="subscript"/>
              </w:rPr>
              <w:t>i,t-1</w:t>
            </w:r>
            <w:r w:rsidRPr="00FD75F1">
              <w:rPr>
                <w:rFonts w:ascii="Times New Roman" w:hAnsi="Times New Roman" w:cs="Times New Roman"/>
                <w:sz w:val="20"/>
              </w:rPr>
              <w:t>) as our variable.</w:t>
            </w:r>
          </w:p>
        </w:tc>
      </w:tr>
      <w:tr w:rsidR="00FD75F1" w:rsidRPr="00FD75F1" w14:paraId="10BE3719" w14:textId="77777777" w:rsidTr="00D23ABD">
        <w:trPr>
          <w:trHeight w:val="20"/>
        </w:trPr>
        <w:tc>
          <w:tcPr>
            <w:tcW w:w="89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9EF7BAC" w14:textId="77777777" w:rsidR="0089451B" w:rsidRPr="00FD75F1" w:rsidRDefault="0089451B" w:rsidP="00DA2594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</w:rPr>
            </w:pPr>
            <w:proofErr w:type="spellStart"/>
            <w:proofErr w:type="gramStart"/>
            <w:r w:rsidRPr="00FD75F1">
              <w:rPr>
                <w:rFonts w:ascii="Times New Roman" w:hAnsi="Times New Roman" w:cs="Times New Roman"/>
                <w:i/>
                <w:iCs/>
                <w:sz w:val="20"/>
              </w:rPr>
              <w:t>RDint</w:t>
            </w:r>
            <w:r w:rsidRPr="00FD75F1">
              <w:rPr>
                <w:rFonts w:ascii="Times New Roman" w:hAnsi="Times New Roman" w:cs="Times New Roman"/>
                <w:i/>
                <w:iCs/>
                <w:sz w:val="20"/>
                <w:vertAlign w:val="subscript"/>
              </w:rPr>
              <w:t>i,t</w:t>
            </w:r>
            <w:proofErr w:type="spellEnd"/>
            <w:proofErr w:type="gramEnd"/>
          </w:p>
        </w:tc>
        <w:tc>
          <w:tcPr>
            <w:tcW w:w="410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3683B78" w14:textId="31926412" w:rsidR="0089451B" w:rsidRPr="00FD75F1" w:rsidRDefault="0089451B" w:rsidP="00DA259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D75F1">
              <w:rPr>
                <w:rFonts w:ascii="Times New Roman" w:hAnsi="Times New Roman" w:cs="Times New Roman"/>
                <w:sz w:val="20"/>
              </w:rPr>
              <w:t xml:space="preserve">R&amp;D intensity in year </w:t>
            </w:r>
            <w:r w:rsidRPr="00FD75F1">
              <w:rPr>
                <w:rFonts w:ascii="Times New Roman" w:hAnsi="Times New Roman" w:cs="Times New Roman"/>
                <w:i/>
                <w:iCs/>
                <w:sz w:val="20"/>
              </w:rPr>
              <w:t>t</w:t>
            </w:r>
            <w:r w:rsidRPr="00FD75F1">
              <w:rPr>
                <w:rFonts w:ascii="Times New Roman" w:hAnsi="Times New Roman" w:cs="Times New Roman"/>
                <w:sz w:val="20"/>
              </w:rPr>
              <w:t xml:space="preserve">, where R&amp;D intensity is measured as the total R&amp;D expenditure divided by the total asset in year </w:t>
            </w:r>
            <w:r w:rsidRPr="00FD75F1">
              <w:rPr>
                <w:rFonts w:ascii="Times New Roman" w:hAnsi="Times New Roman" w:cs="Times New Roman"/>
                <w:i/>
                <w:iCs/>
                <w:sz w:val="20"/>
              </w:rPr>
              <w:t>t</w:t>
            </w:r>
            <w:r w:rsidRPr="00FD75F1">
              <w:rPr>
                <w:rFonts w:ascii="Times New Roman" w:hAnsi="Times New Roman" w:cs="Times New Roman"/>
                <w:sz w:val="20"/>
              </w:rPr>
              <w:t>. The total R&amp;D expenditure is equal to the sum of the capitalized and the expensed R&amp;D</w:t>
            </w:r>
            <w:r w:rsidR="0066719D" w:rsidRPr="00FD75F1">
              <w:rPr>
                <w:rFonts w:ascii="Times New Roman" w:hAnsi="Times New Roman" w:cs="Times New Roman"/>
                <w:sz w:val="20"/>
              </w:rPr>
              <w:t xml:space="preserve"> costs</w:t>
            </w:r>
            <w:r w:rsidRPr="00FD75F1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FD75F1" w:rsidRPr="00FD75F1" w14:paraId="1FC885C1" w14:textId="77777777" w:rsidTr="00D23ABD">
        <w:trPr>
          <w:trHeight w:val="20"/>
        </w:trPr>
        <w:tc>
          <w:tcPr>
            <w:tcW w:w="89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C547F04" w14:textId="77777777" w:rsidR="0089451B" w:rsidRPr="00FD75F1" w:rsidRDefault="0089451B" w:rsidP="00DA2594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</w:rPr>
            </w:pPr>
            <w:proofErr w:type="spellStart"/>
            <w:proofErr w:type="gramStart"/>
            <w:r w:rsidRPr="00FD75F1">
              <w:rPr>
                <w:rFonts w:ascii="Times New Roman" w:hAnsi="Times New Roman" w:cs="Times New Roman"/>
                <w:i/>
                <w:iCs/>
                <w:sz w:val="20"/>
              </w:rPr>
              <w:t>MBE</w:t>
            </w:r>
            <w:r w:rsidRPr="00FD75F1">
              <w:rPr>
                <w:rFonts w:ascii="Times New Roman" w:hAnsi="Times New Roman" w:cs="Times New Roman"/>
                <w:i/>
                <w:iCs/>
                <w:sz w:val="20"/>
                <w:vertAlign w:val="subscript"/>
              </w:rPr>
              <w:t>i,t</w:t>
            </w:r>
            <w:proofErr w:type="spellEnd"/>
            <w:proofErr w:type="gramEnd"/>
          </w:p>
        </w:tc>
        <w:tc>
          <w:tcPr>
            <w:tcW w:w="410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999A7E" w14:textId="0A73BBD2" w:rsidR="0089451B" w:rsidRPr="00FD75F1" w:rsidRDefault="0089451B" w:rsidP="00DA259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D75F1">
              <w:rPr>
                <w:rFonts w:ascii="Times New Roman" w:hAnsi="Times New Roman" w:cs="Times New Roman"/>
                <w:sz w:val="20"/>
              </w:rPr>
              <w:t xml:space="preserve">A dummy variable, equals 1 if the change in net income before R&amp;D and extraordinary items is less than 0 and </w:t>
            </w:r>
            <w:r w:rsidR="0066719D" w:rsidRPr="00FD75F1">
              <w:rPr>
                <w:rFonts w:ascii="Times New Roman" w:hAnsi="Times New Roman" w:cs="Times New Roman"/>
                <w:sz w:val="20"/>
              </w:rPr>
              <w:t>0</w:t>
            </w:r>
            <w:r w:rsidRPr="00FD75F1">
              <w:rPr>
                <w:rFonts w:ascii="Times New Roman" w:hAnsi="Times New Roman" w:cs="Times New Roman"/>
                <w:sz w:val="20"/>
              </w:rPr>
              <w:t xml:space="preserve"> otherwise. </w:t>
            </w:r>
          </w:p>
        </w:tc>
      </w:tr>
      <w:tr w:rsidR="00FD75F1" w:rsidRPr="00FD75F1" w14:paraId="5844D7FB" w14:textId="77777777" w:rsidTr="0089451B">
        <w:trPr>
          <w:trHeight w:val="20"/>
        </w:trPr>
        <w:tc>
          <w:tcPr>
            <w:tcW w:w="89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ABFF682" w14:textId="77777777" w:rsidR="0089451B" w:rsidRPr="00FD75F1" w:rsidRDefault="0089451B" w:rsidP="00DA2594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D75F1">
              <w:rPr>
                <w:rFonts w:ascii="Times New Roman" w:hAnsi="Times New Roman" w:cs="Times New Roman"/>
                <w:i/>
                <w:iCs/>
                <w:sz w:val="20"/>
              </w:rPr>
              <w:t>MBE1</w:t>
            </w:r>
            <w:proofErr w:type="gramStart"/>
            <w:r w:rsidRPr="00FD75F1">
              <w:rPr>
                <w:rFonts w:ascii="Times New Roman" w:hAnsi="Times New Roman" w:cs="Times New Roman"/>
                <w:i/>
                <w:iCs/>
                <w:sz w:val="20"/>
                <w:vertAlign w:val="subscript"/>
              </w:rPr>
              <w:t>i,t</w:t>
            </w:r>
            <w:proofErr w:type="gramEnd"/>
          </w:p>
        </w:tc>
        <w:tc>
          <w:tcPr>
            <w:tcW w:w="410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60C3CF" w14:textId="422116C8" w:rsidR="0089451B" w:rsidRPr="00FD75F1" w:rsidRDefault="0089451B" w:rsidP="00DA259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75F1">
              <w:rPr>
                <w:rFonts w:ascii="Times New Roman" w:hAnsi="Times New Roman" w:cs="Times New Roman"/>
                <w:sz w:val="20"/>
                <w:szCs w:val="20"/>
              </w:rPr>
              <w:t xml:space="preserve">A dummy variable, equals 1 if the net income before R&amp;D </w:t>
            </w:r>
            <w:r w:rsidRPr="00FD75F1">
              <w:rPr>
                <w:rFonts w:ascii="Times New Roman" w:hAnsi="Times New Roman" w:cs="Times New Roman"/>
                <w:sz w:val="20"/>
              </w:rPr>
              <w:t>and extraordinary</w:t>
            </w:r>
            <w:r w:rsidRPr="00FD75F1">
              <w:rPr>
                <w:rFonts w:ascii="Times New Roman" w:hAnsi="Times New Roman" w:cs="Times New Roman"/>
                <w:sz w:val="20"/>
                <w:szCs w:val="20"/>
              </w:rPr>
              <w:t xml:space="preserve"> items is less than 0</w:t>
            </w:r>
            <w:r w:rsidR="0066719D" w:rsidRPr="00FD75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75F1">
              <w:rPr>
                <w:rFonts w:ascii="Times New Roman" w:hAnsi="Times New Roman" w:cs="Times New Roman"/>
                <w:sz w:val="20"/>
                <w:szCs w:val="20"/>
              </w:rPr>
              <w:t xml:space="preserve">and </w:t>
            </w:r>
            <w:r w:rsidR="0066719D" w:rsidRPr="00FD75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D75F1">
              <w:rPr>
                <w:rFonts w:ascii="Times New Roman" w:hAnsi="Times New Roman" w:cs="Times New Roman"/>
                <w:sz w:val="20"/>
                <w:szCs w:val="20"/>
              </w:rPr>
              <w:t xml:space="preserve"> otherwise.</w:t>
            </w:r>
          </w:p>
        </w:tc>
      </w:tr>
      <w:tr w:rsidR="00FD75F1" w:rsidRPr="00FD75F1" w14:paraId="160485A7" w14:textId="77777777" w:rsidTr="0089451B">
        <w:trPr>
          <w:trHeight w:val="20"/>
        </w:trPr>
        <w:tc>
          <w:tcPr>
            <w:tcW w:w="89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41E94B8" w14:textId="77777777" w:rsidR="0089451B" w:rsidRPr="00FD75F1" w:rsidRDefault="0089451B" w:rsidP="00DA2594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bookmarkStart w:id="1" w:name="_Hlk172579814"/>
            <w:proofErr w:type="spellStart"/>
            <w:proofErr w:type="gramStart"/>
            <w:r w:rsidRPr="00FD75F1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P</w:t>
            </w:r>
            <w:r w:rsidRPr="00FD75F1">
              <w:rPr>
                <w:rFonts w:ascii="Times New Roman" w:hAnsi="Times New Roman" w:cs="Times New Roman"/>
                <w:i/>
                <w:sz w:val="20"/>
                <w:szCs w:val="20"/>
              </w:rPr>
              <w:t>PE</w:t>
            </w:r>
            <w:r w:rsidRPr="00FD75F1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bscript"/>
              </w:rPr>
              <w:t>i,t</w:t>
            </w:r>
            <w:proofErr w:type="spellEnd"/>
            <w:proofErr w:type="gramEnd"/>
          </w:p>
        </w:tc>
        <w:tc>
          <w:tcPr>
            <w:tcW w:w="410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3C3D33" w14:textId="7EC31C66" w:rsidR="0089451B" w:rsidRPr="00FD75F1" w:rsidRDefault="0089451B" w:rsidP="00DA259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75F1">
              <w:rPr>
                <w:rFonts w:ascii="Times New Roman" w:hAnsi="Times New Roman" w:cs="Times New Roman"/>
                <w:sz w:val="20"/>
                <w:szCs w:val="20"/>
              </w:rPr>
              <w:t xml:space="preserve">The ratio of </w:t>
            </w:r>
            <w:r w:rsidR="0066719D" w:rsidRPr="00FD75F1">
              <w:rPr>
                <w:rFonts w:ascii="Times New Roman" w:hAnsi="Times New Roman" w:cs="Times New Roman"/>
                <w:iCs/>
                <w:sz w:val="20"/>
                <w:szCs w:val="20"/>
              </w:rPr>
              <w:t>p</w:t>
            </w:r>
            <w:r w:rsidRPr="00FD75F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roperty, </w:t>
            </w:r>
            <w:r w:rsidR="0066719D" w:rsidRPr="00FD75F1">
              <w:rPr>
                <w:rFonts w:ascii="Times New Roman" w:hAnsi="Times New Roman" w:cs="Times New Roman"/>
                <w:iCs/>
                <w:sz w:val="20"/>
                <w:szCs w:val="20"/>
              </w:rPr>
              <w:t>p</w:t>
            </w:r>
            <w:r w:rsidRPr="00FD75F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lant and equipment to the total assets for firm </w:t>
            </w:r>
            <w:proofErr w:type="spellStart"/>
            <w:r w:rsidRPr="00FD75F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</w:t>
            </w:r>
            <w:proofErr w:type="spellEnd"/>
            <w:r w:rsidRPr="00FD75F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in year </w:t>
            </w:r>
            <w:r w:rsidRPr="00FD75F1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  <w:r w:rsidRPr="00FD75F1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</w:tr>
      <w:bookmarkEnd w:id="1"/>
      <w:tr w:rsidR="00FD75F1" w:rsidRPr="00FD75F1" w14:paraId="755AF530" w14:textId="77777777" w:rsidTr="0089451B">
        <w:trPr>
          <w:trHeight w:val="20"/>
        </w:trPr>
        <w:tc>
          <w:tcPr>
            <w:tcW w:w="89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6880D04" w14:textId="77777777" w:rsidR="0089451B" w:rsidRPr="00FD75F1" w:rsidRDefault="0089451B" w:rsidP="00DA2594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proofErr w:type="gramStart"/>
            <w:r w:rsidRPr="00FD75F1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H</w:t>
            </w:r>
            <w:r w:rsidRPr="00FD75F1">
              <w:rPr>
                <w:rFonts w:ascii="Times New Roman" w:hAnsi="Times New Roman" w:cs="Times New Roman"/>
                <w:i/>
                <w:sz w:val="20"/>
                <w:szCs w:val="20"/>
              </w:rPr>
              <w:t>HI</w:t>
            </w:r>
            <w:r w:rsidRPr="00FD75F1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bscript"/>
              </w:rPr>
              <w:t>i,t</w:t>
            </w:r>
            <w:proofErr w:type="spellEnd"/>
            <w:proofErr w:type="gramEnd"/>
          </w:p>
        </w:tc>
        <w:tc>
          <w:tcPr>
            <w:tcW w:w="410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6838E1" w14:textId="0733846E" w:rsidR="0089451B" w:rsidRPr="00FD75F1" w:rsidRDefault="0089451B" w:rsidP="00DA259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75F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Herfindahl index of industry </w:t>
            </w:r>
            <w:r w:rsidRPr="00FD75F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</w:t>
            </w:r>
            <w:r w:rsidRPr="00FD75F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to which firm </w:t>
            </w:r>
            <w:proofErr w:type="spellStart"/>
            <w:r w:rsidRPr="00FD75F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</w:t>
            </w:r>
            <w:proofErr w:type="spellEnd"/>
            <w:r w:rsidRPr="00FD75F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belongs in year</w:t>
            </w:r>
            <w:r w:rsidRPr="00FD75F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</w:t>
            </w:r>
            <w:r w:rsidRPr="00FD75F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="0066719D" w:rsidRPr="00FD75F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calculated as the sum of the squared market shares of firms within industry </w:t>
            </w:r>
            <w:r w:rsidR="0066719D" w:rsidRPr="00FD75F1">
              <w:rPr>
                <w:rFonts w:ascii="Times New Roman" w:hAnsi="Times New Roman" w:cs="Times New Roman"/>
                <w:i/>
                <w:sz w:val="20"/>
                <w:szCs w:val="20"/>
              </w:rPr>
              <w:t>j</w:t>
            </w:r>
            <w:r w:rsidR="0066719D" w:rsidRPr="00FD75F1">
              <w:rPr>
                <w:rFonts w:ascii="Times New Roman" w:hAnsi="Times New Roman" w:cs="Times New Roman"/>
                <w:iCs/>
                <w:sz w:val="20"/>
                <w:szCs w:val="20"/>
              </w:rPr>
              <w:t>, where market share is defined as each firm’s sales revenue divided by total industry sales.</w:t>
            </w:r>
          </w:p>
        </w:tc>
      </w:tr>
      <w:tr w:rsidR="00FD75F1" w:rsidRPr="00FD75F1" w14:paraId="782FAE92" w14:textId="77777777" w:rsidTr="0089451B">
        <w:trPr>
          <w:trHeight w:val="20"/>
        </w:trPr>
        <w:tc>
          <w:tcPr>
            <w:tcW w:w="89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D7D308B" w14:textId="77777777" w:rsidR="0089451B" w:rsidRPr="00FD75F1" w:rsidRDefault="0089451B" w:rsidP="00DA2594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bookmarkStart w:id="2" w:name="OLE_LINK47"/>
            <w:proofErr w:type="spellStart"/>
            <w:proofErr w:type="gramStart"/>
            <w:r w:rsidRPr="00FD75F1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C</w:t>
            </w:r>
            <w:r w:rsidRPr="00FD75F1">
              <w:rPr>
                <w:rFonts w:ascii="Times New Roman" w:hAnsi="Times New Roman" w:cs="Times New Roman"/>
                <w:i/>
                <w:sz w:val="20"/>
                <w:szCs w:val="20"/>
              </w:rPr>
              <w:t>apitalexp</w:t>
            </w:r>
            <w:r w:rsidRPr="00FD75F1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bscript"/>
              </w:rPr>
              <w:t>i,t</w:t>
            </w:r>
            <w:bookmarkEnd w:id="2"/>
            <w:proofErr w:type="spellEnd"/>
            <w:proofErr w:type="gramEnd"/>
          </w:p>
        </w:tc>
        <w:tc>
          <w:tcPr>
            <w:tcW w:w="410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BC12F3" w14:textId="77777777" w:rsidR="0089451B" w:rsidRPr="00FD75F1" w:rsidRDefault="0089451B" w:rsidP="00DA259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75F1">
              <w:rPr>
                <w:rFonts w:ascii="Times New Roman" w:hAnsi="Times New Roman" w:cs="Times New Roman"/>
                <w:sz w:val="20"/>
                <w:szCs w:val="20"/>
              </w:rPr>
              <w:t xml:space="preserve">Capital expenditure, which is the ratio of </w:t>
            </w:r>
            <w:r w:rsidRPr="00FD75F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capital expenditure to the total assets for firm </w:t>
            </w:r>
            <w:proofErr w:type="spellStart"/>
            <w:r w:rsidRPr="00FD75F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</w:t>
            </w:r>
            <w:proofErr w:type="spellEnd"/>
            <w:r w:rsidRPr="00FD75F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in year </w:t>
            </w:r>
            <w:r w:rsidRPr="00FD75F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t.</w:t>
            </w:r>
          </w:p>
        </w:tc>
      </w:tr>
      <w:tr w:rsidR="00FD75F1" w:rsidRPr="00FD75F1" w14:paraId="6660ACB1" w14:textId="77777777" w:rsidTr="0089451B">
        <w:trPr>
          <w:trHeight w:val="20"/>
        </w:trPr>
        <w:tc>
          <w:tcPr>
            <w:tcW w:w="89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848FD04" w14:textId="77777777" w:rsidR="0089451B" w:rsidRPr="00FD75F1" w:rsidRDefault="0089451B" w:rsidP="00DA2594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proofErr w:type="gramStart"/>
            <w:r w:rsidRPr="00FD75F1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A</w:t>
            </w:r>
            <w:r w:rsidRPr="00FD75F1">
              <w:rPr>
                <w:rFonts w:ascii="Times New Roman" w:hAnsi="Times New Roman" w:cs="Times New Roman"/>
                <w:i/>
                <w:sz w:val="20"/>
                <w:szCs w:val="20"/>
              </w:rPr>
              <w:t>ge</w:t>
            </w:r>
            <w:r w:rsidRPr="00FD75F1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bscript"/>
              </w:rPr>
              <w:t>i,t</w:t>
            </w:r>
            <w:proofErr w:type="spellEnd"/>
            <w:proofErr w:type="gramEnd"/>
          </w:p>
        </w:tc>
        <w:tc>
          <w:tcPr>
            <w:tcW w:w="410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1F648A" w14:textId="77777777" w:rsidR="0089451B" w:rsidRPr="00FD75F1" w:rsidRDefault="0089451B" w:rsidP="00DA259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75F1">
              <w:rPr>
                <w:rFonts w:ascii="Times New Roman" w:hAnsi="Times New Roman" w:cs="Times New Roman"/>
                <w:sz w:val="20"/>
                <w:szCs w:val="20"/>
              </w:rPr>
              <w:t xml:space="preserve">Firm age, measured as the </w:t>
            </w:r>
            <w:r w:rsidRPr="00FD75F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number of years firm </w:t>
            </w:r>
            <w:proofErr w:type="spellStart"/>
            <w:r w:rsidRPr="00FD75F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</w:t>
            </w:r>
            <w:proofErr w:type="spellEnd"/>
            <w:r w:rsidRPr="00FD75F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listed on the A-share stock market.</w:t>
            </w:r>
          </w:p>
        </w:tc>
      </w:tr>
      <w:tr w:rsidR="00FD75F1" w:rsidRPr="00FD75F1" w14:paraId="5E7FD7D0" w14:textId="77777777" w:rsidTr="0089451B">
        <w:trPr>
          <w:trHeight w:val="20"/>
        </w:trPr>
        <w:tc>
          <w:tcPr>
            <w:tcW w:w="89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5CDE2BD" w14:textId="77777777" w:rsidR="0089451B" w:rsidRPr="00FD75F1" w:rsidRDefault="0089451B" w:rsidP="00DA2594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FD75F1">
              <w:rPr>
                <w:rFonts w:ascii="Times New Roman" w:hAnsi="Times New Roman" w:cs="Times New Roman"/>
                <w:i/>
                <w:sz w:val="20"/>
                <w:szCs w:val="20"/>
              </w:rPr>
              <w:t>GDP_</w:t>
            </w:r>
            <w:proofErr w:type="gramStart"/>
            <w:r w:rsidRPr="00FD75F1">
              <w:rPr>
                <w:rFonts w:ascii="Times New Roman" w:hAnsi="Times New Roman" w:cs="Times New Roman"/>
                <w:i/>
                <w:sz w:val="20"/>
                <w:szCs w:val="20"/>
              </w:rPr>
              <w:t>growth</w:t>
            </w:r>
            <w:r w:rsidRPr="00FD75F1"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</w:rPr>
              <w:t>i,t</w:t>
            </w:r>
            <w:proofErr w:type="spellEnd"/>
            <w:proofErr w:type="gramEnd"/>
          </w:p>
        </w:tc>
        <w:tc>
          <w:tcPr>
            <w:tcW w:w="410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802E5F" w14:textId="77777777" w:rsidR="0089451B" w:rsidRPr="00FD75F1" w:rsidRDefault="0089451B" w:rsidP="00DA259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75F1">
              <w:rPr>
                <w:rFonts w:ascii="Times New Roman" w:hAnsi="Times New Roman" w:cs="Times New Roman"/>
                <w:sz w:val="20"/>
                <w:szCs w:val="20"/>
              </w:rPr>
              <w:t xml:space="preserve">GDP growth, which is measured as the ratio of the increment in GDP from year </w:t>
            </w:r>
            <w:r w:rsidRPr="00FD75F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</w:t>
            </w:r>
            <w:r w:rsidRPr="00FD75F1">
              <w:rPr>
                <w:rFonts w:ascii="Times New Roman" w:hAnsi="Times New Roman" w:cs="Times New Roman"/>
                <w:sz w:val="20"/>
                <w:szCs w:val="20"/>
              </w:rPr>
              <w:t xml:space="preserve">-1 to year </w:t>
            </w:r>
            <w:r w:rsidRPr="00FD75F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</w:t>
            </w:r>
            <w:r w:rsidRPr="00FD75F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D75F1">
              <w:rPr>
                <w:rFonts w:ascii="Times New Roman" w:hAnsi="Times New Roman" w:cs="Times New Roman"/>
                <w:sz w:val="20"/>
                <w:szCs w:val="20"/>
              </w:rPr>
              <w:t xml:space="preserve">to the GDP value in year </w:t>
            </w:r>
            <w:r w:rsidRPr="00FD75F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</w:t>
            </w:r>
            <w:r w:rsidRPr="00FD75F1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</w:p>
        </w:tc>
      </w:tr>
      <w:tr w:rsidR="00FD75F1" w:rsidRPr="00FD75F1" w14:paraId="251C7862" w14:textId="77777777" w:rsidTr="0089451B">
        <w:trPr>
          <w:trHeight w:val="20"/>
        </w:trPr>
        <w:tc>
          <w:tcPr>
            <w:tcW w:w="895" w:type="pct"/>
            <w:tcBorders>
              <w:top w:val="nil"/>
            </w:tcBorders>
            <w:shd w:val="clear" w:color="auto" w:fill="auto"/>
            <w:noWrap/>
            <w:vAlign w:val="center"/>
          </w:tcPr>
          <w:p w14:paraId="69873694" w14:textId="77777777" w:rsidR="0089451B" w:rsidRPr="00FD75F1" w:rsidRDefault="0089451B" w:rsidP="00DA2594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proofErr w:type="gramStart"/>
            <w:r w:rsidRPr="00FD75F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CAR</w:t>
            </w:r>
            <w:r w:rsidRPr="00FD75F1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bscript"/>
              </w:rPr>
              <w:t>i,t</w:t>
            </w:r>
            <w:proofErr w:type="spellEnd"/>
            <w:proofErr w:type="gramEnd"/>
          </w:p>
        </w:tc>
        <w:tc>
          <w:tcPr>
            <w:tcW w:w="4105" w:type="pct"/>
            <w:tcBorders>
              <w:top w:val="nil"/>
            </w:tcBorders>
            <w:shd w:val="clear" w:color="auto" w:fill="auto"/>
            <w:vAlign w:val="center"/>
          </w:tcPr>
          <w:p w14:paraId="0345BAD0" w14:textId="4EFE82D0" w:rsidR="0089451B" w:rsidRPr="00FD75F1" w:rsidRDefault="0089451B" w:rsidP="00DA259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75F1">
              <w:rPr>
                <w:rFonts w:ascii="Times New Roman" w:hAnsi="Times New Roman" w:cs="Times New Roman"/>
                <w:sz w:val="20"/>
                <w:szCs w:val="20"/>
              </w:rPr>
              <w:t xml:space="preserve">Cumulative abnormal return, computed by considering two different windows around the earnings announcement, </w:t>
            </w:r>
            <w:bookmarkStart w:id="3" w:name="OLE_LINK15"/>
            <w:r w:rsidRPr="00FD75F1">
              <w:rPr>
                <w:rFonts w:ascii="Times New Roman" w:hAnsi="Times New Roman" w:cs="Times New Roman"/>
                <w:sz w:val="20"/>
                <w:szCs w:val="20"/>
              </w:rPr>
              <w:t>(-2, 2)</w:t>
            </w:r>
            <w:bookmarkEnd w:id="3"/>
            <w:r w:rsidRPr="00FD75F1">
              <w:rPr>
                <w:rFonts w:ascii="Times New Roman" w:hAnsi="Times New Roman" w:cs="Times New Roman"/>
                <w:sz w:val="20"/>
                <w:szCs w:val="20"/>
              </w:rPr>
              <w:t xml:space="preserve"> and (-1, 1). The abnormal return is calculated as the abnormal daily raw return minus the expected returns which are calculated by employing the market model within </w:t>
            </w:r>
            <w:r w:rsidR="002D0C4A" w:rsidRPr="00FD75F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FD75F1">
              <w:rPr>
                <w:rFonts w:ascii="Times New Roman" w:hAnsi="Times New Roman" w:cs="Times New Roman"/>
                <w:sz w:val="20"/>
                <w:szCs w:val="20"/>
              </w:rPr>
              <w:t xml:space="preserve"> (-210, -11) window.</w:t>
            </w:r>
          </w:p>
        </w:tc>
      </w:tr>
      <w:tr w:rsidR="00FD75F1" w:rsidRPr="00FD75F1" w14:paraId="31F26CF7" w14:textId="77777777" w:rsidTr="0089451B">
        <w:trPr>
          <w:trHeight w:val="20"/>
        </w:trPr>
        <w:tc>
          <w:tcPr>
            <w:tcW w:w="895" w:type="pct"/>
            <w:tcBorders>
              <w:top w:val="nil"/>
            </w:tcBorders>
            <w:shd w:val="clear" w:color="auto" w:fill="auto"/>
            <w:noWrap/>
            <w:vAlign w:val="center"/>
          </w:tcPr>
          <w:p w14:paraId="504311A2" w14:textId="77777777" w:rsidR="0089451B" w:rsidRPr="00FD75F1" w:rsidRDefault="0089451B" w:rsidP="00DA2594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bookmarkStart w:id="4" w:name="_Hlk172558344"/>
            <w:proofErr w:type="spellStart"/>
            <w:proofErr w:type="gramStart"/>
            <w:r w:rsidRPr="00FD75F1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UE</w:t>
            </w:r>
            <w:r w:rsidRPr="00FD75F1"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</w:rPr>
              <w:t>i,t</w:t>
            </w:r>
            <w:proofErr w:type="spellEnd"/>
            <w:proofErr w:type="gramEnd"/>
          </w:p>
        </w:tc>
        <w:tc>
          <w:tcPr>
            <w:tcW w:w="4105" w:type="pct"/>
            <w:tcBorders>
              <w:top w:val="nil"/>
            </w:tcBorders>
            <w:shd w:val="clear" w:color="auto" w:fill="auto"/>
            <w:vAlign w:val="center"/>
          </w:tcPr>
          <w:p w14:paraId="38085004" w14:textId="02EF617F" w:rsidR="0089451B" w:rsidRPr="00FD75F1" w:rsidRDefault="0089451B" w:rsidP="00DA259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75F1">
              <w:rPr>
                <w:rFonts w:ascii="Times New Roman" w:hAnsi="Times New Roman" w:cs="Times New Roman"/>
                <w:sz w:val="20"/>
                <w:szCs w:val="20"/>
              </w:rPr>
              <w:t>The absolute value of the unexpected earnings, which is measured as the difference between the actual earnings per share (</w:t>
            </w:r>
            <w:r w:rsidR="002D0C4A" w:rsidRPr="00FD75F1">
              <w:rPr>
                <w:rFonts w:ascii="Times New Roman" w:hAnsi="Times New Roman" w:cs="Times New Roman"/>
                <w:sz w:val="20"/>
                <w:szCs w:val="20"/>
              </w:rPr>
              <w:t>EPS</w:t>
            </w:r>
            <w:r w:rsidRPr="00FD75F1">
              <w:rPr>
                <w:rFonts w:ascii="Times New Roman" w:hAnsi="Times New Roman" w:cs="Times New Roman"/>
                <w:sz w:val="20"/>
                <w:szCs w:val="20"/>
              </w:rPr>
              <w:t xml:space="preserve">) in the current </w:t>
            </w:r>
            <w:r w:rsidR="002D0C4A" w:rsidRPr="00FD75F1">
              <w:rPr>
                <w:rFonts w:ascii="Times New Roman" w:hAnsi="Times New Roman" w:cs="Times New Roman"/>
                <w:sz w:val="20"/>
                <w:szCs w:val="20"/>
              </w:rPr>
              <w:t>and previous years,</w:t>
            </w:r>
            <w:r w:rsidRPr="00FD75F1">
              <w:rPr>
                <w:rFonts w:ascii="Times New Roman" w:hAnsi="Times New Roman" w:cs="Times New Roman"/>
                <w:sz w:val="20"/>
                <w:szCs w:val="20"/>
              </w:rPr>
              <w:t xml:space="preserve"> adjusted by the </w:t>
            </w:r>
            <w:r w:rsidR="002D0C4A" w:rsidRPr="00FD75F1">
              <w:rPr>
                <w:rFonts w:ascii="Times New Roman" w:hAnsi="Times New Roman" w:cs="Times New Roman"/>
                <w:sz w:val="20"/>
                <w:szCs w:val="20"/>
              </w:rPr>
              <w:t>EPS</w:t>
            </w:r>
            <w:r w:rsidRPr="00FD75F1">
              <w:rPr>
                <w:rFonts w:ascii="Times New Roman" w:hAnsi="Times New Roman" w:cs="Times New Roman"/>
                <w:sz w:val="20"/>
                <w:szCs w:val="20"/>
              </w:rPr>
              <w:t xml:space="preserve"> of the previous year.</w:t>
            </w:r>
          </w:p>
        </w:tc>
      </w:tr>
      <w:bookmarkEnd w:id="4"/>
      <w:tr w:rsidR="00FD75F1" w:rsidRPr="00FD75F1" w14:paraId="2A7807A4" w14:textId="77777777" w:rsidTr="0089451B">
        <w:trPr>
          <w:trHeight w:val="20"/>
        </w:trPr>
        <w:tc>
          <w:tcPr>
            <w:tcW w:w="895" w:type="pct"/>
            <w:shd w:val="clear" w:color="auto" w:fill="auto"/>
            <w:noWrap/>
            <w:vAlign w:val="center"/>
            <w:hideMark/>
          </w:tcPr>
          <w:p w14:paraId="3C4B0C75" w14:textId="77777777" w:rsidR="0089451B" w:rsidRPr="00FD75F1" w:rsidRDefault="0089451B" w:rsidP="00DA2594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</w:rPr>
            </w:pPr>
            <w:proofErr w:type="spellStart"/>
            <w:r w:rsidRPr="00FD75F1">
              <w:rPr>
                <w:rFonts w:ascii="Times New Roman" w:hAnsi="Times New Roman" w:cs="Times New Roman"/>
                <w:i/>
                <w:iCs/>
                <w:sz w:val="20"/>
              </w:rPr>
              <w:t>Ratio_</w:t>
            </w:r>
            <w:proofErr w:type="gramStart"/>
            <w:r w:rsidRPr="00FD75F1">
              <w:rPr>
                <w:rFonts w:ascii="Times New Roman" w:hAnsi="Times New Roman" w:cs="Times New Roman"/>
                <w:i/>
                <w:iCs/>
                <w:sz w:val="20"/>
              </w:rPr>
              <w:t>other</w:t>
            </w:r>
            <w:r w:rsidRPr="00FD75F1">
              <w:rPr>
                <w:rFonts w:ascii="Times New Roman" w:hAnsi="Times New Roman" w:cs="Times New Roman"/>
                <w:i/>
                <w:iCs/>
                <w:sz w:val="20"/>
                <w:vertAlign w:val="subscript"/>
              </w:rPr>
              <w:t>i,t</w:t>
            </w:r>
            <w:proofErr w:type="spellEnd"/>
            <w:proofErr w:type="gramEnd"/>
          </w:p>
        </w:tc>
        <w:tc>
          <w:tcPr>
            <w:tcW w:w="4105" w:type="pct"/>
            <w:shd w:val="clear" w:color="auto" w:fill="auto"/>
            <w:vAlign w:val="center"/>
            <w:hideMark/>
          </w:tcPr>
          <w:p w14:paraId="2629BE58" w14:textId="702DE2D3" w:rsidR="0089451B" w:rsidRPr="00FD75F1" w:rsidRDefault="0089451B" w:rsidP="00DA259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bookmarkStart w:id="5" w:name="OLE_LINK69"/>
            <w:r w:rsidRPr="00FD75F1">
              <w:rPr>
                <w:rFonts w:ascii="Times New Roman" w:hAnsi="Times New Roman" w:cs="Times New Roman"/>
                <w:sz w:val="20"/>
              </w:rPr>
              <w:t>The instrumental variable in the first stage of the Heckman two-stage treatment effect model.</w:t>
            </w:r>
            <w:r w:rsidR="002D0C4A" w:rsidRPr="00FD75F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2D0C4A" w:rsidRPr="00FD75F1">
              <w:rPr>
                <w:rFonts w:ascii="Times New Roman" w:hAnsi="Times New Roman" w:cs="Times New Roman"/>
                <w:sz w:val="20"/>
              </w:rPr>
              <w:t>It is defined as the ratio of the number of firms capitalizing development costs to the total number of firms in the same industry</w:t>
            </w:r>
            <w:r w:rsidR="00D23ABD" w:rsidRPr="00FD75F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2D0C4A" w:rsidRPr="00FD75F1">
              <w:rPr>
                <w:rFonts w:ascii="Times New Roman" w:hAnsi="Times New Roman" w:cs="Times New Roman"/>
                <w:sz w:val="20"/>
              </w:rPr>
              <w:t xml:space="preserve">year, excluding firm </w:t>
            </w:r>
            <w:proofErr w:type="spellStart"/>
            <w:r w:rsidR="002D0C4A" w:rsidRPr="00FD75F1">
              <w:rPr>
                <w:rFonts w:ascii="Times New Roman" w:hAnsi="Times New Roman" w:cs="Times New Roman"/>
                <w:i/>
                <w:iCs/>
                <w:sz w:val="20"/>
              </w:rPr>
              <w:t>i</w:t>
            </w:r>
            <w:proofErr w:type="spellEnd"/>
            <w:r w:rsidR="00D23ABD" w:rsidRPr="00FD75F1">
              <w:rPr>
                <w:rFonts w:ascii="Times New Roman" w:hAnsi="Times New Roman" w:cs="Times New Roman"/>
                <w:i/>
                <w:iCs/>
                <w:sz w:val="20"/>
              </w:rPr>
              <w:t>.</w:t>
            </w:r>
            <w:bookmarkEnd w:id="5"/>
          </w:p>
        </w:tc>
      </w:tr>
      <w:tr w:rsidR="00FD75F1" w:rsidRPr="00FD75F1" w14:paraId="4AFE1C8B" w14:textId="77777777" w:rsidTr="0089451B">
        <w:trPr>
          <w:trHeight w:val="20"/>
        </w:trPr>
        <w:tc>
          <w:tcPr>
            <w:tcW w:w="895" w:type="pct"/>
            <w:shd w:val="clear" w:color="auto" w:fill="auto"/>
            <w:noWrap/>
            <w:vAlign w:val="center"/>
            <w:hideMark/>
          </w:tcPr>
          <w:p w14:paraId="59C9F7F7" w14:textId="77777777" w:rsidR="0089451B" w:rsidRPr="00FD75F1" w:rsidRDefault="0089451B" w:rsidP="00DA2594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</w:rPr>
            </w:pPr>
            <w:proofErr w:type="spellStart"/>
            <w:proofErr w:type="gramStart"/>
            <w:r w:rsidRPr="00FD75F1">
              <w:rPr>
                <w:rFonts w:ascii="Times New Roman" w:hAnsi="Times New Roman" w:cs="Times New Roman"/>
                <w:i/>
                <w:iCs/>
                <w:sz w:val="20"/>
              </w:rPr>
              <w:t>EBIT</w:t>
            </w:r>
            <w:r w:rsidRPr="00FD75F1">
              <w:rPr>
                <w:rFonts w:ascii="Times New Roman" w:hAnsi="Times New Roman" w:cs="Times New Roman"/>
                <w:i/>
                <w:iCs/>
                <w:sz w:val="20"/>
                <w:vertAlign w:val="subscript"/>
              </w:rPr>
              <w:t>i,t</w:t>
            </w:r>
            <w:proofErr w:type="gramEnd"/>
            <w:r w:rsidRPr="00FD75F1">
              <w:rPr>
                <w:rFonts w:ascii="Times New Roman" w:hAnsi="Times New Roman" w:cs="Times New Roman"/>
                <w:i/>
                <w:iCs/>
                <w:sz w:val="20"/>
                <w:vertAlign w:val="subscript"/>
              </w:rPr>
              <w:t>+k</w:t>
            </w:r>
            <w:proofErr w:type="spellEnd"/>
          </w:p>
        </w:tc>
        <w:tc>
          <w:tcPr>
            <w:tcW w:w="4105" w:type="pct"/>
            <w:shd w:val="clear" w:color="auto" w:fill="auto"/>
            <w:vAlign w:val="center"/>
            <w:hideMark/>
          </w:tcPr>
          <w:p w14:paraId="343AB352" w14:textId="10C1F927" w:rsidR="0089451B" w:rsidRPr="00FD75F1" w:rsidRDefault="0089451B" w:rsidP="00DA259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D75F1">
              <w:rPr>
                <w:rFonts w:ascii="Times New Roman" w:hAnsi="Times New Roman" w:cs="Times New Roman"/>
                <w:sz w:val="20"/>
              </w:rPr>
              <w:t xml:space="preserve">The ratio of </w:t>
            </w:r>
            <w:r w:rsidR="002D0C4A" w:rsidRPr="00FD75F1">
              <w:rPr>
                <w:rFonts w:ascii="Times New Roman" w:hAnsi="Times New Roman" w:cs="Times New Roman"/>
                <w:sz w:val="20"/>
              </w:rPr>
              <w:t>earnings before interest and tax</w:t>
            </w:r>
            <w:r w:rsidRPr="00FD75F1">
              <w:rPr>
                <w:rFonts w:ascii="Times New Roman" w:hAnsi="Times New Roman" w:cs="Times New Roman"/>
                <w:sz w:val="20"/>
              </w:rPr>
              <w:t xml:space="preserve"> (EBIT) to the total assets during the period</w:t>
            </w:r>
            <w:r w:rsidR="002D0C4A" w:rsidRPr="00FD75F1">
              <w:rPr>
                <w:rFonts w:ascii="Times New Roman" w:hAnsi="Times New Roman" w:cs="Times New Roman"/>
                <w:sz w:val="20"/>
              </w:rPr>
              <w:t>s</w:t>
            </w:r>
            <w:r w:rsidRPr="00FD75F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2D0C4A" w:rsidRPr="00FD75F1">
              <w:rPr>
                <w:rFonts w:ascii="Times New Roman" w:hAnsi="Times New Roman" w:cs="Times New Roman"/>
                <w:i/>
                <w:iCs/>
                <w:sz w:val="20"/>
              </w:rPr>
              <w:t>t</w:t>
            </w:r>
            <w:r w:rsidRPr="00FD75F1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2D0C4A" w:rsidRPr="00FD75F1">
              <w:rPr>
                <w:rFonts w:ascii="Times New Roman" w:hAnsi="Times New Roman" w:cs="Times New Roman"/>
                <w:i/>
                <w:iCs/>
                <w:sz w:val="20"/>
              </w:rPr>
              <w:t>t</w:t>
            </w:r>
            <w:r w:rsidRPr="00FD75F1">
              <w:rPr>
                <w:rFonts w:ascii="Times New Roman" w:hAnsi="Times New Roman" w:cs="Times New Roman"/>
                <w:sz w:val="20"/>
              </w:rPr>
              <w:t xml:space="preserve">+1, </w:t>
            </w:r>
            <w:r w:rsidR="002D0C4A" w:rsidRPr="00FD75F1">
              <w:rPr>
                <w:rFonts w:ascii="Times New Roman" w:hAnsi="Times New Roman" w:cs="Times New Roman"/>
                <w:i/>
                <w:iCs/>
                <w:sz w:val="20"/>
              </w:rPr>
              <w:t>t</w:t>
            </w:r>
            <w:r w:rsidRPr="00FD75F1">
              <w:rPr>
                <w:rFonts w:ascii="Times New Roman" w:hAnsi="Times New Roman" w:cs="Times New Roman"/>
                <w:sz w:val="20"/>
              </w:rPr>
              <w:t xml:space="preserve">+2, </w:t>
            </w:r>
            <w:r w:rsidR="002D0C4A" w:rsidRPr="00FD75F1">
              <w:rPr>
                <w:rFonts w:ascii="Times New Roman" w:hAnsi="Times New Roman" w:cs="Times New Roman"/>
                <w:i/>
                <w:iCs/>
                <w:sz w:val="20"/>
              </w:rPr>
              <w:t>t</w:t>
            </w:r>
            <w:r w:rsidRPr="00FD75F1">
              <w:rPr>
                <w:rFonts w:ascii="Times New Roman" w:hAnsi="Times New Roman" w:cs="Times New Roman"/>
                <w:sz w:val="20"/>
              </w:rPr>
              <w:t>+3</w:t>
            </w:r>
            <w:r w:rsidR="002D0C4A" w:rsidRPr="00FD75F1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FD75F1" w:rsidRPr="00FD75F1" w14:paraId="2119F2A0" w14:textId="77777777" w:rsidTr="0089451B">
        <w:trPr>
          <w:trHeight w:val="20"/>
        </w:trPr>
        <w:tc>
          <w:tcPr>
            <w:tcW w:w="895" w:type="pct"/>
            <w:shd w:val="clear" w:color="auto" w:fill="auto"/>
            <w:noWrap/>
            <w:vAlign w:val="center"/>
            <w:hideMark/>
          </w:tcPr>
          <w:p w14:paraId="1199CC7A" w14:textId="77777777" w:rsidR="0089451B" w:rsidRPr="00FD75F1" w:rsidRDefault="0089451B" w:rsidP="00DA2594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</w:rPr>
            </w:pPr>
            <w:proofErr w:type="spellStart"/>
            <w:proofErr w:type="gramStart"/>
            <w:r w:rsidRPr="00FD75F1">
              <w:rPr>
                <w:rFonts w:ascii="Times New Roman" w:hAnsi="Times New Roman" w:cs="Times New Roman"/>
                <w:i/>
                <w:iCs/>
                <w:sz w:val="20"/>
              </w:rPr>
              <w:t>MROA</w:t>
            </w:r>
            <w:r w:rsidRPr="00FD75F1">
              <w:rPr>
                <w:rFonts w:ascii="Times New Roman" w:hAnsi="Times New Roman" w:cs="Times New Roman"/>
                <w:i/>
                <w:iCs/>
                <w:sz w:val="20"/>
                <w:vertAlign w:val="subscript"/>
              </w:rPr>
              <w:t>i,t</w:t>
            </w:r>
            <w:proofErr w:type="gramEnd"/>
            <w:r w:rsidRPr="00FD75F1">
              <w:rPr>
                <w:rFonts w:ascii="Times New Roman" w:hAnsi="Times New Roman" w:cs="Times New Roman"/>
                <w:i/>
                <w:iCs/>
                <w:sz w:val="20"/>
                <w:vertAlign w:val="subscript"/>
              </w:rPr>
              <w:t>+k</w:t>
            </w:r>
            <w:proofErr w:type="spellEnd"/>
          </w:p>
        </w:tc>
        <w:tc>
          <w:tcPr>
            <w:tcW w:w="4105" w:type="pct"/>
            <w:shd w:val="clear" w:color="auto" w:fill="auto"/>
            <w:vAlign w:val="center"/>
            <w:hideMark/>
          </w:tcPr>
          <w:p w14:paraId="54461ED7" w14:textId="5509F69F" w:rsidR="0089451B" w:rsidRPr="00FD75F1" w:rsidRDefault="0089451B" w:rsidP="00DA259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D75F1">
              <w:rPr>
                <w:rFonts w:ascii="Times New Roman" w:hAnsi="Times New Roman" w:cs="Times New Roman"/>
                <w:sz w:val="20"/>
              </w:rPr>
              <w:t>The modified ROA, is defined as the ratio of net income attributable to shareholders after deducting non-recurring gains and losses to the total asset in year</w:t>
            </w:r>
            <w:r w:rsidR="002D0C4A" w:rsidRPr="00FD75F1">
              <w:rPr>
                <w:rFonts w:ascii="Times New Roman" w:hAnsi="Times New Roman" w:cs="Times New Roman"/>
                <w:sz w:val="20"/>
              </w:rPr>
              <w:t>s</w:t>
            </w:r>
            <w:r w:rsidRPr="00FD75F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D75F1">
              <w:rPr>
                <w:rFonts w:ascii="Times New Roman" w:hAnsi="Times New Roman" w:cs="Times New Roman"/>
                <w:i/>
                <w:iCs/>
                <w:sz w:val="20"/>
              </w:rPr>
              <w:t>t</w:t>
            </w:r>
            <w:r w:rsidRPr="00FD75F1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FD75F1">
              <w:rPr>
                <w:rFonts w:ascii="Times New Roman" w:hAnsi="Times New Roman" w:cs="Times New Roman"/>
                <w:i/>
                <w:iCs/>
                <w:sz w:val="20"/>
              </w:rPr>
              <w:t>t</w:t>
            </w:r>
            <w:r w:rsidRPr="00FD75F1">
              <w:rPr>
                <w:rFonts w:ascii="Times New Roman" w:hAnsi="Times New Roman" w:cs="Times New Roman"/>
                <w:sz w:val="20"/>
              </w:rPr>
              <w:t xml:space="preserve">+1 </w:t>
            </w:r>
            <w:r w:rsidRPr="00FD75F1">
              <w:rPr>
                <w:rFonts w:ascii="Times New Roman" w:hAnsi="Times New Roman" w:cs="Times New Roman"/>
                <w:i/>
                <w:iCs/>
                <w:sz w:val="20"/>
              </w:rPr>
              <w:t>t</w:t>
            </w:r>
            <w:r w:rsidRPr="00FD75F1">
              <w:rPr>
                <w:rFonts w:ascii="Times New Roman" w:hAnsi="Times New Roman" w:cs="Times New Roman"/>
                <w:sz w:val="20"/>
              </w:rPr>
              <w:t xml:space="preserve">+2, </w:t>
            </w:r>
            <w:r w:rsidRPr="00FD75F1">
              <w:rPr>
                <w:rFonts w:ascii="Times New Roman" w:hAnsi="Times New Roman" w:cs="Times New Roman"/>
                <w:i/>
                <w:iCs/>
                <w:sz w:val="20"/>
              </w:rPr>
              <w:t>t</w:t>
            </w:r>
            <w:r w:rsidRPr="00FD75F1">
              <w:rPr>
                <w:rFonts w:ascii="Times New Roman" w:hAnsi="Times New Roman" w:cs="Times New Roman"/>
                <w:sz w:val="20"/>
              </w:rPr>
              <w:t xml:space="preserve">+3. Both the numerator and the denominator of the ratio are collected directly from the CSMAR database. </w:t>
            </w:r>
          </w:p>
        </w:tc>
      </w:tr>
      <w:tr w:rsidR="00FD75F1" w:rsidRPr="00FD75F1" w14:paraId="0FAFE515" w14:textId="77777777" w:rsidTr="0089451B">
        <w:trPr>
          <w:trHeight w:val="20"/>
        </w:trPr>
        <w:tc>
          <w:tcPr>
            <w:tcW w:w="895" w:type="pct"/>
            <w:shd w:val="clear" w:color="auto" w:fill="auto"/>
            <w:noWrap/>
            <w:vAlign w:val="center"/>
          </w:tcPr>
          <w:p w14:paraId="7B7DB9C4" w14:textId="77777777" w:rsidR="0089451B" w:rsidRPr="00FD75F1" w:rsidRDefault="0089451B" w:rsidP="00DA2594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</w:rPr>
            </w:pPr>
            <w:bookmarkStart w:id="6" w:name="_Hlk225081317"/>
            <w:proofErr w:type="spellStart"/>
            <w:r w:rsidRPr="00FD75F1">
              <w:rPr>
                <w:rFonts w:ascii="Times New Roman" w:hAnsi="Times New Roman" w:cs="Times New Roman" w:hint="eastAsia"/>
                <w:i/>
                <w:iCs/>
                <w:sz w:val="20"/>
              </w:rPr>
              <w:t>R</w:t>
            </w:r>
            <w:r w:rsidRPr="00FD75F1">
              <w:rPr>
                <w:rFonts w:ascii="Times New Roman" w:hAnsi="Times New Roman" w:cs="Times New Roman"/>
                <w:i/>
                <w:iCs/>
                <w:sz w:val="20"/>
              </w:rPr>
              <w:t>Dint_</w:t>
            </w:r>
            <w:proofErr w:type="gramStart"/>
            <w:r w:rsidRPr="00FD75F1">
              <w:rPr>
                <w:rFonts w:ascii="Times New Roman" w:hAnsi="Times New Roman" w:cs="Times New Roman"/>
                <w:i/>
                <w:iCs/>
                <w:sz w:val="20"/>
              </w:rPr>
              <w:t>vol</w:t>
            </w:r>
            <w:r w:rsidRPr="00FD75F1">
              <w:rPr>
                <w:rFonts w:ascii="Times New Roman" w:hAnsi="Times New Roman" w:cs="Times New Roman"/>
                <w:i/>
                <w:iCs/>
                <w:sz w:val="20"/>
                <w:vertAlign w:val="subscript"/>
              </w:rPr>
              <w:t>i,t</w:t>
            </w:r>
            <w:bookmarkEnd w:id="6"/>
            <w:proofErr w:type="spellEnd"/>
            <w:proofErr w:type="gramEnd"/>
          </w:p>
        </w:tc>
        <w:tc>
          <w:tcPr>
            <w:tcW w:w="4105" w:type="pct"/>
            <w:shd w:val="clear" w:color="auto" w:fill="auto"/>
            <w:vAlign w:val="center"/>
          </w:tcPr>
          <w:p w14:paraId="214C85A6" w14:textId="77777777" w:rsidR="0089451B" w:rsidRPr="00FD75F1" w:rsidRDefault="0089451B" w:rsidP="00DA259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D75F1">
              <w:rPr>
                <w:rFonts w:ascii="Times New Roman" w:hAnsi="Times New Roman" w:cs="Times New Roman"/>
                <w:sz w:val="20"/>
                <w:lang w:val="en-GB"/>
              </w:rPr>
              <w:t xml:space="preserve">The volatility of R&amp;D intensity, calculated as </w:t>
            </w:r>
            <w:r w:rsidRPr="00FD75F1">
              <w:rPr>
                <w:rFonts w:ascii="Times New Roman" w:hAnsi="Times New Roman" w:cs="Times New Roman"/>
                <w:sz w:val="20"/>
              </w:rPr>
              <w:t>the standard deviation of R&amp;D intensity over the previous three years.</w:t>
            </w:r>
          </w:p>
        </w:tc>
      </w:tr>
      <w:tr w:rsidR="00FD75F1" w:rsidRPr="00FD75F1" w14:paraId="0D623452" w14:textId="77777777" w:rsidTr="0089451B">
        <w:trPr>
          <w:trHeight w:val="20"/>
        </w:trPr>
        <w:tc>
          <w:tcPr>
            <w:tcW w:w="895" w:type="pct"/>
            <w:shd w:val="clear" w:color="auto" w:fill="auto"/>
            <w:noWrap/>
            <w:vAlign w:val="center"/>
          </w:tcPr>
          <w:p w14:paraId="69F41DCF" w14:textId="77777777" w:rsidR="0089451B" w:rsidRPr="00FD75F1" w:rsidRDefault="0089451B" w:rsidP="00DA2594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</w:rPr>
            </w:pPr>
            <w:proofErr w:type="spellStart"/>
            <w:r w:rsidRPr="00FD75F1">
              <w:rPr>
                <w:rFonts w:ascii="Times New Roman" w:hAnsi="Times New Roman" w:cs="Times New Roman"/>
                <w:i/>
                <w:iCs/>
                <w:sz w:val="20"/>
              </w:rPr>
              <w:t>RDC_ratio_</w:t>
            </w:r>
            <w:proofErr w:type="gramStart"/>
            <w:r w:rsidRPr="00FD75F1">
              <w:rPr>
                <w:rFonts w:ascii="Times New Roman" w:hAnsi="Times New Roman" w:cs="Times New Roman"/>
                <w:i/>
                <w:iCs/>
                <w:sz w:val="20"/>
              </w:rPr>
              <w:t>dum</w:t>
            </w:r>
            <w:r w:rsidRPr="00FD75F1">
              <w:rPr>
                <w:rFonts w:ascii="Times New Roman" w:hAnsi="Times New Roman" w:cs="Times New Roman"/>
                <w:i/>
                <w:iCs/>
                <w:sz w:val="20"/>
                <w:vertAlign w:val="subscript"/>
              </w:rPr>
              <w:t>i,t</w:t>
            </w:r>
            <w:proofErr w:type="spellEnd"/>
            <w:proofErr w:type="gramEnd"/>
          </w:p>
        </w:tc>
        <w:tc>
          <w:tcPr>
            <w:tcW w:w="4105" w:type="pct"/>
            <w:shd w:val="clear" w:color="auto" w:fill="auto"/>
            <w:vAlign w:val="center"/>
          </w:tcPr>
          <w:p w14:paraId="55287D77" w14:textId="7A47182F" w:rsidR="0089451B" w:rsidRPr="00FD75F1" w:rsidRDefault="0089451B" w:rsidP="00DA259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D75F1">
              <w:rPr>
                <w:rFonts w:ascii="Times New Roman" w:hAnsi="Times New Roman" w:cs="Times New Roman"/>
                <w:sz w:val="20"/>
              </w:rPr>
              <w:t xml:space="preserve">A dummy variable, equals 1 if the capitalization ratio of firm </w:t>
            </w:r>
            <w:proofErr w:type="spellStart"/>
            <w:r w:rsidRPr="00FD75F1">
              <w:rPr>
                <w:rFonts w:ascii="Times New Roman" w:hAnsi="Times New Roman" w:cs="Times New Roman"/>
                <w:i/>
                <w:sz w:val="20"/>
              </w:rPr>
              <w:t>i</w:t>
            </w:r>
            <w:proofErr w:type="spellEnd"/>
            <w:r w:rsidRPr="00FD75F1">
              <w:rPr>
                <w:rFonts w:ascii="Times New Roman" w:hAnsi="Times New Roman" w:cs="Times New Roman"/>
                <w:sz w:val="20"/>
              </w:rPr>
              <w:t xml:space="preserve"> in year</w:t>
            </w:r>
            <w:r w:rsidRPr="00FD75F1">
              <w:rPr>
                <w:rFonts w:ascii="Times New Roman" w:hAnsi="Times New Roman" w:cs="Times New Roman"/>
                <w:i/>
                <w:sz w:val="20"/>
              </w:rPr>
              <w:t xml:space="preserve"> t</w:t>
            </w:r>
            <w:r w:rsidRPr="00FD75F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D75F1">
              <w:rPr>
                <w:rFonts w:ascii="Times New Roman" w:hAnsi="Times New Roman" w:cs="Times New Roman"/>
                <w:sz w:val="20"/>
                <w:lang w:val="en-GB"/>
              </w:rPr>
              <w:t>exceeds the industry average and 0 otherwise.</w:t>
            </w:r>
          </w:p>
        </w:tc>
      </w:tr>
      <w:tr w:rsidR="00FD75F1" w:rsidRPr="00FD75F1" w14:paraId="461DE065" w14:textId="77777777" w:rsidTr="0089451B">
        <w:trPr>
          <w:trHeight w:val="20"/>
        </w:trPr>
        <w:tc>
          <w:tcPr>
            <w:tcW w:w="895" w:type="pct"/>
            <w:shd w:val="clear" w:color="auto" w:fill="auto"/>
            <w:noWrap/>
            <w:vAlign w:val="center"/>
          </w:tcPr>
          <w:p w14:paraId="0B7DEB75" w14:textId="77777777" w:rsidR="0089451B" w:rsidRPr="00FD75F1" w:rsidRDefault="0089451B" w:rsidP="00DA2594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FD75F1">
              <w:rPr>
                <w:rFonts w:ascii="Times New Roman" w:hAnsi="Times New Roman" w:cs="Times New Roman"/>
                <w:i/>
                <w:iCs/>
                <w:sz w:val="20"/>
              </w:rPr>
              <w:t>Big4</w:t>
            </w:r>
            <w:proofErr w:type="gramStart"/>
            <w:r w:rsidRPr="00FD75F1">
              <w:rPr>
                <w:rFonts w:ascii="Times New Roman" w:hAnsi="Times New Roman" w:cs="Times New Roman"/>
                <w:i/>
                <w:iCs/>
                <w:sz w:val="20"/>
                <w:vertAlign w:val="subscript"/>
              </w:rPr>
              <w:t>i,t</w:t>
            </w:r>
            <w:proofErr w:type="gramEnd"/>
          </w:p>
        </w:tc>
        <w:tc>
          <w:tcPr>
            <w:tcW w:w="4105" w:type="pct"/>
            <w:shd w:val="clear" w:color="auto" w:fill="auto"/>
            <w:vAlign w:val="center"/>
          </w:tcPr>
          <w:p w14:paraId="78BEADC9" w14:textId="2CA9276A" w:rsidR="0089451B" w:rsidRPr="00FD75F1" w:rsidRDefault="0089451B" w:rsidP="00DA259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D75F1">
              <w:rPr>
                <w:rFonts w:ascii="Times New Roman" w:hAnsi="Times New Roman" w:cs="Times New Roman"/>
                <w:sz w:val="20"/>
              </w:rPr>
              <w:t xml:space="preserve">A dummy variable, equals 1 if firm </w:t>
            </w:r>
            <w:proofErr w:type="spellStart"/>
            <w:r w:rsidRPr="00FD75F1">
              <w:rPr>
                <w:rFonts w:ascii="Times New Roman" w:hAnsi="Times New Roman" w:cs="Times New Roman"/>
                <w:i/>
                <w:sz w:val="20"/>
              </w:rPr>
              <w:t>i</w:t>
            </w:r>
            <w:proofErr w:type="spellEnd"/>
            <w:r w:rsidRPr="00FD75F1">
              <w:rPr>
                <w:rFonts w:ascii="Times New Roman" w:hAnsi="Times New Roman" w:cs="Times New Roman"/>
                <w:sz w:val="20"/>
              </w:rPr>
              <w:t xml:space="preserve"> is audited by a </w:t>
            </w:r>
            <w:r w:rsidR="002D0C4A" w:rsidRPr="00FD75F1">
              <w:rPr>
                <w:rFonts w:ascii="Times New Roman" w:hAnsi="Times New Roman" w:cs="Times New Roman"/>
                <w:sz w:val="20"/>
              </w:rPr>
              <w:t>b</w:t>
            </w:r>
            <w:r w:rsidRPr="00FD75F1">
              <w:rPr>
                <w:rFonts w:ascii="Times New Roman" w:hAnsi="Times New Roman" w:cs="Times New Roman"/>
                <w:sz w:val="20"/>
              </w:rPr>
              <w:t>ig 4 auditor in year</w:t>
            </w:r>
            <w:r w:rsidRPr="00FD75F1">
              <w:rPr>
                <w:rFonts w:ascii="Times New Roman" w:hAnsi="Times New Roman" w:cs="Times New Roman"/>
                <w:i/>
                <w:sz w:val="20"/>
              </w:rPr>
              <w:t xml:space="preserve"> t </w:t>
            </w:r>
            <w:r w:rsidRPr="00FD75F1">
              <w:rPr>
                <w:rFonts w:ascii="Times New Roman" w:hAnsi="Times New Roman" w:cs="Times New Roman"/>
                <w:sz w:val="20"/>
              </w:rPr>
              <w:t>and 0 otherwise.</w:t>
            </w:r>
          </w:p>
        </w:tc>
      </w:tr>
      <w:tr w:rsidR="00FD75F1" w:rsidRPr="00FD75F1" w14:paraId="37256621" w14:textId="77777777" w:rsidTr="0089451B">
        <w:trPr>
          <w:trHeight w:val="20"/>
        </w:trPr>
        <w:tc>
          <w:tcPr>
            <w:tcW w:w="895" w:type="pct"/>
            <w:shd w:val="clear" w:color="auto" w:fill="auto"/>
            <w:noWrap/>
            <w:vAlign w:val="center"/>
          </w:tcPr>
          <w:p w14:paraId="03365D95" w14:textId="77777777" w:rsidR="0089451B" w:rsidRPr="00FD75F1" w:rsidRDefault="0089451B" w:rsidP="00DA2594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</w:rPr>
            </w:pPr>
            <w:proofErr w:type="spellStart"/>
            <w:proofErr w:type="gramStart"/>
            <w:r w:rsidRPr="00FD75F1">
              <w:rPr>
                <w:rFonts w:ascii="Times New Roman" w:hAnsi="Times New Roman" w:cs="Times New Roman"/>
                <w:i/>
                <w:iCs/>
                <w:sz w:val="20"/>
              </w:rPr>
              <w:t>EPS</w:t>
            </w:r>
            <w:r w:rsidRPr="00FD75F1">
              <w:rPr>
                <w:rFonts w:ascii="Times New Roman" w:hAnsi="Times New Roman" w:cs="Times New Roman"/>
                <w:i/>
                <w:iCs/>
                <w:sz w:val="20"/>
                <w:vertAlign w:val="subscript"/>
              </w:rPr>
              <w:t>i,t</w:t>
            </w:r>
            <w:proofErr w:type="spellEnd"/>
            <w:proofErr w:type="gramEnd"/>
          </w:p>
        </w:tc>
        <w:tc>
          <w:tcPr>
            <w:tcW w:w="4105" w:type="pct"/>
            <w:shd w:val="clear" w:color="auto" w:fill="auto"/>
            <w:vAlign w:val="center"/>
          </w:tcPr>
          <w:p w14:paraId="57B0DD44" w14:textId="77777777" w:rsidR="0089451B" w:rsidRPr="00FD75F1" w:rsidRDefault="0089451B" w:rsidP="00DA259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D75F1">
              <w:rPr>
                <w:rFonts w:ascii="Times New Roman" w:hAnsi="Times New Roman" w:cs="Times New Roman"/>
                <w:sz w:val="20"/>
              </w:rPr>
              <w:t xml:space="preserve">Earnings per share of firm </w:t>
            </w:r>
            <w:proofErr w:type="spellStart"/>
            <w:r w:rsidRPr="00FD75F1">
              <w:rPr>
                <w:rFonts w:ascii="Times New Roman" w:hAnsi="Times New Roman" w:cs="Times New Roman"/>
                <w:i/>
                <w:sz w:val="20"/>
              </w:rPr>
              <w:t>i</w:t>
            </w:r>
            <w:proofErr w:type="spellEnd"/>
            <w:r w:rsidRPr="00FD75F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FD75F1">
              <w:rPr>
                <w:rFonts w:ascii="Times New Roman" w:hAnsi="Times New Roman" w:cs="Times New Roman"/>
                <w:sz w:val="20"/>
              </w:rPr>
              <w:t xml:space="preserve">in year </w:t>
            </w:r>
            <w:r w:rsidRPr="00FD75F1">
              <w:rPr>
                <w:rFonts w:ascii="Times New Roman" w:hAnsi="Times New Roman" w:cs="Times New Roman"/>
                <w:i/>
                <w:sz w:val="20"/>
              </w:rPr>
              <w:t>t</w:t>
            </w:r>
            <w:r w:rsidRPr="00FD75F1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FD75F1" w:rsidRPr="00FD75F1" w14:paraId="631C2408" w14:textId="77777777" w:rsidTr="0089451B">
        <w:trPr>
          <w:trHeight w:val="20"/>
        </w:trPr>
        <w:tc>
          <w:tcPr>
            <w:tcW w:w="895" w:type="pct"/>
            <w:shd w:val="clear" w:color="auto" w:fill="auto"/>
            <w:noWrap/>
            <w:vAlign w:val="center"/>
          </w:tcPr>
          <w:p w14:paraId="30CBC419" w14:textId="77777777" w:rsidR="0089451B" w:rsidRPr="00FD75F1" w:rsidRDefault="0089451B" w:rsidP="00DA2594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</w:rPr>
            </w:pPr>
            <w:proofErr w:type="spellStart"/>
            <w:proofErr w:type="gramStart"/>
            <w:r w:rsidRPr="00FD75F1">
              <w:rPr>
                <w:rFonts w:ascii="Times New Roman" w:hAnsi="Times New Roman" w:cs="Times New Roman"/>
                <w:i/>
                <w:iCs/>
                <w:sz w:val="20"/>
              </w:rPr>
              <w:t>BVPS</w:t>
            </w:r>
            <w:r w:rsidRPr="00FD75F1">
              <w:rPr>
                <w:rFonts w:ascii="Times New Roman" w:hAnsi="Times New Roman" w:cs="Times New Roman"/>
                <w:i/>
                <w:iCs/>
                <w:sz w:val="20"/>
                <w:vertAlign w:val="subscript"/>
              </w:rPr>
              <w:t>i,t</w:t>
            </w:r>
            <w:proofErr w:type="spellEnd"/>
            <w:proofErr w:type="gramEnd"/>
          </w:p>
        </w:tc>
        <w:tc>
          <w:tcPr>
            <w:tcW w:w="4105" w:type="pct"/>
            <w:shd w:val="clear" w:color="auto" w:fill="auto"/>
            <w:vAlign w:val="center"/>
          </w:tcPr>
          <w:p w14:paraId="142ED132" w14:textId="77777777" w:rsidR="0089451B" w:rsidRPr="00FD75F1" w:rsidRDefault="0089451B" w:rsidP="00DA259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D75F1">
              <w:rPr>
                <w:rFonts w:ascii="Times New Roman" w:hAnsi="Times New Roman" w:cs="Times New Roman"/>
                <w:sz w:val="20"/>
              </w:rPr>
              <w:t>T</w:t>
            </w:r>
            <w:r w:rsidRPr="00FD75F1">
              <w:rPr>
                <w:rFonts w:ascii="Times New Roman" w:hAnsi="Times New Roman" w:cs="Times New Roman" w:hint="eastAsia"/>
                <w:sz w:val="20"/>
              </w:rPr>
              <w:t xml:space="preserve">he </w:t>
            </w:r>
            <w:r w:rsidRPr="00FD75F1">
              <w:rPr>
                <w:rFonts w:ascii="Times New Roman" w:hAnsi="Times New Roman" w:cs="Times New Roman"/>
                <w:sz w:val="20"/>
              </w:rPr>
              <w:t xml:space="preserve">book value of equity per share for firm </w:t>
            </w:r>
            <w:proofErr w:type="spellStart"/>
            <w:r w:rsidRPr="00FD75F1">
              <w:rPr>
                <w:rFonts w:ascii="Times New Roman" w:hAnsi="Times New Roman" w:cs="Times New Roman"/>
                <w:i/>
                <w:sz w:val="20"/>
              </w:rPr>
              <w:t>i</w:t>
            </w:r>
            <w:proofErr w:type="spellEnd"/>
            <w:r w:rsidRPr="00FD75F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FD75F1">
              <w:rPr>
                <w:rFonts w:ascii="Times New Roman" w:hAnsi="Times New Roman" w:cs="Times New Roman"/>
                <w:sz w:val="20"/>
              </w:rPr>
              <w:t xml:space="preserve">in year </w:t>
            </w:r>
            <w:r w:rsidRPr="00FD75F1">
              <w:rPr>
                <w:rFonts w:ascii="Times New Roman" w:hAnsi="Times New Roman" w:cs="Times New Roman"/>
                <w:i/>
                <w:sz w:val="20"/>
              </w:rPr>
              <w:t>t</w:t>
            </w:r>
            <w:r w:rsidRPr="00FD75F1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</w:tbl>
    <w:p w14:paraId="499F41F0" w14:textId="33AEEF44" w:rsidR="0089451B" w:rsidRPr="00FD75F1" w:rsidRDefault="0089451B">
      <w:r w:rsidRPr="00566852">
        <w:rPr>
          <w:rFonts w:ascii="Times New Roman" w:eastAsia="楷体" w:hAnsi="Times New Roman" w:cs="Times New Roman" w:hint="eastAsia"/>
          <w:sz w:val="20"/>
          <w:szCs w:val="20"/>
        </w:rPr>
        <w:t>N</w:t>
      </w:r>
      <w:r w:rsidRPr="00566852">
        <w:rPr>
          <w:rFonts w:ascii="Times New Roman" w:eastAsia="楷体" w:hAnsi="Times New Roman" w:cs="Times New Roman"/>
          <w:sz w:val="20"/>
          <w:szCs w:val="20"/>
        </w:rPr>
        <w:t xml:space="preserve">ote: </w:t>
      </w:r>
      <w:r w:rsidRPr="00566852">
        <w:rPr>
          <w:rFonts w:ascii="Times New Roman" w:hAnsi="Times New Roman" w:cs="Times New Roman"/>
          <w:bCs/>
          <w:sz w:val="20"/>
          <w:szCs w:val="18"/>
        </w:rPr>
        <w:t xml:space="preserve">This table presents variable definition. </w:t>
      </w:r>
      <w:r w:rsidRPr="00566852">
        <w:rPr>
          <w:rFonts w:ascii="Times New Roman" w:hAnsi="Times New Roman" w:cs="Times New Roman"/>
          <w:sz w:val="20"/>
          <w:szCs w:val="20"/>
        </w:rPr>
        <w:t>To avoid the potential confounding effect of R&amp;D expenditure on firm profitability, we follow prior studies (</w:t>
      </w:r>
      <w:proofErr w:type="spellStart"/>
      <w:r w:rsidRPr="00566852">
        <w:rPr>
          <w:rFonts w:ascii="Times New Roman" w:hAnsi="Times New Roman" w:cs="Times New Roman"/>
          <w:sz w:val="20"/>
          <w:szCs w:val="20"/>
        </w:rPr>
        <w:t>Cazavan</w:t>
      </w:r>
      <w:proofErr w:type="spellEnd"/>
      <w:r w:rsidRPr="00566852">
        <w:rPr>
          <w:rFonts w:ascii="Times New Roman" w:hAnsi="Times New Roman" w:cs="Times New Roman"/>
          <w:sz w:val="20"/>
          <w:szCs w:val="20"/>
        </w:rPr>
        <w:t xml:space="preserve">-Jenny </w:t>
      </w:r>
      <w:r w:rsidRPr="004E57F0">
        <w:rPr>
          <w:rFonts w:ascii="Times New Roman" w:hAnsi="Times New Roman" w:cs="Times New Roman"/>
          <w:i/>
          <w:sz w:val="20"/>
          <w:szCs w:val="20"/>
        </w:rPr>
        <w:t>et al</w:t>
      </w:r>
      <w:r w:rsidRPr="00566852">
        <w:rPr>
          <w:rFonts w:ascii="Times New Roman" w:hAnsi="Times New Roman" w:cs="Times New Roman"/>
          <w:sz w:val="20"/>
          <w:szCs w:val="20"/>
        </w:rPr>
        <w:t xml:space="preserve">., 2011; </w:t>
      </w:r>
      <w:proofErr w:type="spellStart"/>
      <w:r w:rsidRPr="00566852">
        <w:rPr>
          <w:rFonts w:ascii="Times New Roman" w:hAnsi="Times New Roman" w:cs="Times New Roman"/>
          <w:sz w:val="20"/>
          <w:szCs w:val="20"/>
        </w:rPr>
        <w:t>Dinh</w:t>
      </w:r>
      <w:proofErr w:type="spellEnd"/>
      <w:r w:rsidRPr="00566852">
        <w:rPr>
          <w:rFonts w:ascii="Times New Roman" w:hAnsi="Times New Roman" w:cs="Times New Roman"/>
          <w:sz w:val="20"/>
          <w:szCs w:val="20"/>
        </w:rPr>
        <w:t xml:space="preserve"> </w:t>
      </w:r>
      <w:r w:rsidRPr="004E57F0">
        <w:rPr>
          <w:rFonts w:ascii="Times New Roman" w:hAnsi="Times New Roman" w:cs="Times New Roman"/>
          <w:i/>
          <w:sz w:val="20"/>
          <w:szCs w:val="20"/>
        </w:rPr>
        <w:t>et al</w:t>
      </w:r>
      <w:r w:rsidRPr="00566852">
        <w:rPr>
          <w:rFonts w:ascii="Times New Roman" w:hAnsi="Times New Roman" w:cs="Times New Roman"/>
          <w:sz w:val="20"/>
          <w:szCs w:val="20"/>
        </w:rPr>
        <w:t xml:space="preserve">., 2016) to exclude the amount of expensed R&amp;D outlays from net income in the calculation of </w:t>
      </w:r>
      <w:proofErr w:type="spellStart"/>
      <w:r w:rsidRPr="00566852">
        <w:rPr>
          <w:rFonts w:ascii="Times New Roman" w:hAnsi="Times New Roman" w:cs="Times New Roman"/>
          <w:i/>
          <w:sz w:val="20"/>
          <w:szCs w:val="20"/>
        </w:rPr>
        <w:t>ROE</w:t>
      </w:r>
      <w:r w:rsidR="002D0C4A" w:rsidRPr="00566852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i,t</w:t>
      </w:r>
      <w:proofErr w:type="spellEnd"/>
      <w:r w:rsidR="002D0C4A">
        <w:rPr>
          <w:rFonts w:ascii="Times New Roman" w:hAnsi="Times New Roman" w:cs="Times New Roman"/>
          <w:iCs/>
          <w:sz w:val="20"/>
          <w:szCs w:val="20"/>
        </w:rPr>
        <w:t xml:space="preserve">, </w:t>
      </w:r>
      <w:proofErr w:type="spellStart"/>
      <w:r w:rsidRPr="00566852">
        <w:rPr>
          <w:rFonts w:ascii="Times New Roman" w:hAnsi="Times New Roman" w:cs="Times New Roman"/>
          <w:i/>
          <w:sz w:val="20"/>
          <w:szCs w:val="20"/>
        </w:rPr>
        <w:t>EBIT</w:t>
      </w:r>
      <w:r w:rsidR="002D0C4A" w:rsidRPr="00566852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i,t</w:t>
      </w:r>
      <w:proofErr w:type="spellEnd"/>
      <w:r w:rsidR="002D0C4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D0C4A" w:rsidRPr="002D0C4A">
        <w:rPr>
          <w:rFonts w:ascii="Times New Roman" w:hAnsi="Times New Roman" w:cs="Times New Roman"/>
          <w:iCs/>
          <w:sz w:val="20"/>
          <w:szCs w:val="20"/>
        </w:rPr>
        <w:t>and</w:t>
      </w:r>
      <w:r w:rsidR="002D0C4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2D0C4A">
        <w:rPr>
          <w:rFonts w:ascii="Times New Roman" w:hAnsi="Times New Roman" w:cs="Times New Roman"/>
          <w:i/>
          <w:sz w:val="20"/>
          <w:szCs w:val="20"/>
        </w:rPr>
        <w:t>EPS</w:t>
      </w:r>
      <w:r w:rsidR="002D0C4A" w:rsidRPr="00566852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i,t</w:t>
      </w:r>
      <w:proofErr w:type="spellEnd"/>
      <w:r w:rsidRPr="00566852">
        <w:rPr>
          <w:rFonts w:ascii="Times New Roman" w:hAnsi="Times New Roman" w:cs="Times New Roman"/>
          <w:sz w:val="20"/>
          <w:szCs w:val="20"/>
        </w:rPr>
        <w:t xml:space="preserve">, and exclude the amount of capitalized R&amp;D outlays from total assets in the calculation of </w:t>
      </w:r>
      <w:proofErr w:type="spellStart"/>
      <w:r w:rsidRPr="00566852">
        <w:rPr>
          <w:rFonts w:ascii="Times New Roman" w:hAnsi="Times New Roman" w:cs="Times New Roman"/>
          <w:i/>
          <w:sz w:val="20"/>
          <w:szCs w:val="20"/>
        </w:rPr>
        <w:t>ROA</w:t>
      </w:r>
      <w:r w:rsidRPr="00566852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i,t</w:t>
      </w:r>
      <w:proofErr w:type="spellEnd"/>
      <w:r w:rsidRPr="0056685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66852">
        <w:rPr>
          <w:rFonts w:ascii="Times New Roman" w:hAnsi="Times New Roman" w:cs="Times New Roman"/>
          <w:i/>
          <w:sz w:val="20"/>
          <w:szCs w:val="20"/>
        </w:rPr>
        <w:t>ROE</w:t>
      </w:r>
      <w:r w:rsidRPr="00566852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i,t</w:t>
      </w:r>
      <w:proofErr w:type="spellEnd"/>
      <w:r w:rsidRPr="00566852">
        <w:rPr>
          <w:rFonts w:ascii="Times New Roman" w:hAnsi="Times New Roman" w:cs="Times New Roman"/>
          <w:sz w:val="20"/>
          <w:szCs w:val="20"/>
        </w:rPr>
        <w:t>,</w:t>
      </w:r>
      <w:r w:rsidRPr="00566852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6852">
        <w:rPr>
          <w:rFonts w:ascii="Times New Roman" w:hAnsi="Times New Roman" w:cs="Times New Roman"/>
          <w:i/>
          <w:sz w:val="20"/>
          <w:szCs w:val="20"/>
        </w:rPr>
        <w:t>Size</w:t>
      </w:r>
      <w:r w:rsidRPr="00566852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i,t</w:t>
      </w:r>
      <w:proofErr w:type="spellEnd"/>
      <w:r w:rsidRPr="00566852">
        <w:rPr>
          <w:rFonts w:ascii="Times New Roman" w:hAnsi="Times New Roman" w:cs="Times New Roman"/>
          <w:sz w:val="20"/>
          <w:szCs w:val="20"/>
        </w:rPr>
        <w:t>,</w:t>
      </w:r>
      <w:r w:rsidRPr="00566852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6852">
        <w:rPr>
          <w:rFonts w:ascii="Times New Roman" w:hAnsi="Times New Roman" w:cs="Times New Roman"/>
          <w:i/>
          <w:sz w:val="20"/>
          <w:szCs w:val="20"/>
        </w:rPr>
        <w:t>Lev</w:t>
      </w:r>
      <w:r w:rsidRPr="00566852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i,t</w:t>
      </w:r>
      <w:proofErr w:type="spellEnd"/>
      <w:r w:rsidRPr="00566852">
        <w:rPr>
          <w:rFonts w:ascii="Times New Roman" w:hAnsi="Times New Roman" w:cs="Times New Roman"/>
          <w:sz w:val="20"/>
          <w:szCs w:val="20"/>
        </w:rPr>
        <w:t>,</w:t>
      </w:r>
      <w:r w:rsidRPr="00566852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6852">
        <w:rPr>
          <w:rFonts w:ascii="Times New Roman" w:hAnsi="Times New Roman" w:cs="Times New Roman"/>
          <w:i/>
          <w:sz w:val="20"/>
          <w:szCs w:val="20"/>
        </w:rPr>
        <w:t>MB</w:t>
      </w:r>
      <w:r w:rsidRPr="00566852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i,t</w:t>
      </w:r>
      <w:proofErr w:type="spellEnd"/>
      <w:r w:rsidRPr="0056685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D75F1">
        <w:rPr>
          <w:rFonts w:ascii="Times New Roman" w:hAnsi="Times New Roman" w:cs="Times New Roman"/>
          <w:i/>
          <w:sz w:val="20"/>
          <w:szCs w:val="20"/>
        </w:rPr>
        <w:t>Growth</w:t>
      </w:r>
      <w:bookmarkStart w:id="7" w:name="OLE_LINK68"/>
      <w:r w:rsidRPr="00FD75F1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i,t</w:t>
      </w:r>
      <w:bookmarkEnd w:id="7"/>
      <w:proofErr w:type="spellEnd"/>
      <w:r w:rsidRPr="00FD75F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D75F1">
        <w:rPr>
          <w:rFonts w:ascii="Times New Roman" w:hAnsi="Times New Roman" w:cs="Times New Roman"/>
          <w:i/>
          <w:sz w:val="20"/>
          <w:szCs w:val="20"/>
        </w:rPr>
        <w:t>RDint</w:t>
      </w:r>
      <w:r w:rsidRPr="00FD75F1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i,t</w:t>
      </w:r>
      <w:proofErr w:type="spellEnd"/>
      <w:r w:rsidRPr="00FD75F1">
        <w:rPr>
          <w:rFonts w:ascii="Times New Roman" w:hAnsi="Times New Roman" w:cs="Times New Roman"/>
          <w:iCs/>
          <w:sz w:val="20"/>
          <w:szCs w:val="20"/>
        </w:rPr>
        <w:t xml:space="preserve">, </w:t>
      </w:r>
      <w:proofErr w:type="spellStart"/>
      <w:r w:rsidRPr="00FD75F1">
        <w:rPr>
          <w:rFonts w:ascii="Times New Roman" w:hAnsi="Times New Roman" w:cs="Times New Roman"/>
          <w:i/>
          <w:iCs/>
          <w:sz w:val="20"/>
        </w:rPr>
        <w:t>MBE</w:t>
      </w:r>
      <w:r w:rsidRPr="00FD75F1">
        <w:rPr>
          <w:rFonts w:ascii="Times New Roman" w:hAnsi="Times New Roman" w:cs="Times New Roman"/>
          <w:i/>
          <w:iCs/>
          <w:sz w:val="20"/>
          <w:vertAlign w:val="subscript"/>
        </w:rPr>
        <w:t>i,t</w:t>
      </w:r>
      <w:proofErr w:type="spellEnd"/>
      <w:r w:rsidRPr="00FD75F1">
        <w:rPr>
          <w:rFonts w:ascii="Times New Roman" w:hAnsi="Times New Roman" w:cs="Times New Roman"/>
          <w:i/>
          <w:iCs/>
          <w:sz w:val="20"/>
        </w:rPr>
        <w:t>.</w:t>
      </w:r>
      <w:r w:rsidRPr="00FD75F1">
        <w:rPr>
          <w:rFonts w:ascii="Times New Roman" w:hAnsi="Times New Roman" w:cs="Times New Roman"/>
          <w:iCs/>
          <w:sz w:val="20"/>
        </w:rPr>
        <w:t>,</w:t>
      </w:r>
      <w:r w:rsidRPr="00FD75F1">
        <w:rPr>
          <w:rFonts w:ascii="Times New Roman" w:hAnsi="Times New Roman" w:cs="Times New Roman" w:hint="eastAsia"/>
          <w:i/>
          <w:sz w:val="20"/>
          <w:szCs w:val="20"/>
        </w:rPr>
        <w:t xml:space="preserve"> </w:t>
      </w:r>
      <w:bookmarkStart w:id="8" w:name="_Hlk172580077"/>
      <w:bookmarkStart w:id="9" w:name="OLE_LINK50"/>
      <w:proofErr w:type="spellStart"/>
      <w:r w:rsidRPr="00FD75F1">
        <w:rPr>
          <w:rFonts w:ascii="Times New Roman" w:hAnsi="Times New Roman" w:cs="Times New Roman" w:hint="eastAsia"/>
          <w:i/>
          <w:sz w:val="20"/>
          <w:szCs w:val="20"/>
        </w:rPr>
        <w:t>P</w:t>
      </w:r>
      <w:r w:rsidRPr="00FD75F1">
        <w:rPr>
          <w:rFonts w:ascii="Times New Roman" w:hAnsi="Times New Roman" w:cs="Times New Roman"/>
          <w:i/>
          <w:sz w:val="20"/>
          <w:szCs w:val="20"/>
        </w:rPr>
        <w:t>PE</w:t>
      </w:r>
      <w:r w:rsidRPr="00FD75F1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i,t</w:t>
      </w:r>
      <w:proofErr w:type="spellEnd"/>
      <w:r w:rsidRPr="00FD75F1">
        <w:rPr>
          <w:rFonts w:ascii="Times New Roman" w:hAnsi="Times New Roman" w:cs="Times New Roman"/>
          <w:iCs/>
          <w:sz w:val="20"/>
          <w:szCs w:val="20"/>
        </w:rPr>
        <w:t xml:space="preserve">, </w:t>
      </w:r>
      <w:proofErr w:type="spellStart"/>
      <w:r w:rsidRPr="00FD75F1">
        <w:rPr>
          <w:rFonts w:ascii="Times New Roman" w:hAnsi="Times New Roman" w:cs="Times New Roman" w:hint="eastAsia"/>
          <w:i/>
          <w:sz w:val="20"/>
          <w:szCs w:val="20"/>
        </w:rPr>
        <w:t>C</w:t>
      </w:r>
      <w:r w:rsidRPr="00FD75F1">
        <w:rPr>
          <w:rFonts w:ascii="Times New Roman" w:hAnsi="Times New Roman" w:cs="Times New Roman"/>
          <w:i/>
          <w:sz w:val="20"/>
          <w:szCs w:val="20"/>
        </w:rPr>
        <w:t>apitalexp</w:t>
      </w:r>
      <w:r w:rsidRPr="00FD75F1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i,t</w:t>
      </w:r>
      <w:proofErr w:type="spellEnd"/>
      <w:r w:rsidRPr="00FD75F1">
        <w:rPr>
          <w:rFonts w:ascii="Times New Roman" w:hAnsi="Times New Roman" w:cs="Times New Roman"/>
          <w:sz w:val="20"/>
          <w:szCs w:val="20"/>
        </w:rPr>
        <w:t>,</w:t>
      </w:r>
      <w:bookmarkEnd w:id="8"/>
      <w:bookmarkEnd w:id="9"/>
      <w:r w:rsidRPr="00FD75F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D75F1">
        <w:rPr>
          <w:rFonts w:ascii="Times New Roman" w:hAnsi="Times New Roman" w:cs="Times New Roman"/>
          <w:i/>
          <w:sz w:val="20"/>
          <w:szCs w:val="20"/>
        </w:rPr>
        <w:t>EBIT</w:t>
      </w:r>
      <w:r w:rsidRPr="00FD75F1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i,t</w:t>
      </w:r>
      <w:proofErr w:type="spellEnd"/>
      <w:r w:rsidRPr="00FD75F1">
        <w:rPr>
          <w:rFonts w:ascii="Times New Roman" w:hAnsi="Times New Roman" w:cs="Times New Roman"/>
          <w:iCs/>
          <w:sz w:val="20"/>
          <w:szCs w:val="20"/>
        </w:rPr>
        <w:t xml:space="preserve">,, </w:t>
      </w:r>
      <w:proofErr w:type="spellStart"/>
      <w:r w:rsidRPr="00FD75F1">
        <w:rPr>
          <w:rFonts w:ascii="Times New Roman" w:hAnsi="Times New Roman" w:cs="Times New Roman"/>
          <w:i/>
          <w:sz w:val="20"/>
          <w:szCs w:val="20"/>
        </w:rPr>
        <w:t>MROA</w:t>
      </w:r>
      <w:r w:rsidRPr="00FD75F1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i,t</w:t>
      </w:r>
      <w:proofErr w:type="spellEnd"/>
      <w:r w:rsidR="002D0C4A" w:rsidRPr="00FD75F1">
        <w:rPr>
          <w:rFonts w:ascii="Times New Roman" w:hAnsi="Times New Roman" w:cs="Times New Roman"/>
          <w:iCs/>
          <w:sz w:val="20"/>
          <w:szCs w:val="20"/>
        </w:rPr>
        <w:t xml:space="preserve">, </w:t>
      </w:r>
      <w:proofErr w:type="spellStart"/>
      <w:r w:rsidRPr="00FD75F1">
        <w:rPr>
          <w:rFonts w:ascii="Times New Roman" w:hAnsi="Times New Roman" w:cs="Times New Roman" w:hint="eastAsia"/>
          <w:i/>
          <w:iCs/>
          <w:sz w:val="20"/>
        </w:rPr>
        <w:t>R</w:t>
      </w:r>
      <w:r w:rsidRPr="00FD75F1">
        <w:rPr>
          <w:rFonts w:ascii="Times New Roman" w:hAnsi="Times New Roman" w:cs="Times New Roman"/>
          <w:i/>
          <w:iCs/>
          <w:sz w:val="20"/>
        </w:rPr>
        <w:t>Dint_vol</w:t>
      </w:r>
      <w:r w:rsidRPr="00FD75F1">
        <w:rPr>
          <w:rFonts w:ascii="Times New Roman" w:hAnsi="Times New Roman" w:cs="Times New Roman"/>
          <w:i/>
          <w:iCs/>
          <w:sz w:val="20"/>
          <w:vertAlign w:val="subscript"/>
        </w:rPr>
        <w:t>i,t</w:t>
      </w:r>
      <w:proofErr w:type="spellEnd"/>
      <w:r w:rsidR="002D0C4A" w:rsidRPr="00FD75F1">
        <w:rPr>
          <w:rFonts w:ascii="Times New Roman" w:eastAsia="楷体" w:hAnsi="Times New Roman" w:cs="Times New Roman"/>
          <w:b/>
          <w:sz w:val="20"/>
          <w:szCs w:val="20"/>
        </w:rPr>
        <w:t xml:space="preserve"> </w:t>
      </w:r>
      <w:r w:rsidR="002D0C4A" w:rsidRPr="00FD75F1">
        <w:rPr>
          <w:rFonts w:ascii="Times New Roman" w:hAnsi="Times New Roman" w:cs="Times New Roman"/>
          <w:iCs/>
          <w:sz w:val="20"/>
          <w:szCs w:val="20"/>
        </w:rPr>
        <w:t>and</w:t>
      </w:r>
      <w:r w:rsidR="002D0C4A" w:rsidRPr="00FD75F1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="002D0C4A" w:rsidRPr="00FD75F1">
        <w:rPr>
          <w:rFonts w:ascii="Times New Roman" w:hAnsi="Times New Roman" w:cs="Times New Roman"/>
          <w:i/>
          <w:sz w:val="20"/>
          <w:szCs w:val="20"/>
        </w:rPr>
        <w:t>BVPS</w:t>
      </w:r>
      <w:r w:rsidR="002D0C4A" w:rsidRPr="00FD75F1">
        <w:rPr>
          <w:rFonts w:ascii="Times New Roman" w:hAnsi="Times New Roman" w:cs="Times New Roman"/>
          <w:i/>
          <w:sz w:val="20"/>
          <w:szCs w:val="20"/>
          <w:vertAlign w:val="subscript"/>
        </w:rPr>
        <w:t>i,t</w:t>
      </w:r>
      <w:proofErr w:type="spellEnd"/>
      <w:r w:rsidR="002D0C4A" w:rsidRPr="00FD75F1">
        <w:rPr>
          <w:rFonts w:ascii="Times New Roman" w:hAnsi="Times New Roman" w:cs="Times New Roman"/>
          <w:i/>
          <w:sz w:val="20"/>
          <w:szCs w:val="20"/>
        </w:rPr>
        <w:t>.</w:t>
      </w:r>
    </w:p>
    <w:sectPr w:rsidR="0089451B" w:rsidRPr="00FD75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51B"/>
    <w:rsid w:val="00187C52"/>
    <w:rsid w:val="002D0C4A"/>
    <w:rsid w:val="002E0ABC"/>
    <w:rsid w:val="0066719D"/>
    <w:rsid w:val="0089451B"/>
    <w:rsid w:val="009B4147"/>
    <w:rsid w:val="00D23ABD"/>
    <w:rsid w:val="00D81687"/>
    <w:rsid w:val="00FD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C8368"/>
  <w15:docId w15:val="{1F9A9D22-F64A-4161-98E4-37ECC269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3D907-BDB7-428E-93BC-B2226F181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736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TNQ</dc:creator>
  <cp:lastModifiedBy>Lizhu</cp:lastModifiedBy>
  <cp:revision>3</cp:revision>
  <dcterms:created xsi:type="dcterms:W3CDTF">2026-06-10T07:59:00Z</dcterms:created>
  <dcterms:modified xsi:type="dcterms:W3CDTF">2026-06-10T08:00:00Z</dcterms:modified>
</cp:coreProperties>
</file>