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A0" w:rsidRDefault="008D14A0" w:rsidP="008D14A0">
      <w:pPr>
        <w:pStyle w:val="Heading1"/>
        <w:rPr>
          <w:color w:val="1F497D" w:themeColor="text2"/>
          <w:szCs w:val="24"/>
        </w:rPr>
      </w:pPr>
      <w:r>
        <w:rPr>
          <w:rFonts w:hint="eastAsia"/>
          <w:color w:val="1F497D" w:themeColor="text2"/>
          <w:szCs w:val="24"/>
        </w:rPr>
        <w:t>Ap</w:t>
      </w:r>
      <w:r>
        <w:rPr>
          <w:color w:val="1F497D" w:themeColor="text2"/>
          <w:szCs w:val="24"/>
        </w:rPr>
        <w:t>pendix A</w:t>
      </w:r>
      <w:r>
        <w:rPr>
          <w:rFonts w:eastAsiaTheme="minorEastAsia" w:hint="eastAsia"/>
          <w:color w:val="1F497D" w:themeColor="text2"/>
          <w:szCs w:val="24"/>
        </w:rPr>
        <w:t>.</w:t>
      </w:r>
      <w:r>
        <w:rPr>
          <w:color w:val="1F497D" w:themeColor="text2"/>
          <w:szCs w:val="24"/>
        </w:rPr>
        <w:t xml:space="preserve"> Variable Definition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7351"/>
      </w:tblGrid>
      <w:tr w:rsidR="008D14A0" w:rsidTr="00DF2E92"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Va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riable</w:t>
            </w:r>
          </w:p>
        </w:tc>
        <w:tc>
          <w:tcPr>
            <w:tcW w:w="38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efinition</w:t>
            </w:r>
          </w:p>
        </w:tc>
      </w:tr>
      <w:tr w:rsidR="008D14A0" w:rsidTr="00DF2E9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D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ependent variables </w:t>
            </w:r>
          </w:p>
        </w:tc>
      </w:tr>
      <w:tr w:rsidR="008D14A0" w:rsidTr="00DF2E92">
        <w:tc>
          <w:tcPr>
            <w:tcW w:w="1162" w:type="pct"/>
            <w:tcBorders>
              <w:top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LS</w:t>
            </w:r>
          </w:p>
        </w:tc>
        <w:tc>
          <w:tcPr>
            <w:tcW w:w="3838" w:type="pct"/>
            <w:tcBorders>
              <w:top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Aggregate 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co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mpensation paid to employees divided by sales revenue. Aggregate compensation is measured as cash compensation paid to employees plus changes in employee compensation payable.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LN_LS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Logarithmically converted form of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.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LN_LS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=</w:t>
            </w:r>
            <w:proofErr w:type="gramStart"/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ln(</w:t>
            </w:r>
            <w:proofErr w:type="gramEnd"/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/(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1-LS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)).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M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ompensation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paid to 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management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divided by sales revenue.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LN_LS</w:t>
            </w: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M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Logarithmically converted form of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.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LN_LS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=</w:t>
            </w:r>
            <w:proofErr w:type="gramStart"/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ln(</w:t>
            </w:r>
            <w:proofErr w:type="gramEnd"/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/(1-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M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)).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RE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ompensation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paid to rank-and-file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 xml:space="preserve"> employees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divided by sales revenue.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LN_LS</w:t>
            </w: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RE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Logarithmically converted form of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RE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.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LN_LS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RE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=</w:t>
            </w:r>
            <w:proofErr w:type="gramStart"/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ln(</w:t>
            </w:r>
            <w:proofErr w:type="gramEnd"/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RE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/(1-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LS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1F497D" w:themeColor="text2"/>
                <w:sz w:val="20"/>
                <w:szCs w:val="20"/>
              </w:rPr>
              <w:t>RE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)).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HIRE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The 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 xml:space="preserve">percentage 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changes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 xml:space="preserve"> in the number of employees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ABS_INEFFLABOR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The absolute value of the residual </w:t>
            </w:r>
            <w:r>
              <w:rPr>
                <w:rFonts w:ascii="Times New Roman" w:eastAsia="SimSun" w:hAnsi="Times New Roman"/>
                <w:color w:val="1F497D" w:themeColor="text2"/>
                <w:sz w:val="20"/>
                <w:szCs w:val="20"/>
              </w:rPr>
              <w:t xml:space="preserve">obtained from the OLS estimation </w:t>
            </w:r>
            <w:r>
              <w:rPr>
                <w:rFonts w:ascii="Times New Roman" w:eastAsia="SimSun" w:hAnsi="Times New Roman" w:hint="eastAsia"/>
                <w:color w:val="1F497D" w:themeColor="text2"/>
                <w:sz w:val="20"/>
                <w:szCs w:val="20"/>
              </w:rPr>
              <w:t>of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Eq. (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) for firm </w:t>
            </w: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in year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I</w:t>
            </w: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NEFFLABOR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The signed value of the residual </w:t>
            </w:r>
            <w:r>
              <w:rPr>
                <w:rFonts w:ascii="Times New Roman" w:eastAsia="SimSun" w:hAnsi="Times New Roman"/>
                <w:color w:val="1F497D" w:themeColor="text2"/>
                <w:sz w:val="20"/>
                <w:szCs w:val="20"/>
              </w:rPr>
              <w:t xml:space="preserve">obtained from the OLS estimation 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of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Eq. (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) for firm </w:t>
            </w: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in year </w:t>
            </w: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ROA_P1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R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eturn on total assets of RM firms in the first year after the performance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commitment period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ROA_P2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R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eturn on total assets of RM firms in the 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second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year after the performance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commitment period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.</w:t>
            </w:r>
          </w:p>
        </w:tc>
      </w:tr>
      <w:tr w:rsidR="008D14A0" w:rsidTr="00DF2E9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Cs/>
                <w:color w:val="1F497D" w:themeColor="text2"/>
                <w:sz w:val="20"/>
                <w:szCs w:val="20"/>
              </w:rPr>
              <w:t>Independent variables</w:t>
            </w:r>
          </w:p>
        </w:tc>
      </w:tr>
      <w:tr w:rsidR="008D14A0" w:rsidTr="00DF2E92">
        <w:tc>
          <w:tcPr>
            <w:tcW w:w="1162" w:type="pct"/>
            <w:tcBorders>
              <w:top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1F497D" w:themeColor="text2"/>
                <w:sz w:val="20"/>
                <w:szCs w:val="20"/>
              </w:rPr>
              <w:t>RM</w:t>
            </w:r>
          </w:p>
        </w:tc>
        <w:tc>
          <w:tcPr>
            <w:tcW w:w="3838" w:type="pct"/>
            <w:tcBorders>
              <w:top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An indicator variable that equals 1 for treatment (RM) firms, and 0 for control (IPO) firms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PC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An indicator variable, taking the value of 1 for the commitment period of RM firms (years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,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+1, and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+2 of IPO firms), and 0 for the post-commitment period of RM firms (years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+3,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+4, and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+5 of IPO firms). We use </w:t>
            </w:r>
            <w:r>
              <w:rPr>
                <w:rFonts w:ascii="Times New Roman" w:eastAsia="DengXian" w:hAnsi="Times New Roman" w:cs="Times New Roman"/>
                <w:i/>
                <w:iCs/>
                <w:color w:val="1F497D" w:themeColor="text2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 to denote the first year in which a firm is publicly listed.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ACHIEVE1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An indicator variable which equals 1 if the firm fails to achieve the performance </w:t>
            </w:r>
            <w:proofErr w:type="gramStart"/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target,</w:t>
            </w:r>
            <w:proofErr w:type="gramEnd"/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 and 0 otherwise.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ACHIEVE2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An indicator variable which equals 1 if the firm fails to achieve the performance target or just achieves </w:t>
            </w:r>
            <w:r>
              <w:rPr>
                <w:rFonts w:ascii="Times New Roman" w:eastAsia="DengXian" w:hAnsi="Times New Roman" w:cs="Times New Roman" w:hint="eastAsia"/>
                <w:color w:val="1F497D" w:themeColor="text2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performance target within 5 percent, and 0 otherwise.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CTB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he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amount of performance target in commitment divided by the book value of acquired assets.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i/>
                <w:color w:val="1F497D" w:themeColor="text2"/>
                <w:sz w:val="20"/>
                <w:szCs w:val="20"/>
              </w:rPr>
              <w:t>LS_AVG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he average labor share over the commitment period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.</w:t>
            </w:r>
          </w:p>
        </w:tc>
      </w:tr>
      <w:tr w:rsidR="008D14A0" w:rsidTr="00DF2E9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iCs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Times New Roman" w:eastAsia="SimSun" w:hAnsi="Times New Roman" w:cs="Times New Roman"/>
                <w:iCs/>
                <w:color w:val="1F497D" w:themeColor="text2"/>
                <w:sz w:val="20"/>
                <w:szCs w:val="20"/>
              </w:rPr>
              <w:t>ontrol variables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FIRST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The percentage of shares held by the top one shareholder.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DUAL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An indicator which equals 1 if the CEO and board chair are the same person, and 0 otherwise. 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SOE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An indicator variable which equals 1 if the firm is ultimately controlled by the </w:t>
            </w:r>
            <w:proofErr w:type="gramStart"/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government,</w:t>
            </w:r>
            <w:proofErr w:type="gramEnd"/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 and 0 otherwise.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WAGE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he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 xml:space="preserve">natural 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logarithm of cash 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paid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to employees. 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SIZE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The natural logarithm of the firm’s total assets at fiscal year-end.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LEV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Total liabilities divided by the total assets of the firm.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ROA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Net income divided by the total assets of the firm.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MARGIN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G</w:t>
            </w: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ross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 margin, measured as sales revenue minus cost of sales divided by sales revenue. 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KY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Cap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 xml:space="preserve">ital-output ratio, measured as the book value of fixed assets divided by sales revenue. </w:t>
            </w:r>
          </w:p>
        </w:tc>
      </w:tr>
      <w:tr w:rsidR="008D14A0" w:rsidTr="00DF2E92">
        <w:tc>
          <w:tcPr>
            <w:tcW w:w="1162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CI</w:t>
            </w:r>
          </w:p>
        </w:tc>
        <w:tc>
          <w:tcPr>
            <w:tcW w:w="3838" w:type="pct"/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1F497D" w:themeColor="text2"/>
                <w:sz w:val="20"/>
                <w:szCs w:val="20"/>
              </w:rPr>
              <w:t>C</w:t>
            </w:r>
            <w: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  <w:t>apital intensity, measured as the total assets divided by sales revenue.</w:t>
            </w:r>
          </w:p>
        </w:tc>
      </w:tr>
      <w:tr w:rsidR="008D14A0" w:rsidTr="00DF2E92">
        <w:tc>
          <w:tcPr>
            <w:tcW w:w="1162" w:type="pct"/>
            <w:tcBorders>
              <w:bottom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1F497D" w:themeColor="text2"/>
                <w:sz w:val="20"/>
                <w:szCs w:val="20"/>
              </w:rPr>
              <w:t>TOBINQ</w:t>
            </w:r>
          </w:p>
        </w:tc>
        <w:tc>
          <w:tcPr>
            <w:tcW w:w="3838" w:type="pct"/>
            <w:tcBorders>
              <w:bottom w:val="single" w:sz="4" w:space="0" w:color="auto"/>
            </w:tcBorders>
          </w:tcPr>
          <w:p w:rsidR="008D14A0" w:rsidRDefault="008D14A0" w:rsidP="00DF2E92">
            <w:pPr>
              <w:rPr>
                <w:rFonts w:ascii="Times New Roman" w:eastAsia="SimSun" w:hAnsi="Times New Roman" w:cs="Times New Roman"/>
                <w:color w:val="1F497D" w:themeColor="text2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color w:val="1F497D" w:themeColor="text2"/>
                <w:kern w:val="0"/>
                <w:sz w:val="20"/>
                <w:szCs w:val="20"/>
              </w:rPr>
              <w:t>The market value of equity divided by the book value of equity.</w:t>
            </w:r>
          </w:p>
        </w:tc>
      </w:tr>
    </w:tbl>
    <w:p w:rsidR="008D14A0" w:rsidRDefault="008D14A0" w:rsidP="008D14A0">
      <w:pPr>
        <w:rPr>
          <w:rFonts w:ascii="Times New Roman" w:eastAsia="SimSun" w:hAnsi="Times New Roman" w:cs="Times New Roman"/>
          <w:color w:val="1F497D" w:themeColor="text2"/>
          <w:sz w:val="20"/>
          <w:szCs w:val="20"/>
        </w:rPr>
      </w:pPr>
    </w:p>
    <w:p w:rsidR="008D14A0" w:rsidRDefault="008D14A0" w:rsidP="008D14A0">
      <w:pPr>
        <w:rPr>
          <w:rFonts w:ascii="Times New Roman" w:eastAsia="SimSun" w:hAnsi="Times New Roman" w:cs="Times New Roman"/>
          <w:color w:val="1F497D" w:themeColor="text2"/>
          <w:sz w:val="20"/>
          <w:szCs w:val="20"/>
        </w:rPr>
      </w:pPr>
    </w:p>
    <w:p w:rsidR="000F090D" w:rsidRDefault="008D14A0">
      <w:bookmarkStart w:id="0" w:name="_GoBack"/>
      <w:bookmarkEnd w:id="0"/>
    </w:p>
    <w:sectPr w:rsidR="000F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A0"/>
    <w:rsid w:val="00786AD8"/>
    <w:rsid w:val="008D14A0"/>
    <w:rsid w:val="00F9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A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4A0"/>
    <w:pPr>
      <w:keepNext/>
      <w:keepLines/>
      <w:spacing w:line="480" w:lineRule="auto"/>
      <w:outlineLvl w:val="0"/>
    </w:pPr>
    <w:rPr>
      <w:rFonts w:ascii="Times New Roman" w:eastAsia="Times New Roman" w:hAnsi="Times New Roman" w:cstheme="majorBidi"/>
      <w:b/>
      <w:color w:val="000000" w:themeColor="text1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14A0"/>
    <w:rPr>
      <w:rFonts w:ascii="Times New Roman" w:eastAsia="Times New Roman" w:hAnsi="Times New Roman" w:cstheme="majorBidi"/>
      <w:b/>
      <w:color w:val="000000" w:themeColor="text1"/>
      <w:kern w:val="2"/>
      <w:sz w:val="24"/>
      <w:szCs w:val="48"/>
      <w:lang w:eastAsia="zh-CN"/>
    </w:rPr>
  </w:style>
  <w:style w:type="table" w:styleId="TableGrid">
    <w:name w:val="Table Grid"/>
    <w:basedOn w:val="TableNormal"/>
    <w:uiPriority w:val="59"/>
    <w:qFormat/>
    <w:rsid w:val="008D14A0"/>
    <w:pPr>
      <w:spacing w:after="0" w:line="240" w:lineRule="auto"/>
    </w:pPr>
    <w:rPr>
      <w:rFonts w:eastAsiaTheme="minorEastAsia"/>
      <w:kern w:val="2"/>
      <w:sz w:val="21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A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4A0"/>
    <w:pPr>
      <w:keepNext/>
      <w:keepLines/>
      <w:spacing w:line="480" w:lineRule="auto"/>
      <w:outlineLvl w:val="0"/>
    </w:pPr>
    <w:rPr>
      <w:rFonts w:ascii="Times New Roman" w:eastAsia="Times New Roman" w:hAnsi="Times New Roman" w:cstheme="majorBidi"/>
      <w:b/>
      <w:color w:val="000000" w:themeColor="text1"/>
      <w:sz w:val="2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14A0"/>
    <w:rPr>
      <w:rFonts w:ascii="Times New Roman" w:eastAsia="Times New Roman" w:hAnsi="Times New Roman" w:cstheme="majorBidi"/>
      <w:b/>
      <w:color w:val="000000" w:themeColor="text1"/>
      <w:kern w:val="2"/>
      <w:sz w:val="24"/>
      <w:szCs w:val="48"/>
      <w:lang w:eastAsia="zh-CN"/>
    </w:rPr>
  </w:style>
  <w:style w:type="table" w:styleId="TableGrid">
    <w:name w:val="Table Grid"/>
    <w:basedOn w:val="TableNormal"/>
    <w:uiPriority w:val="59"/>
    <w:qFormat/>
    <w:rsid w:val="008D14A0"/>
    <w:pPr>
      <w:spacing w:after="0" w:line="240" w:lineRule="auto"/>
    </w:pPr>
    <w:rPr>
      <w:rFonts w:eastAsiaTheme="minorEastAsia"/>
      <w:kern w:val="2"/>
      <w:sz w:val="21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2026-06-26T06:14:00Z</dcterms:created>
  <dcterms:modified xsi:type="dcterms:W3CDTF">2026-06-26T06:14:00Z</dcterms:modified>
</cp:coreProperties>
</file>