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6FC17" w14:textId="55CF52B0" w:rsidR="00CD2500" w:rsidRDefault="00CD2500" w:rsidP="00CD2500">
      <w:pPr>
        <w:rPr>
          <w:rFonts w:ascii="Calibri" w:eastAsia="Calibri" w:hAnsi="Calibri" w:cs="Times New Roman"/>
          <w:b/>
          <w:kern w:val="2"/>
          <w:sz w:val="44"/>
          <w:szCs w:val="44"/>
          <w14:ligatures w14:val="standardContextual"/>
        </w:rPr>
      </w:pPr>
    </w:p>
    <w:p w14:paraId="77A4500F" w14:textId="7BFAE598" w:rsidR="00CD2500" w:rsidRPr="00CD2500" w:rsidRDefault="00CD2500" w:rsidP="00CD2500">
      <w:pPr>
        <w:pBdr>
          <w:top w:val="single" w:sz="4" w:space="1" w:color="auto"/>
        </w:pBdr>
        <w:jc w:val="center"/>
        <w:rPr>
          <w:rFonts w:ascii="Calibri" w:eastAsia="Calibri" w:hAnsi="Calibri" w:cs="Times New Roman"/>
          <w:b/>
          <w:kern w:val="2"/>
          <w:sz w:val="44"/>
          <w:szCs w:val="44"/>
          <w14:ligatures w14:val="standardContextual"/>
        </w:rPr>
      </w:pPr>
      <w:r w:rsidRPr="00CD2500">
        <w:rPr>
          <w:rFonts w:ascii="Calibri" w:eastAsia="Calibri" w:hAnsi="Calibri" w:cs="Times New Roman"/>
          <w:b/>
          <w:kern w:val="2"/>
          <w:sz w:val="44"/>
          <w:szCs w:val="44"/>
          <w14:ligatures w14:val="standardContextual"/>
        </w:rPr>
        <w:t>Supplementary Materials</w:t>
      </w:r>
    </w:p>
    <w:p w14:paraId="33514355" w14:textId="77777777" w:rsidR="00CD2500" w:rsidRPr="00CD2500" w:rsidRDefault="00CD2500" w:rsidP="00CD2500">
      <w:pPr>
        <w:pBdr>
          <w:bottom w:val="single" w:sz="6" w:space="1" w:color="auto"/>
        </w:pBdr>
        <w:jc w:val="center"/>
        <w:rPr>
          <w:rFonts w:ascii="Calibri" w:eastAsia="Calibri" w:hAnsi="Calibri" w:cs="Times New Roman"/>
          <w:b/>
          <w:kern w:val="2"/>
          <w:sz w:val="32"/>
          <w:szCs w:val="32"/>
          <w:lang w:val="en-GB"/>
          <w14:ligatures w14:val="standardContextual"/>
        </w:rPr>
      </w:pPr>
      <w:r w:rsidRPr="00CD2500">
        <w:rPr>
          <w:rFonts w:ascii="Calibri" w:eastAsia="Calibri" w:hAnsi="Calibri" w:cs="Times New Roman"/>
          <w:b/>
          <w:kern w:val="2"/>
          <w:sz w:val="32"/>
          <w:szCs w:val="32"/>
          <w:lang w:val="en-GB"/>
          <w14:ligatures w14:val="standardContextual"/>
        </w:rPr>
        <w:t>Fintech Adoption Amidst Constraints: A Dual-Factor Perspective</w:t>
      </w:r>
    </w:p>
    <w:p w14:paraId="508EC987" w14:textId="7F2BC5E1" w:rsidR="00CD2500" w:rsidRPr="00CD2500" w:rsidRDefault="00CD2500" w:rsidP="00CD2500">
      <w:pPr>
        <w:pBdr>
          <w:bottom w:val="single" w:sz="6" w:space="1" w:color="auto"/>
        </w:pBdr>
        <w:jc w:val="center"/>
        <w:rPr>
          <w:rFonts w:ascii="Calibri" w:eastAsia="Calibri" w:hAnsi="Calibri" w:cs="Times New Roman"/>
          <w:kern w:val="2"/>
          <w:sz w:val="32"/>
          <w:szCs w:val="32"/>
          <w14:ligatures w14:val="standardContextual"/>
        </w:rPr>
      </w:pPr>
      <w:r>
        <w:rPr>
          <w:rFonts w:ascii="Calibri" w:eastAsia="Calibri" w:hAnsi="Calibri" w:cs="Times New Roman"/>
          <w:kern w:val="2"/>
          <w:sz w:val="32"/>
          <w:szCs w:val="32"/>
          <w14:ligatures w14:val="standardContextual"/>
        </w:rPr>
        <w:t>DOI</w:t>
      </w:r>
      <w:r w:rsidRPr="00CD2500">
        <w:rPr>
          <w:rFonts w:ascii="Calibri" w:eastAsia="Calibri" w:hAnsi="Calibri" w:cs="Times New Roman"/>
          <w:b/>
          <w:kern w:val="2"/>
          <w:sz w:val="32"/>
          <w:szCs w:val="32"/>
          <w14:ligatures w14:val="standardContextual"/>
        </w:rPr>
        <w:t>:</w:t>
      </w:r>
      <w:hyperlink r:id="rId4" w:history="1">
        <w:r w:rsidR="00135AFB" w:rsidRPr="00135AFB">
          <w:rPr>
            <w:rStyle w:val="Hyperlink"/>
            <w:rFonts w:ascii="Calibri" w:eastAsia="Calibri" w:hAnsi="Calibri" w:cs="Times New Roman"/>
            <w:b/>
            <w:kern w:val="2"/>
            <w:sz w:val="32"/>
            <w:szCs w:val="32"/>
            <w:lang w:val="en-GB"/>
            <w14:ligatures w14:val="standardContextual"/>
          </w:rPr>
          <w:t>https://doi.org/10.1108/DTS-07-2024-0131</w:t>
        </w:r>
      </w:hyperlink>
      <w:r w:rsidR="00135AFB">
        <w:rPr>
          <w:rFonts w:ascii="Calibri" w:eastAsia="Calibri" w:hAnsi="Calibri" w:cs="Times New Roman"/>
          <w:b/>
          <w:kern w:val="2"/>
          <w:sz w:val="32"/>
          <w:szCs w:val="32"/>
          <w14:ligatures w14:val="standardContextual"/>
        </w:rPr>
        <w:t xml:space="preserve"> </w:t>
      </w:r>
    </w:p>
    <w:p w14:paraId="35149552" w14:textId="77777777" w:rsidR="00CD2500" w:rsidRDefault="00CD2500" w:rsidP="004B0E9E">
      <w:pPr>
        <w:spacing w:line="360" w:lineRule="auto"/>
        <w:jc w:val="both"/>
        <w:rPr>
          <w:rFonts w:ascii="Times New Roman" w:eastAsia="Calibri" w:hAnsi="Times New Roman" w:cs="Times New Roman"/>
          <w:b/>
          <w:sz w:val="24"/>
          <w:szCs w:val="24"/>
        </w:rPr>
      </w:pPr>
    </w:p>
    <w:p w14:paraId="0BF49BE8" w14:textId="5D5C32C5" w:rsidR="004B0E9E" w:rsidRPr="000822B7" w:rsidRDefault="004B0E9E" w:rsidP="004B0E9E">
      <w:pPr>
        <w:spacing w:line="360" w:lineRule="auto"/>
        <w:jc w:val="both"/>
        <w:rPr>
          <w:rFonts w:ascii="Times New Roman" w:eastAsia="Calibri" w:hAnsi="Times New Roman" w:cs="Times New Roman"/>
          <w:b/>
          <w:sz w:val="24"/>
          <w:szCs w:val="24"/>
        </w:rPr>
      </w:pPr>
      <w:r w:rsidRPr="000822B7">
        <w:rPr>
          <w:rFonts w:ascii="Times New Roman" w:eastAsia="Calibri" w:hAnsi="Times New Roman" w:cs="Times New Roman"/>
          <w:b/>
          <w:sz w:val="24"/>
          <w:szCs w:val="24"/>
        </w:rPr>
        <w:t xml:space="preserve">Table </w:t>
      </w:r>
      <w:r w:rsidR="000822B7" w:rsidRPr="000822B7">
        <w:rPr>
          <w:rFonts w:ascii="Times New Roman" w:eastAsia="Calibri" w:hAnsi="Times New Roman" w:cs="Times New Roman"/>
          <w:b/>
          <w:sz w:val="24"/>
          <w:szCs w:val="24"/>
        </w:rPr>
        <w:t>A</w:t>
      </w:r>
      <w:r w:rsidR="00B12D78" w:rsidRPr="00B12D78">
        <w:rPr>
          <w:rFonts w:ascii="Times New Roman" w:eastAsia="Calibri" w:hAnsi="Times New Roman" w:cs="Times New Roman"/>
          <w:b/>
          <w:sz w:val="24"/>
          <w:szCs w:val="24"/>
        </w:rPr>
        <w:t>:</w:t>
      </w:r>
      <w:r w:rsidRPr="000822B7">
        <w:rPr>
          <w:rFonts w:ascii="Times New Roman" w:eastAsia="Calibri" w:hAnsi="Times New Roman" w:cs="Times New Roman"/>
          <w:b/>
          <w:sz w:val="24"/>
          <w:szCs w:val="24"/>
        </w:rPr>
        <w:t xml:space="preserve"> Prior Studies Using DFT and SOR</w:t>
      </w:r>
    </w:p>
    <w:tbl>
      <w:tblPr>
        <w:tblStyle w:val="TableGrid"/>
        <w:tblW w:w="9587"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59"/>
        <w:gridCol w:w="1632"/>
        <w:gridCol w:w="1026"/>
        <w:gridCol w:w="1132"/>
        <w:gridCol w:w="3338"/>
      </w:tblGrid>
      <w:tr w:rsidR="004B0E9E" w:rsidRPr="000822B7" w14:paraId="178F09C8" w14:textId="77777777" w:rsidTr="0037354E">
        <w:tc>
          <w:tcPr>
            <w:tcW w:w="2459" w:type="dxa"/>
            <w:tcBorders>
              <w:top w:val="single" w:sz="4" w:space="0" w:color="auto"/>
              <w:bottom w:val="single" w:sz="4" w:space="0" w:color="auto"/>
            </w:tcBorders>
          </w:tcPr>
          <w:p w14:paraId="420DC329" w14:textId="77777777" w:rsidR="004B0E9E" w:rsidRPr="000822B7" w:rsidRDefault="004B0E9E" w:rsidP="004B0E9E">
            <w:pPr>
              <w:jc w:val="both"/>
              <w:rPr>
                <w:rFonts w:ascii="Times New Roman" w:eastAsia="Calibri" w:hAnsi="Times New Roman" w:cs="Times New Roman"/>
                <w:b/>
                <w:sz w:val="24"/>
                <w:szCs w:val="24"/>
              </w:rPr>
            </w:pPr>
            <w:r w:rsidRPr="000822B7">
              <w:rPr>
                <w:rFonts w:ascii="Times New Roman" w:eastAsia="Calibri" w:hAnsi="Times New Roman" w:cs="Times New Roman"/>
                <w:b/>
                <w:sz w:val="24"/>
                <w:szCs w:val="24"/>
              </w:rPr>
              <w:t>Author</w:t>
            </w:r>
          </w:p>
        </w:tc>
        <w:tc>
          <w:tcPr>
            <w:tcW w:w="1632" w:type="dxa"/>
            <w:tcBorders>
              <w:top w:val="single" w:sz="4" w:space="0" w:color="auto"/>
              <w:bottom w:val="single" w:sz="4" w:space="0" w:color="auto"/>
            </w:tcBorders>
          </w:tcPr>
          <w:p w14:paraId="2504D85C" w14:textId="77777777" w:rsidR="004B0E9E" w:rsidRPr="000822B7" w:rsidRDefault="004B0E9E" w:rsidP="004B0E9E">
            <w:pPr>
              <w:jc w:val="both"/>
              <w:rPr>
                <w:rFonts w:ascii="Times New Roman" w:eastAsia="Calibri" w:hAnsi="Times New Roman" w:cs="Times New Roman"/>
                <w:b/>
                <w:sz w:val="24"/>
                <w:szCs w:val="24"/>
              </w:rPr>
            </w:pPr>
            <w:r w:rsidRPr="000822B7">
              <w:rPr>
                <w:rFonts w:ascii="Times New Roman" w:eastAsia="Calibri" w:hAnsi="Times New Roman" w:cs="Times New Roman"/>
                <w:b/>
                <w:sz w:val="24"/>
                <w:szCs w:val="24"/>
              </w:rPr>
              <w:t>Theory</w:t>
            </w:r>
          </w:p>
        </w:tc>
        <w:tc>
          <w:tcPr>
            <w:tcW w:w="1026" w:type="dxa"/>
            <w:tcBorders>
              <w:top w:val="single" w:sz="4" w:space="0" w:color="auto"/>
              <w:bottom w:val="single" w:sz="4" w:space="0" w:color="auto"/>
            </w:tcBorders>
          </w:tcPr>
          <w:p w14:paraId="45ECFA71" w14:textId="77777777" w:rsidR="004B0E9E" w:rsidRPr="000822B7" w:rsidRDefault="004B0E9E" w:rsidP="004B0E9E">
            <w:pPr>
              <w:jc w:val="both"/>
              <w:rPr>
                <w:rFonts w:ascii="Times New Roman" w:eastAsia="Calibri" w:hAnsi="Times New Roman" w:cs="Times New Roman"/>
                <w:b/>
                <w:sz w:val="24"/>
                <w:szCs w:val="24"/>
              </w:rPr>
            </w:pPr>
            <w:r w:rsidRPr="000822B7">
              <w:rPr>
                <w:rFonts w:ascii="Times New Roman" w:eastAsia="Calibri" w:hAnsi="Times New Roman" w:cs="Times New Roman"/>
                <w:b/>
                <w:sz w:val="24"/>
                <w:szCs w:val="24"/>
              </w:rPr>
              <w:t>Sample</w:t>
            </w:r>
          </w:p>
          <w:p w14:paraId="2F50A3A8" w14:textId="77777777" w:rsidR="004B0E9E" w:rsidRPr="000822B7" w:rsidRDefault="004B0E9E" w:rsidP="004B0E9E">
            <w:pPr>
              <w:jc w:val="both"/>
              <w:rPr>
                <w:rFonts w:ascii="Times New Roman" w:eastAsia="Calibri" w:hAnsi="Times New Roman" w:cs="Times New Roman"/>
                <w:b/>
                <w:sz w:val="24"/>
                <w:szCs w:val="24"/>
              </w:rPr>
            </w:pPr>
            <w:r w:rsidRPr="000822B7">
              <w:rPr>
                <w:rFonts w:ascii="Times New Roman" w:eastAsia="Calibri" w:hAnsi="Times New Roman" w:cs="Times New Roman"/>
                <w:b/>
                <w:sz w:val="24"/>
                <w:szCs w:val="24"/>
              </w:rPr>
              <w:t>size</w:t>
            </w:r>
          </w:p>
        </w:tc>
        <w:tc>
          <w:tcPr>
            <w:tcW w:w="1132" w:type="dxa"/>
            <w:tcBorders>
              <w:top w:val="single" w:sz="4" w:space="0" w:color="auto"/>
              <w:bottom w:val="single" w:sz="4" w:space="0" w:color="auto"/>
            </w:tcBorders>
          </w:tcPr>
          <w:p w14:paraId="43A33F5E" w14:textId="77777777" w:rsidR="004B0E9E" w:rsidRPr="000822B7" w:rsidRDefault="004B0E9E" w:rsidP="004B0E9E">
            <w:pPr>
              <w:jc w:val="both"/>
              <w:rPr>
                <w:rFonts w:ascii="Times New Roman" w:eastAsia="Calibri" w:hAnsi="Times New Roman" w:cs="Times New Roman"/>
                <w:b/>
                <w:sz w:val="24"/>
                <w:szCs w:val="24"/>
              </w:rPr>
            </w:pPr>
            <w:r w:rsidRPr="000822B7">
              <w:rPr>
                <w:rFonts w:ascii="Times New Roman" w:eastAsia="Calibri" w:hAnsi="Times New Roman" w:cs="Times New Roman"/>
                <w:b/>
                <w:sz w:val="24"/>
                <w:szCs w:val="24"/>
              </w:rPr>
              <w:t>Methods</w:t>
            </w:r>
          </w:p>
        </w:tc>
        <w:tc>
          <w:tcPr>
            <w:tcW w:w="3338" w:type="dxa"/>
            <w:tcBorders>
              <w:top w:val="single" w:sz="4" w:space="0" w:color="auto"/>
              <w:bottom w:val="single" w:sz="4" w:space="0" w:color="auto"/>
            </w:tcBorders>
          </w:tcPr>
          <w:p w14:paraId="68C2E318" w14:textId="77777777" w:rsidR="004B0E9E" w:rsidRPr="000822B7" w:rsidRDefault="004B0E9E" w:rsidP="004B0E9E">
            <w:pPr>
              <w:jc w:val="both"/>
              <w:rPr>
                <w:rFonts w:ascii="Times New Roman" w:eastAsia="Calibri" w:hAnsi="Times New Roman" w:cs="Times New Roman"/>
                <w:b/>
                <w:sz w:val="24"/>
                <w:szCs w:val="24"/>
              </w:rPr>
            </w:pPr>
            <w:r w:rsidRPr="000822B7">
              <w:rPr>
                <w:rFonts w:ascii="Times New Roman" w:eastAsia="Calibri" w:hAnsi="Times New Roman" w:cs="Times New Roman"/>
                <w:b/>
                <w:sz w:val="24"/>
                <w:szCs w:val="24"/>
              </w:rPr>
              <w:t>Fintech context and study</w:t>
            </w:r>
            <w:r w:rsidRPr="000822B7">
              <w:rPr>
                <w:rFonts w:ascii="Times New Roman" w:eastAsia="Calibri" w:hAnsi="Times New Roman" w:cs="Times New Roman"/>
                <w:b/>
                <w:sz w:val="24"/>
                <w:szCs w:val="24"/>
              </w:rPr>
              <w:cr/>
              <w:t>outcomes</w:t>
            </w:r>
          </w:p>
        </w:tc>
      </w:tr>
      <w:tr w:rsidR="004B0E9E" w:rsidRPr="000822B7" w14:paraId="1EB1C9A1" w14:textId="77777777" w:rsidTr="0037354E">
        <w:tc>
          <w:tcPr>
            <w:tcW w:w="2459" w:type="dxa"/>
            <w:tcBorders>
              <w:top w:val="single" w:sz="4" w:space="0" w:color="auto"/>
            </w:tcBorders>
          </w:tcPr>
          <w:p w14:paraId="6576ED02"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Al-Adwan et al. (2024)</w:t>
            </w:r>
          </w:p>
        </w:tc>
        <w:tc>
          <w:tcPr>
            <w:tcW w:w="1632" w:type="dxa"/>
            <w:tcBorders>
              <w:top w:val="single" w:sz="4" w:space="0" w:color="auto"/>
            </w:tcBorders>
          </w:tcPr>
          <w:p w14:paraId="1E6F5E24"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DFT+UTAUT</w:t>
            </w:r>
            <w:bookmarkStart w:id="0" w:name="_GoBack"/>
            <w:bookmarkEnd w:id="0"/>
          </w:p>
        </w:tc>
        <w:tc>
          <w:tcPr>
            <w:tcW w:w="1026" w:type="dxa"/>
            <w:tcBorders>
              <w:top w:val="single" w:sz="4" w:space="0" w:color="auto"/>
            </w:tcBorders>
          </w:tcPr>
          <w:p w14:paraId="317B3A95"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 xml:space="preserve">567 </w:t>
            </w:r>
          </w:p>
        </w:tc>
        <w:tc>
          <w:tcPr>
            <w:tcW w:w="1132" w:type="dxa"/>
            <w:tcBorders>
              <w:top w:val="single" w:sz="4" w:space="0" w:color="auto"/>
            </w:tcBorders>
          </w:tcPr>
          <w:p w14:paraId="5F83461C"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SEM</w:t>
            </w:r>
          </w:p>
        </w:tc>
        <w:tc>
          <w:tcPr>
            <w:tcW w:w="3338" w:type="dxa"/>
            <w:tcBorders>
              <w:top w:val="single" w:sz="4" w:space="0" w:color="auto"/>
            </w:tcBorders>
          </w:tcPr>
          <w:p w14:paraId="4A259429"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Metaverse commerce intention</w:t>
            </w:r>
          </w:p>
        </w:tc>
      </w:tr>
      <w:tr w:rsidR="004B0E9E" w:rsidRPr="000822B7" w14:paraId="5088DAF7" w14:textId="77777777" w:rsidTr="0037354E">
        <w:tc>
          <w:tcPr>
            <w:tcW w:w="2459" w:type="dxa"/>
          </w:tcPr>
          <w:p w14:paraId="2590EC13"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Talwar et al.  (2021)</w:t>
            </w:r>
          </w:p>
        </w:tc>
        <w:tc>
          <w:tcPr>
            <w:tcW w:w="1632" w:type="dxa"/>
          </w:tcPr>
          <w:p w14:paraId="43BD4C6D"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DFT</w:t>
            </w:r>
          </w:p>
        </w:tc>
        <w:tc>
          <w:tcPr>
            <w:tcW w:w="1026" w:type="dxa"/>
          </w:tcPr>
          <w:p w14:paraId="5029BBED"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914</w:t>
            </w:r>
          </w:p>
        </w:tc>
        <w:tc>
          <w:tcPr>
            <w:tcW w:w="1132" w:type="dxa"/>
          </w:tcPr>
          <w:p w14:paraId="6C1B5421"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SEM</w:t>
            </w:r>
          </w:p>
        </w:tc>
        <w:tc>
          <w:tcPr>
            <w:tcW w:w="3338" w:type="dxa"/>
          </w:tcPr>
          <w:p w14:paraId="6F775871"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mobile wallet continued use</w:t>
            </w:r>
          </w:p>
        </w:tc>
      </w:tr>
      <w:tr w:rsidR="004B0E9E" w:rsidRPr="000822B7" w14:paraId="24F6972C" w14:textId="77777777" w:rsidTr="0037354E">
        <w:tc>
          <w:tcPr>
            <w:tcW w:w="2459" w:type="dxa"/>
          </w:tcPr>
          <w:p w14:paraId="2D450F92"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 xml:space="preserve">Singh and </w:t>
            </w:r>
            <w:proofErr w:type="spellStart"/>
            <w:r w:rsidRPr="000822B7">
              <w:rPr>
                <w:rFonts w:ascii="Times New Roman" w:eastAsia="Calibri" w:hAnsi="Times New Roman" w:cs="Times New Roman"/>
                <w:bCs/>
                <w:sz w:val="24"/>
                <w:szCs w:val="24"/>
              </w:rPr>
              <w:t>Karamcheti</w:t>
            </w:r>
            <w:proofErr w:type="spellEnd"/>
            <w:r w:rsidRPr="000822B7">
              <w:rPr>
                <w:rFonts w:ascii="Times New Roman" w:eastAsia="Calibri" w:hAnsi="Times New Roman" w:cs="Times New Roman"/>
                <w:bCs/>
                <w:sz w:val="24"/>
                <w:szCs w:val="24"/>
              </w:rPr>
              <w:t xml:space="preserve"> (2025)</w:t>
            </w:r>
          </w:p>
        </w:tc>
        <w:tc>
          <w:tcPr>
            <w:tcW w:w="1632" w:type="dxa"/>
          </w:tcPr>
          <w:p w14:paraId="4D7325B6"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DFT</w:t>
            </w:r>
          </w:p>
        </w:tc>
        <w:tc>
          <w:tcPr>
            <w:tcW w:w="1026" w:type="dxa"/>
          </w:tcPr>
          <w:p w14:paraId="557A9081"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261</w:t>
            </w:r>
          </w:p>
        </w:tc>
        <w:tc>
          <w:tcPr>
            <w:tcW w:w="1132" w:type="dxa"/>
          </w:tcPr>
          <w:p w14:paraId="5A069973"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SEM</w:t>
            </w:r>
          </w:p>
        </w:tc>
        <w:tc>
          <w:tcPr>
            <w:tcW w:w="3338" w:type="dxa"/>
          </w:tcPr>
          <w:p w14:paraId="4A39C2E5"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Robo-advisor usage</w:t>
            </w:r>
          </w:p>
        </w:tc>
      </w:tr>
      <w:tr w:rsidR="004B0E9E" w:rsidRPr="000822B7" w14:paraId="5928C973" w14:textId="77777777" w:rsidTr="0037354E">
        <w:trPr>
          <w:trHeight w:val="614"/>
        </w:trPr>
        <w:tc>
          <w:tcPr>
            <w:tcW w:w="2459" w:type="dxa"/>
          </w:tcPr>
          <w:p w14:paraId="23122D81"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Kumar and Shankar (2024)</w:t>
            </w:r>
          </w:p>
        </w:tc>
        <w:tc>
          <w:tcPr>
            <w:tcW w:w="1632" w:type="dxa"/>
          </w:tcPr>
          <w:p w14:paraId="0B688263"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DFT</w:t>
            </w:r>
          </w:p>
        </w:tc>
        <w:tc>
          <w:tcPr>
            <w:tcW w:w="1026" w:type="dxa"/>
          </w:tcPr>
          <w:p w14:paraId="435EBF3F"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308</w:t>
            </w:r>
          </w:p>
        </w:tc>
        <w:tc>
          <w:tcPr>
            <w:tcW w:w="1132" w:type="dxa"/>
          </w:tcPr>
          <w:p w14:paraId="24DB9EF8"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SEM</w:t>
            </w:r>
          </w:p>
        </w:tc>
        <w:tc>
          <w:tcPr>
            <w:tcW w:w="3338" w:type="dxa"/>
          </w:tcPr>
          <w:p w14:paraId="186E43B9"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Metaverse Banking Intention</w:t>
            </w:r>
          </w:p>
        </w:tc>
      </w:tr>
      <w:tr w:rsidR="004B0E9E" w:rsidRPr="000822B7" w14:paraId="22F5203B" w14:textId="77777777" w:rsidTr="0037354E">
        <w:tc>
          <w:tcPr>
            <w:tcW w:w="2459" w:type="dxa"/>
          </w:tcPr>
          <w:p w14:paraId="0CC5384B" w14:textId="1C8367BA"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Balasubramanian and Thirumaran</w:t>
            </w:r>
            <w:r w:rsidR="008B739C">
              <w:rPr>
                <w:rFonts w:ascii="Times New Roman" w:eastAsia="Calibri" w:hAnsi="Times New Roman" w:cs="Times New Roman"/>
                <w:bCs/>
                <w:sz w:val="24"/>
                <w:szCs w:val="24"/>
              </w:rPr>
              <w:t xml:space="preserve"> </w:t>
            </w:r>
            <w:r w:rsidRPr="000822B7">
              <w:rPr>
                <w:rFonts w:ascii="Times New Roman" w:eastAsia="Calibri" w:hAnsi="Times New Roman" w:cs="Times New Roman"/>
                <w:bCs/>
                <w:sz w:val="24"/>
                <w:szCs w:val="24"/>
              </w:rPr>
              <w:t>(2025)</w:t>
            </w:r>
          </w:p>
        </w:tc>
        <w:tc>
          <w:tcPr>
            <w:tcW w:w="1632" w:type="dxa"/>
          </w:tcPr>
          <w:p w14:paraId="050D3DDC"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DFT +IRT</w:t>
            </w:r>
          </w:p>
        </w:tc>
        <w:tc>
          <w:tcPr>
            <w:tcW w:w="1026" w:type="dxa"/>
          </w:tcPr>
          <w:p w14:paraId="680AE5A1"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351</w:t>
            </w:r>
          </w:p>
        </w:tc>
        <w:tc>
          <w:tcPr>
            <w:tcW w:w="1132" w:type="dxa"/>
          </w:tcPr>
          <w:p w14:paraId="051840FC"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SEM</w:t>
            </w:r>
          </w:p>
        </w:tc>
        <w:tc>
          <w:tcPr>
            <w:tcW w:w="3338" w:type="dxa"/>
          </w:tcPr>
          <w:p w14:paraId="0E81C1D1"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Central Bank Digital Currencies Intention</w:t>
            </w:r>
          </w:p>
        </w:tc>
      </w:tr>
      <w:tr w:rsidR="004B0E9E" w:rsidRPr="000822B7" w14:paraId="3226B9B7" w14:textId="77777777" w:rsidTr="0037354E">
        <w:tc>
          <w:tcPr>
            <w:tcW w:w="2459" w:type="dxa"/>
          </w:tcPr>
          <w:p w14:paraId="30E23ED7" w14:textId="77777777" w:rsidR="004B0E9E" w:rsidRPr="000822B7" w:rsidRDefault="004B0E9E" w:rsidP="004B0E9E">
            <w:pPr>
              <w:jc w:val="both"/>
              <w:rPr>
                <w:rFonts w:ascii="Times New Roman" w:eastAsia="Calibri" w:hAnsi="Times New Roman" w:cs="Times New Roman"/>
                <w:bCs/>
                <w:sz w:val="24"/>
                <w:szCs w:val="24"/>
                <w:lang w:val="fi-FI"/>
              </w:rPr>
            </w:pPr>
            <w:r w:rsidRPr="000822B7">
              <w:rPr>
                <w:rFonts w:ascii="Times New Roman" w:eastAsia="Calibri" w:hAnsi="Times New Roman" w:cs="Times New Roman"/>
                <w:bCs/>
                <w:sz w:val="24"/>
                <w:szCs w:val="24"/>
                <w:lang w:val="fi-FI"/>
              </w:rPr>
              <w:t>Irimia-Dieguez et al. (2025)</w:t>
            </w:r>
          </w:p>
        </w:tc>
        <w:tc>
          <w:tcPr>
            <w:tcW w:w="1632" w:type="dxa"/>
          </w:tcPr>
          <w:p w14:paraId="72919BEA"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SOR</w:t>
            </w:r>
          </w:p>
        </w:tc>
        <w:tc>
          <w:tcPr>
            <w:tcW w:w="1026" w:type="dxa"/>
          </w:tcPr>
          <w:p w14:paraId="571749BB"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701</w:t>
            </w:r>
          </w:p>
        </w:tc>
        <w:tc>
          <w:tcPr>
            <w:tcW w:w="1132" w:type="dxa"/>
          </w:tcPr>
          <w:p w14:paraId="3374702A"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SEM</w:t>
            </w:r>
          </w:p>
        </w:tc>
        <w:tc>
          <w:tcPr>
            <w:tcW w:w="3338" w:type="dxa"/>
          </w:tcPr>
          <w:p w14:paraId="14FFBDF2"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peer-to-peer (P2P)</w:t>
            </w:r>
            <w:r w:rsidRPr="000822B7">
              <w:rPr>
                <w:rFonts w:ascii="Times New Roman" w:eastAsia="Calibri" w:hAnsi="Times New Roman" w:cs="Times New Roman"/>
                <w:bCs/>
                <w:sz w:val="24"/>
                <w:szCs w:val="24"/>
              </w:rPr>
              <w:cr/>
              <w:t>mobile payment system intention</w:t>
            </w:r>
          </w:p>
        </w:tc>
      </w:tr>
      <w:tr w:rsidR="004B0E9E" w:rsidRPr="000822B7" w14:paraId="55D07A26" w14:textId="77777777" w:rsidTr="0037354E">
        <w:tc>
          <w:tcPr>
            <w:tcW w:w="2459" w:type="dxa"/>
          </w:tcPr>
          <w:p w14:paraId="12AF824A" w14:textId="77777777" w:rsidR="004B0E9E" w:rsidRPr="000822B7" w:rsidRDefault="004B0E9E" w:rsidP="004B0E9E">
            <w:pPr>
              <w:jc w:val="both"/>
              <w:rPr>
                <w:rFonts w:ascii="Times New Roman" w:eastAsia="Calibri" w:hAnsi="Times New Roman" w:cs="Times New Roman"/>
                <w:bCs/>
                <w:sz w:val="24"/>
                <w:szCs w:val="24"/>
                <w:lang w:val="fi-FI"/>
              </w:rPr>
            </w:pPr>
            <w:r w:rsidRPr="000822B7">
              <w:rPr>
                <w:rFonts w:ascii="Times New Roman" w:eastAsia="Calibri" w:hAnsi="Times New Roman" w:cs="Times New Roman"/>
                <w:bCs/>
                <w:sz w:val="24"/>
                <w:szCs w:val="24"/>
                <w:lang w:val="fi-FI"/>
              </w:rPr>
              <w:t>Pham et al. (2024).</w:t>
            </w:r>
          </w:p>
        </w:tc>
        <w:tc>
          <w:tcPr>
            <w:tcW w:w="1632" w:type="dxa"/>
          </w:tcPr>
          <w:p w14:paraId="72261E6E"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SOR</w:t>
            </w:r>
          </w:p>
        </w:tc>
        <w:tc>
          <w:tcPr>
            <w:tcW w:w="1026" w:type="dxa"/>
          </w:tcPr>
          <w:p w14:paraId="3B6A6217"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 xml:space="preserve">2691 </w:t>
            </w:r>
          </w:p>
        </w:tc>
        <w:tc>
          <w:tcPr>
            <w:tcW w:w="1132" w:type="dxa"/>
          </w:tcPr>
          <w:p w14:paraId="7B41D735"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SEM</w:t>
            </w:r>
          </w:p>
        </w:tc>
        <w:tc>
          <w:tcPr>
            <w:tcW w:w="3338" w:type="dxa"/>
          </w:tcPr>
          <w:p w14:paraId="27E9F7B4"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FinTech entrepreneurial intentions</w:t>
            </w:r>
          </w:p>
        </w:tc>
      </w:tr>
      <w:tr w:rsidR="004B0E9E" w:rsidRPr="000822B7" w14:paraId="13212AEA" w14:textId="77777777" w:rsidTr="0037354E">
        <w:tc>
          <w:tcPr>
            <w:tcW w:w="2459" w:type="dxa"/>
          </w:tcPr>
          <w:p w14:paraId="39EAE1C4" w14:textId="77777777" w:rsidR="004B0E9E" w:rsidRPr="000822B7" w:rsidRDefault="004B0E9E" w:rsidP="004B0E9E">
            <w:pPr>
              <w:jc w:val="both"/>
              <w:rPr>
                <w:rFonts w:ascii="Times New Roman" w:eastAsia="Calibri" w:hAnsi="Times New Roman" w:cs="Times New Roman"/>
                <w:bCs/>
                <w:sz w:val="24"/>
                <w:szCs w:val="24"/>
                <w:lang w:val="fi-FI"/>
              </w:rPr>
            </w:pPr>
            <w:r w:rsidRPr="000822B7">
              <w:rPr>
                <w:rFonts w:ascii="Times New Roman" w:eastAsia="Calibri" w:hAnsi="Times New Roman" w:cs="Times New Roman"/>
                <w:bCs/>
                <w:sz w:val="24"/>
                <w:szCs w:val="24"/>
                <w:lang w:val="fi-FI"/>
              </w:rPr>
              <w:t>Alam et al. (2024)</w:t>
            </w:r>
          </w:p>
        </w:tc>
        <w:tc>
          <w:tcPr>
            <w:tcW w:w="1632" w:type="dxa"/>
          </w:tcPr>
          <w:p w14:paraId="02E3ED81"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 xml:space="preserve">SOR+UTAUT </w:t>
            </w:r>
          </w:p>
        </w:tc>
        <w:tc>
          <w:tcPr>
            <w:tcW w:w="1026" w:type="dxa"/>
          </w:tcPr>
          <w:p w14:paraId="7D1B2468"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300</w:t>
            </w:r>
          </w:p>
        </w:tc>
        <w:tc>
          <w:tcPr>
            <w:tcW w:w="1132" w:type="dxa"/>
          </w:tcPr>
          <w:p w14:paraId="1550B2FB"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SEM</w:t>
            </w:r>
          </w:p>
        </w:tc>
        <w:tc>
          <w:tcPr>
            <w:tcW w:w="3338" w:type="dxa"/>
          </w:tcPr>
          <w:p w14:paraId="53EF01B4"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QR code Mobile payment intention</w:t>
            </w:r>
          </w:p>
        </w:tc>
      </w:tr>
      <w:tr w:rsidR="004B0E9E" w:rsidRPr="000822B7" w14:paraId="77BF0385" w14:textId="77777777" w:rsidTr="0037354E">
        <w:tc>
          <w:tcPr>
            <w:tcW w:w="2459" w:type="dxa"/>
          </w:tcPr>
          <w:p w14:paraId="7A780249" w14:textId="77777777" w:rsidR="004B0E9E" w:rsidRPr="000822B7" w:rsidRDefault="004B0E9E" w:rsidP="004B0E9E">
            <w:pPr>
              <w:jc w:val="both"/>
              <w:rPr>
                <w:rFonts w:ascii="Times New Roman" w:eastAsia="Calibri" w:hAnsi="Times New Roman" w:cs="Times New Roman"/>
                <w:bCs/>
                <w:sz w:val="24"/>
                <w:szCs w:val="24"/>
                <w:lang w:val="fi-FI"/>
              </w:rPr>
            </w:pPr>
            <w:r w:rsidRPr="000822B7">
              <w:rPr>
                <w:rFonts w:ascii="Times New Roman" w:eastAsia="Calibri" w:hAnsi="Times New Roman" w:cs="Times New Roman"/>
                <w:bCs/>
                <w:sz w:val="24"/>
                <w:szCs w:val="24"/>
                <w:lang w:val="en-GB"/>
              </w:rPr>
              <w:t xml:space="preserve"> </w:t>
            </w:r>
            <w:r w:rsidRPr="000822B7">
              <w:rPr>
                <w:rFonts w:ascii="Times New Roman" w:eastAsia="Calibri" w:hAnsi="Times New Roman" w:cs="Times New Roman"/>
                <w:bCs/>
                <w:sz w:val="24"/>
                <w:szCs w:val="24"/>
                <w:lang w:val="fi-FI"/>
              </w:rPr>
              <w:t>Joshi and Chawla(2024)</w:t>
            </w:r>
          </w:p>
        </w:tc>
        <w:tc>
          <w:tcPr>
            <w:tcW w:w="1632" w:type="dxa"/>
          </w:tcPr>
          <w:p w14:paraId="68FC9BF5"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SOR</w:t>
            </w:r>
          </w:p>
        </w:tc>
        <w:tc>
          <w:tcPr>
            <w:tcW w:w="1026" w:type="dxa"/>
          </w:tcPr>
          <w:p w14:paraId="3DF80682"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 xml:space="preserve"> 744</w:t>
            </w:r>
          </w:p>
        </w:tc>
        <w:tc>
          <w:tcPr>
            <w:tcW w:w="1132" w:type="dxa"/>
          </w:tcPr>
          <w:p w14:paraId="6F1E7068"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SEM</w:t>
            </w:r>
          </w:p>
        </w:tc>
        <w:tc>
          <w:tcPr>
            <w:tcW w:w="3338" w:type="dxa"/>
          </w:tcPr>
          <w:p w14:paraId="7DCB350C"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mobile wallets intention</w:t>
            </w:r>
          </w:p>
        </w:tc>
      </w:tr>
      <w:tr w:rsidR="004B0E9E" w:rsidRPr="000822B7" w14:paraId="49C73117" w14:textId="77777777" w:rsidTr="0037354E">
        <w:tc>
          <w:tcPr>
            <w:tcW w:w="2459" w:type="dxa"/>
          </w:tcPr>
          <w:p w14:paraId="75F6F063" w14:textId="77777777" w:rsidR="004B0E9E" w:rsidRPr="000822B7" w:rsidRDefault="004B0E9E" w:rsidP="004B0E9E">
            <w:pPr>
              <w:jc w:val="both"/>
              <w:rPr>
                <w:rFonts w:ascii="Times New Roman" w:eastAsia="Calibri" w:hAnsi="Times New Roman" w:cs="Times New Roman"/>
                <w:bCs/>
                <w:sz w:val="24"/>
                <w:szCs w:val="24"/>
                <w:lang w:val="fi-FI"/>
              </w:rPr>
            </w:pPr>
            <w:r w:rsidRPr="000822B7">
              <w:rPr>
                <w:rFonts w:ascii="Times New Roman" w:eastAsia="Calibri" w:hAnsi="Times New Roman" w:cs="Times New Roman"/>
                <w:bCs/>
                <w:sz w:val="24"/>
                <w:szCs w:val="24"/>
                <w:lang w:val="fi-FI"/>
              </w:rPr>
              <w:t>Kumar and Rani (2024)</w:t>
            </w:r>
          </w:p>
        </w:tc>
        <w:tc>
          <w:tcPr>
            <w:tcW w:w="1632" w:type="dxa"/>
          </w:tcPr>
          <w:p w14:paraId="1D70F589"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SOR+TAM</w:t>
            </w:r>
          </w:p>
        </w:tc>
        <w:tc>
          <w:tcPr>
            <w:tcW w:w="1026" w:type="dxa"/>
          </w:tcPr>
          <w:p w14:paraId="11884E15"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433</w:t>
            </w:r>
          </w:p>
        </w:tc>
        <w:tc>
          <w:tcPr>
            <w:tcW w:w="1132" w:type="dxa"/>
          </w:tcPr>
          <w:p w14:paraId="35282FC8"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SEM</w:t>
            </w:r>
          </w:p>
        </w:tc>
        <w:tc>
          <w:tcPr>
            <w:tcW w:w="3338" w:type="dxa"/>
          </w:tcPr>
          <w:p w14:paraId="61BDCF51"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mobile banking adoption</w:t>
            </w:r>
          </w:p>
        </w:tc>
      </w:tr>
      <w:tr w:rsidR="004B0E9E" w:rsidRPr="000822B7" w14:paraId="44B64C0D" w14:textId="77777777" w:rsidTr="0037354E">
        <w:tc>
          <w:tcPr>
            <w:tcW w:w="2459" w:type="dxa"/>
            <w:tcBorders>
              <w:bottom w:val="nil"/>
            </w:tcBorders>
          </w:tcPr>
          <w:p w14:paraId="79B310F3" w14:textId="77777777" w:rsidR="004B0E9E" w:rsidRPr="000822B7" w:rsidRDefault="004B0E9E" w:rsidP="004B0E9E">
            <w:pPr>
              <w:jc w:val="both"/>
              <w:rPr>
                <w:rFonts w:ascii="Times New Roman" w:eastAsia="Calibri" w:hAnsi="Times New Roman" w:cs="Times New Roman"/>
                <w:bCs/>
                <w:sz w:val="24"/>
                <w:szCs w:val="24"/>
                <w:lang w:val="fi-FI"/>
              </w:rPr>
            </w:pPr>
            <w:r w:rsidRPr="000822B7">
              <w:rPr>
                <w:rFonts w:ascii="Times New Roman" w:eastAsia="Calibri" w:hAnsi="Times New Roman" w:cs="Times New Roman"/>
                <w:bCs/>
                <w:sz w:val="24"/>
                <w:szCs w:val="24"/>
                <w:lang w:val="fi-FI"/>
              </w:rPr>
              <w:t>Lee and Chen (2022)</w:t>
            </w:r>
          </w:p>
        </w:tc>
        <w:tc>
          <w:tcPr>
            <w:tcW w:w="1632" w:type="dxa"/>
            <w:tcBorders>
              <w:bottom w:val="nil"/>
            </w:tcBorders>
          </w:tcPr>
          <w:p w14:paraId="659E330F"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SOR</w:t>
            </w:r>
          </w:p>
        </w:tc>
        <w:tc>
          <w:tcPr>
            <w:tcW w:w="1026" w:type="dxa"/>
            <w:tcBorders>
              <w:bottom w:val="nil"/>
            </w:tcBorders>
          </w:tcPr>
          <w:p w14:paraId="0119BF2A"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451</w:t>
            </w:r>
          </w:p>
        </w:tc>
        <w:tc>
          <w:tcPr>
            <w:tcW w:w="1132" w:type="dxa"/>
            <w:tcBorders>
              <w:bottom w:val="nil"/>
            </w:tcBorders>
          </w:tcPr>
          <w:p w14:paraId="53C75346"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SEM</w:t>
            </w:r>
          </w:p>
        </w:tc>
        <w:tc>
          <w:tcPr>
            <w:tcW w:w="3338" w:type="dxa"/>
            <w:tcBorders>
              <w:bottom w:val="nil"/>
            </w:tcBorders>
          </w:tcPr>
          <w:p w14:paraId="20D273EF"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AI-enabled banking Adoption</w:t>
            </w:r>
          </w:p>
        </w:tc>
      </w:tr>
      <w:tr w:rsidR="004B0E9E" w:rsidRPr="004B0E9E" w14:paraId="489F744F" w14:textId="77777777" w:rsidTr="0037354E">
        <w:tc>
          <w:tcPr>
            <w:tcW w:w="2459" w:type="dxa"/>
            <w:tcBorders>
              <w:top w:val="nil"/>
              <w:bottom w:val="single" w:sz="4" w:space="0" w:color="auto"/>
            </w:tcBorders>
          </w:tcPr>
          <w:p w14:paraId="2090595A" w14:textId="77777777" w:rsidR="004B0E9E" w:rsidRPr="000822B7" w:rsidRDefault="004B0E9E" w:rsidP="004B0E9E">
            <w:pPr>
              <w:jc w:val="both"/>
              <w:rPr>
                <w:rFonts w:ascii="Times New Roman" w:eastAsia="Calibri" w:hAnsi="Times New Roman" w:cs="Times New Roman"/>
                <w:bCs/>
                <w:sz w:val="24"/>
                <w:szCs w:val="24"/>
                <w:lang w:val="fi-FI"/>
              </w:rPr>
            </w:pPr>
            <w:r w:rsidRPr="000822B7">
              <w:rPr>
                <w:rFonts w:ascii="Times New Roman" w:eastAsia="Calibri" w:hAnsi="Times New Roman" w:cs="Times New Roman"/>
                <w:bCs/>
                <w:sz w:val="24"/>
                <w:szCs w:val="24"/>
                <w:lang w:val="fi-FI"/>
              </w:rPr>
              <w:t>Elsotouhy et al. (2023)</w:t>
            </w:r>
          </w:p>
        </w:tc>
        <w:tc>
          <w:tcPr>
            <w:tcW w:w="1632" w:type="dxa"/>
            <w:tcBorders>
              <w:top w:val="nil"/>
              <w:bottom w:val="single" w:sz="4" w:space="0" w:color="auto"/>
            </w:tcBorders>
          </w:tcPr>
          <w:p w14:paraId="5CC0A83C"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SOR+ISS</w:t>
            </w:r>
          </w:p>
        </w:tc>
        <w:tc>
          <w:tcPr>
            <w:tcW w:w="1026" w:type="dxa"/>
            <w:tcBorders>
              <w:top w:val="nil"/>
              <w:bottom w:val="single" w:sz="4" w:space="0" w:color="auto"/>
            </w:tcBorders>
          </w:tcPr>
          <w:p w14:paraId="6602FE21"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419</w:t>
            </w:r>
          </w:p>
        </w:tc>
        <w:tc>
          <w:tcPr>
            <w:tcW w:w="1132" w:type="dxa"/>
            <w:tcBorders>
              <w:top w:val="nil"/>
              <w:bottom w:val="single" w:sz="4" w:space="0" w:color="auto"/>
            </w:tcBorders>
          </w:tcPr>
          <w:p w14:paraId="1BDC2D41" w14:textId="77777777" w:rsidR="004B0E9E" w:rsidRPr="000822B7"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SEM</w:t>
            </w:r>
          </w:p>
        </w:tc>
        <w:tc>
          <w:tcPr>
            <w:tcW w:w="3338" w:type="dxa"/>
            <w:tcBorders>
              <w:top w:val="nil"/>
              <w:bottom w:val="single" w:sz="4" w:space="0" w:color="auto"/>
            </w:tcBorders>
          </w:tcPr>
          <w:p w14:paraId="68C0D45A" w14:textId="77777777" w:rsidR="004B0E9E" w:rsidRPr="004B0E9E" w:rsidRDefault="004B0E9E" w:rsidP="004B0E9E">
            <w:pPr>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Islamic m-payment continuance intention</w:t>
            </w:r>
          </w:p>
        </w:tc>
      </w:tr>
    </w:tbl>
    <w:p w14:paraId="283DDEF4" w14:textId="77777777" w:rsidR="004B0E9E" w:rsidRDefault="004B0E9E" w:rsidP="004B0E9E">
      <w:pPr>
        <w:spacing w:line="360" w:lineRule="auto"/>
        <w:jc w:val="both"/>
        <w:rPr>
          <w:rFonts w:ascii="Times New Roman" w:eastAsia="Calibri" w:hAnsi="Times New Roman" w:cs="Times New Roman"/>
          <w:b/>
          <w:sz w:val="24"/>
          <w:szCs w:val="24"/>
        </w:rPr>
      </w:pPr>
    </w:p>
    <w:p w14:paraId="74594A37" w14:textId="77777777" w:rsidR="000822B7" w:rsidRPr="000822B7" w:rsidRDefault="000822B7" w:rsidP="000822B7">
      <w:pPr>
        <w:spacing w:line="360" w:lineRule="auto"/>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t xml:space="preserve">Table A in the supplementary material summarizes related studies that apply DFT OR SOR in Fintech-related research. Studies using DFT have examined adoption </w:t>
      </w:r>
      <w:proofErr w:type="spellStart"/>
      <w:r w:rsidRPr="000822B7">
        <w:rPr>
          <w:rFonts w:ascii="Times New Roman" w:eastAsia="Calibri" w:hAnsi="Times New Roman" w:cs="Times New Roman"/>
          <w:bCs/>
          <w:sz w:val="24"/>
          <w:szCs w:val="24"/>
        </w:rPr>
        <w:t>behaviours</w:t>
      </w:r>
      <w:proofErr w:type="spellEnd"/>
      <w:r w:rsidRPr="000822B7">
        <w:rPr>
          <w:rFonts w:ascii="Times New Roman" w:eastAsia="Calibri" w:hAnsi="Times New Roman" w:cs="Times New Roman"/>
          <w:bCs/>
          <w:sz w:val="24"/>
          <w:szCs w:val="24"/>
        </w:rPr>
        <w:t xml:space="preserve"> in emerging digital platforms such as metaverse commerce (Al-Adwan, 2024), mobile wallets (</w:t>
      </w:r>
      <w:proofErr w:type="spellStart"/>
      <w:r w:rsidRPr="000822B7">
        <w:rPr>
          <w:rFonts w:ascii="Times New Roman" w:eastAsia="Calibri" w:hAnsi="Times New Roman" w:cs="Times New Roman"/>
          <w:bCs/>
          <w:sz w:val="24"/>
          <w:szCs w:val="24"/>
        </w:rPr>
        <w:t>Talwar</w:t>
      </w:r>
      <w:proofErr w:type="spellEnd"/>
      <w:r w:rsidRPr="000822B7">
        <w:rPr>
          <w:rFonts w:ascii="Times New Roman" w:eastAsia="Calibri" w:hAnsi="Times New Roman" w:cs="Times New Roman"/>
          <w:bCs/>
          <w:sz w:val="24"/>
          <w:szCs w:val="24"/>
        </w:rPr>
        <w:t xml:space="preserve">, 2021), </w:t>
      </w:r>
      <w:proofErr w:type="spellStart"/>
      <w:r w:rsidRPr="000822B7">
        <w:rPr>
          <w:rFonts w:ascii="Times New Roman" w:eastAsia="Calibri" w:hAnsi="Times New Roman" w:cs="Times New Roman"/>
          <w:bCs/>
          <w:sz w:val="24"/>
          <w:szCs w:val="24"/>
        </w:rPr>
        <w:t>robo</w:t>
      </w:r>
      <w:proofErr w:type="spellEnd"/>
      <w:r w:rsidRPr="000822B7">
        <w:rPr>
          <w:rFonts w:ascii="Times New Roman" w:eastAsia="Calibri" w:hAnsi="Times New Roman" w:cs="Times New Roman"/>
          <w:bCs/>
          <w:sz w:val="24"/>
          <w:szCs w:val="24"/>
        </w:rPr>
        <w:t xml:space="preserve">-advisors (Singh &amp; </w:t>
      </w:r>
      <w:proofErr w:type="spellStart"/>
      <w:r w:rsidRPr="000822B7">
        <w:rPr>
          <w:rFonts w:ascii="Times New Roman" w:eastAsia="Calibri" w:hAnsi="Times New Roman" w:cs="Times New Roman"/>
          <w:bCs/>
          <w:sz w:val="24"/>
          <w:szCs w:val="24"/>
        </w:rPr>
        <w:t>Karamcheti</w:t>
      </w:r>
      <w:proofErr w:type="spellEnd"/>
      <w:r w:rsidRPr="000822B7">
        <w:rPr>
          <w:rFonts w:ascii="Times New Roman" w:eastAsia="Calibri" w:hAnsi="Times New Roman" w:cs="Times New Roman"/>
          <w:bCs/>
          <w:sz w:val="24"/>
          <w:szCs w:val="24"/>
        </w:rPr>
        <w:t xml:space="preserve">, 2025), and central bank digital currencies (Balasubramanian &amp; Thirumaran, 2025). Research adopting the SOR framework has explored </w:t>
      </w:r>
      <w:proofErr w:type="spellStart"/>
      <w:r w:rsidRPr="000822B7">
        <w:rPr>
          <w:rFonts w:ascii="Times New Roman" w:eastAsia="Calibri" w:hAnsi="Times New Roman" w:cs="Times New Roman"/>
          <w:bCs/>
          <w:sz w:val="24"/>
          <w:szCs w:val="24"/>
        </w:rPr>
        <w:t>behavioural</w:t>
      </w:r>
      <w:proofErr w:type="spellEnd"/>
      <w:r w:rsidRPr="000822B7">
        <w:rPr>
          <w:rFonts w:ascii="Times New Roman" w:eastAsia="Calibri" w:hAnsi="Times New Roman" w:cs="Times New Roman"/>
          <w:bCs/>
          <w:sz w:val="24"/>
          <w:szCs w:val="24"/>
        </w:rPr>
        <w:t xml:space="preserve"> responses in peer-to-peer payments (Irimia-Dieguez et al., 2025), fintech entrepreneurship (Pham et al., 2024), QR code mobile payments (Alam et al., 2024), and AI-enabled banking (Lee &amp; Chen, 2022). </w:t>
      </w:r>
    </w:p>
    <w:p w14:paraId="30E5F40F" w14:textId="3A82B9BE" w:rsidR="005A7314" w:rsidRDefault="000822B7" w:rsidP="00CE6ECE">
      <w:pPr>
        <w:spacing w:line="360" w:lineRule="auto"/>
        <w:jc w:val="both"/>
        <w:rPr>
          <w:rFonts w:ascii="Times New Roman" w:eastAsia="Calibri" w:hAnsi="Times New Roman" w:cs="Times New Roman"/>
          <w:bCs/>
          <w:sz w:val="24"/>
          <w:szCs w:val="24"/>
        </w:rPr>
      </w:pPr>
      <w:r w:rsidRPr="000822B7">
        <w:rPr>
          <w:rFonts w:ascii="Times New Roman" w:eastAsia="Calibri" w:hAnsi="Times New Roman" w:cs="Times New Roman"/>
          <w:bCs/>
          <w:sz w:val="24"/>
          <w:szCs w:val="24"/>
        </w:rPr>
        <w:lastRenderedPageBreak/>
        <w:t xml:space="preserve">Most existing research typically applies either DFT or SOR independently. Although DFT and SOR have often been integrated with other theories in fintech research such as UTAUT, IRT, TAM, and ISS (Al-Adwan, 2024; Balasubramanian &amp; Thirumaran, 2025; Alam et al., 2024; Kumar &amp; Rani, 2024; </w:t>
      </w:r>
      <w:proofErr w:type="spellStart"/>
      <w:r w:rsidRPr="000822B7">
        <w:rPr>
          <w:rFonts w:ascii="Times New Roman" w:eastAsia="Calibri" w:hAnsi="Times New Roman" w:cs="Times New Roman"/>
          <w:bCs/>
          <w:sz w:val="24"/>
          <w:szCs w:val="24"/>
        </w:rPr>
        <w:t>Elsotouhy</w:t>
      </w:r>
      <w:proofErr w:type="spellEnd"/>
      <w:r w:rsidRPr="000822B7">
        <w:rPr>
          <w:rFonts w:ascii="Times New Roman" w:eastAsia="Calibri" w:hAnsi="Times New Roman" w:cs="Times New Roman"/>
          <w:bCs/>
          <w:sz w:val="24"/>
          <w:szCs w:val="24"/>
        </w:rPr>
        <w:t xml:space="preserve"> et al., 2023), their combined application within a single study remains seldom.</w:t>
      </w:r>
    </w:p>
    <w:p w14:paraId="7C893C4C" w14:textId="77777777" w:rsidR="00B12D78" w:rsidRPr="000822B7" w:rsidRDefault="00B12D78" w:rsidP="00B12D78">
      <w:pPr>
        <w:spacing w:line="360" w:lineRule="auto"/>
        <w:jc w:val="both"/>
        <w:rPr>
          <w:rFonts w:ascii="Times New Roman" w:eastAsia="Calibri" w:hAnsi="Times New Roman" w:cs="Times New Roman"/>
          <w:bCs/>
          <w:sz w:val="24"/>
          <w:szCs w:val="24"/>
        </w:rPr>
      </w:pPr>
    </w:p>
    <w:p w14:paraId="3DE63B3E" w14:textId="73993224" w:rsidR="00B12D78" w:rsidRPr="00D66BDF" w:rsidRDefault="00B12D78" w:rsidP="00B12D78">
      <w:pPr>
        <w:rPr>
          <w:rFonts w:ascii="Times New Roman" w:hAnsi="Times New Roman" w:cs="Times New Roman"/>
          <w:b/>
          <w:bCs/>
          <w:sz w:val="24"/>
          <w:szCs w:val="24"/>
        </w:rPr>
      </w:pPr>
      <w:r>
        <w:rPr>
          <w:rFonts w:ascii="Times New Roman" w:hAnsi="Times New Roman" w:cs="Times New Roman"/>
          <w:b/>
          <w:bCs/>
          <w:sz w:val="24"/>
          <w:szCs w:val="24"/>
        </w:rPr>
        <w:t>Table</w:t>
      </w:r>
      <w:r w:rsidRPr="00673710">
        <w:rPr>
          <w:rFonts w:ascii="Times New Roman" w:hAnsi="Times New Roman" w:cs="Times New Roman"/>
          <w:b/>
          <w:bCs/>
          <w:sz w:val="24"/>
          <w:szCs w:val="24"/>
        </w:rPr>
        <w:t xml:space="preserve"> </w:t>
      </w:r>
      <w:r>
        <w:rPr>
          <w:rFonts w:ascii="Times New Roman" w:hAnsi="Times New Roman" w:cs="Times New Roman"/>
          <w:b/>
          <w:bCs/>
          <w:sz w:val="24"/>
          <w:szCs w:val="24"/>
        </w:rPr>
        <w:t>B</w:t>
      </w:r>
      <w:r w:rsidRPr="00DC00FC">
        <w:rPr>
          <w:rFonts w:ascii="Times New Roman" w:hAnsi="Times New Roman" w:cs="Times New Roman"/>
          <w:b/>
          <w:bCs/>
          <w:sz w:val="24"/>
          <w:szCs w:val="24"/>
        </w:rPr>
        <w:t xml:space="preserve">: Multicollinearity </w:t>
      </w:r>
      <w:r>
        <w:rPr>
          <w:rFonts w:ascii="Times New Roman" w:hAnsi="Times New Roman" w:cs="Times New Roman"/>
          <w:b/>
          <w:bCs/>
          <w:sz w:val="24"/>
          <w:szCs w:val="24"/>
        </w:rPr>
        <w:t>Assessment</w:t>
      </w:r>
      <w:r w:rsidRPr="00DC00FC">
        <w:rPr>
          <w:rFonts w:ascii="Times New Roman" w:hAnsi="Times New Roman" w:cs="Times New Roman"/>
          <w:b/>
          <w:bCs/>
          <w:sz w:val="24"/>
          <w:szCs w:val="24"/>
        </w:rPr>
        <w:t xml:space="preserve"> (VIF Values)</w:t>
      </w:r>
    </w:p>
    <w:tbl>
      <w:tblPr>
        <w:tblW w:w="8989"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695"/>
        <w:gridCol w:w="745"/>
        <w:gridCol w:w="745"/>
        <w:gridCol w:w="960"/>
        <w:gridCol w:w="960"/>
        <w:gridCol w:w="960"/>
        <w:gridCol w:w="960"/>
        <w:gridCol w:w="964"/>
      </w:tblGrid>
      <w:tr w:rsidR="00B12D78" w:rsidRPr="00DC00FC" w14:paraId="0CA197CF" w14:textId="77777777" w:rsidTr="00472379">
        <w:trPr>
          <w:trHeight w:val="288"/>
        </w:trPr>
        <w:tc>
          <w:tcPr>
            <w:tcW w:w="2695" w:type="dxa"/>
            <w:tcBorders>
              <w:top w:val="single" w:sz="4" w:space="0" w:color="auto"/>
              <w:bottom w:val="single" w:sz="4" w:space="0" w:color="auto"/>
            </w:tcBorders>
            <w:noWrap/>
            <w:vAlign w:val="bottom"/>
            <w:hideMark/>
          </w:tcPr>
          <w:p w14:paraId="7063FDAF" w14:textId="77777777" w:rsidR="00B12D78" w:rsidRPr="00DC00FC" w:rsidRDefault="00B12D78" w:rsidP="00472379">
            <w:pPr>
              <w:spacing w:after="0" w:line="240" w:lineRule="auto"/>
              <w:rPr>
                <w:rFonts w:ascii="Times New Roman" w:eastAsia="Times New Roman" w:hAnsi="Times New Roman" w:cs="Times New Roman"/>
                <w:sz w:val="24"/>
                <w:szCs w:val="24"/>
                <w:lang w:val="en-GB" w:eastAsia="pt-PT"/>
              </w:rPr>
            </w:pPr>
            <w:r w:rsidRPr="00DC00FC">
              <w:rPr>
                <w:rFonts w:ascii="Times New Roman" w:eastAsia="Times New Roman" w:hAnsi="Times New Roman" w:cs="Times New Roman"/>
                <w:sz w:val="24"/>
                <w:szCs w:val="24"/>
                <w:lang w:val="en-GB" w:eastAsia="pt-PT"/>
              </w:rPr>
              <w:t>Constructs</w:t>
            </w:r>
          </w:p>
        </w:tc>
        <w:tc>
          <w:tcPr>
            <w:tcW w:w="745" w:type="dxa"/>
            <w:tcBorders>
              <w:top w:val="single" w:sz="4" w:space="0" w:color="auto"/>
              <w:bottom w:val="single" w:sz="4" w:space="0" w:color="auto"/>
            </w:tcBorders>
            <w:noWrap/>
            <w:vAlign w:val="bottom"/>
            <w:hideMark/>
          </w:tcPr>
          <w:p w14:paraId="47081750"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r w:rsidRPr="00DC00FC">
              <w:rPr>
                <w:rFonts w:ascii="Times New Roman" w:eastAsia="Times New Roman" w:hAnsi="Times New Roman" w:cs="Times New Roman"/>
                <w:color w:val="000000"/>
                <w:lang w:val="pt-PT" w:eastAsia="pt-PT"/>
              </w:rPr>
              <w:t>AT</w:t>
            </w:r>
          </w:p>
        </w:tc>
        <w:tc>
          <w:tcPr>
            <w:tcW w:w="745" w:type="dxa"/>
            <w:tcBorders>
              <w:top w:val="single" w:sz="4" w:space="0" w:color="auto"/>
              <w:bottom w:val="single" w:sz="4" w:space="0" w:color="auto"/>
            </w:tcBorders>
            <w:noWrap/>
            <w:vAlign w:val="bottom"/>
            <w:hideMark/>
          </w:tcPr>
          <w:p w14:paraId="1C7331E7"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r w:rsidRPr="00DC00FC">
              <w:rPr>
                <w:rFonts w:ascii="Times New Roman" w:eastAsia="Times New Roman" w:hAnsi="Times New Roman" w:cs="Times New Roman"/>
                <w:color w:val="000000"/>
                <w:lang w:val="pt-PT" w:eastAsia="pt-PT"/>
              </w:rPr>
              <w:t>EB</w:t>
            </w:r>
          </w:p>
        </w:tc>
        <w:tc>
          <w:tcPr>
            <w:tcW w:w="960" w:type="dxa"/>
            <w:tcBorders>
              <w:top w:val="single" w:sz="4" w:space="0" w:color="auto"/>
              <w:bottom w:val="single" w:sz="4" w:space="0" w:color="auto"/>
            </w:tcBorders>
            <w:noWrap/>
            <w:vAlign w:val="bottom"/>
            <w:hideMark/>
          </w:tcPr>
          <w:p w14:paraId="0A4E3C98"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r w:rsidRPr="00DC00FC">
              <w:rPr>
                <w:rFonts w:ascii="Times New Roman" w:eastAsia="Times New Roman" w:hAnsi="Times New Roman" w:cs="Times New Roman"/>
                <w:color w:val="000000"/>
                <w:lang w:val="pt-PT" w:eastAsia="pt-PT"/>
              </w:rPr>
              <w:t>GS</w:t>
            </w:r>
          </w:p>
        </w:tc>
        <w:tc>
          <w:tcPr>
            <w:tcW w:w="960" w:type="dxa"/>
            <w:tcBorders>
              <w:top w:val="single" w:sz="4" w:space="0" w:color="auto"/>
              <w:bottom w:val="single" w:sz="4" w:space="0" w:color="auto"/>
            </w:tcBorders>
            <w:noWrap/>
            <w:vAlign w:val="bottom"/>
            <w:hideMark/>
          </w:tcPr>
          <w:p w14:paraId="7677463E"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r w:rsidRPr="00DC00FC">
              <w:rPr>
                <w:rFonts w:ascii="Times New Roman" w:eastAsia="Times New Roman" w:hAnsi="Times New Roman" w:cs="Times New Roman"/>
                <w:color w:val="000000"/>
                <w:lang w:val="pt-PT" w:eastAsia="pt-PT"/>
              </w:rPr>
              <w:t>IN</w:t>
            </w:r>
          </w:p>
        </w:tc>
        <w:tc>
          <w:tcPr>
            <w:tcW w:w="960" w:type="dxa"/>
            <w:tcBorders>
              <w:top w:val="single" w:sz="4" w:space="0" w:color="auto"/>
              <w:bottom w:val="single" w:sz="4" w:space="0" w:color="auto"/>
            </w:tcBorders>
            <w:noWrap/>
            <w:vAlign w:val="bottom"/>
            <w:hideMark/>
          </w:tcPr>
          <w:p w14:paraId="58CEAD1C"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r w:rsidRPr="00DC00FC">
              <w:rPr>
                <w:rFonts w:ascii="Times New Roman" w:eastAsia="Times New Roman" w:hAnsi="Times New Roman" w:cs="Times New Roman"/>
                <w:color w:val="000000"/>
                <w:lang w:val="pt-PT" w:eastAsia="pt-PT"/>
              </w:rPr>
              <w:t>FI</w:t>
            </w:r>
          </w:p>
        </w:tc>
        <w:tc>
          <w:tcPr>
            <w:tcW w:w="960" w:type="dxa"/>
            <w:tcBorders>
              <w:top w:val="single" w:sz="4" w:space="0" w:color="auto"/>
              <w:bottom w:val="single" w:sz="4" w:space="0" w:color="auto"/>
            </w:tcBorders>
            <w:noWrap/>
            <w:vAlign w:val="bottom"/>
            <w:hideMark/>
          </w:tcPr>
          <w:p w14:paraId="0BD3FD4B"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r w:rsidRPr="00DC00FC">
              <w:rPr>
                <w:rFonts w:ascii="Times New Roman" w:eastAsia="Times New Roman" w:hAnsi="Times New Roman" w:cs="Times New Roman"/>
                <w:color w:val="000000"/>
                <w:lang w:val="pt-PT" w:eastAsia="pt-PT"/>
              </w:rPr>
              <w:t>RG</w:t>
            </w:r>
          </w:p>
        </w:tc>
        <w:tc>
          <w:tcPr>
            <w:tcW w:w="964" w:type="dxa"/>
            <w:tcBorders>
              <w:top w:val="single" w:sz="4" w:space="0" w:color="auto"/>
              <w:bottom w:val="single" w:sz="4" w:space="0" w:color="auto"/>
            </w:tcBorders>
            <w:noWrap/>
            <w:vAlign w:val="bottom"/>
            <w:hideMark/>
          </w:tcPr>
          <w:p w14:paraId="5EA8CBDC"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r w:rsidRPr="00DC00FC">
              <w:rPr>
                <w:rFonts w:ascii="Times New Roman" w:eastAsia="Times New Roman" w:hAnsi="Times New Roman" w:cs="Times New Roman"/>
                <w:color w:val="000000"/>
                <w:lang w:val="pt-PT" w:eastAsia="pt-PT"/>
              </w:rPr>
              <w:t>VC</w:t>
            </w:r>
          </w:p>
        </w:tc>
      </w:tr>
      <w:tr w:rsidR="00B12D78" w:rsidRPr="00DC00FC" w14:paraId="2DEF97D2" w14:textId="77777777" w:rsidTr="00472379">
        <w:trPr>
          <w:trHeight w:val="288"/>
        </w:trPr>
        <w:tc>
          <w:tcPr>
            <w:tcW w:w="2695" w:type="dxa"/>
            <w:tcBorders>
              <w:top w:val="single" w:sz="4" w:space="0" w:color="auto"/>
            </w:tcBorders>
            <w:noWrap/>
            <w:vAlign w:val="bottom"/>
            <w:hideMark/>
          </w:tcPr>
          <w:p w14:paraId="2E498E5B" w14:textId="77777777" w:rsidR="00B12D78" w:rsidRPr="00DC00FC" w:rsidRDefault="00B12D78" w:rsidP="00472379">
            <w:pPr>
              <w:spacing w:after="0" w:line="240" w:lineRule="auto"/>
              <w:rPr>
                <w:rFonts w:ascii="Times New Roman" w:eastAsia="Times New Roman" w:hAnsi="Times New Roman" w:cs="Times New Roman"/>
                <w:color w:val="000000"/>
                <w:lang w:val="pt-PT" w:eastAsia="pt-PT"/>
              </w:rPr>
            </w:pPr>
            <w:r w:rsidRPr="00DC00FC">
              <w:rPr>
                <w:rFonts w:ascii="Times New Roman" w:eastAsia="Times New Roman" w:hAnsi="Times New Roman" w:cs="Times New Roman"/>
                <w:color w:val="000000"/>
                <w:lang w:val="pt-PT" w:eastAsia="pt-PT"/>
              </w:rPr>
              <w:t>Attitude (AT)</w:t>
            </w:r>
          </w:p>
        </w:tc>
        <w:tc>
          <w:tcPr>
            <w:tcW w:w="745" w:type="dxa"/>
            <w:tcBorders>
              <w:top w:val="single" w:sz="4" w:space="0" w:color="auto"/>
            </w:tcBorders>
            <w:noWrap/>
            <w:vAlign w:val="bottom"/>
          </w:tcPr>
          <w:p w14:paraId="56E70EB3" w14:textId="77777777" w:rsidR="00B12D78" w:rsidRPr="00DC00FC" w:rsidRDefault="00B12D78" w:rsidP="00472379">
            <w:pPr>
              <w:spacing w:after="0" w:line="240" w:lineRule="auto"/>
              <w:jc w:val="center"/>
              <w:rPr>
                <w:rFonts w:ascii="Times New Roman" w:eastAsia="Times New Roman" w:hAnsi="Times New Roman" w:cs="Times New Roman"/>
                <w:b/>
                <w:bCs/>
                <w:color w:val="000000"/>
                <w:lang w:val="pt-PT" w:eastAsia="pt-PT"/>
              </w:rPr>
            </w:pPr>
          </w:p>
        </w:tc>
        <w:tc>
          <w:tcPr>
            <w:tcW w:w="745" w:type="dxa"/>
            <w:tcBorders>
              <w:top w:val="single" w:sz="4" w:space="0" w:color="auto"/>
            </w:tcBorders>
            <w:noWrap/>
            <w:vAlign w:val="bottom"/>
            <w:hideMark/>
          </w:tcPr>
          <w:p w14:paraId="792BDA77" w14:textId="77777777" w:rsidR="00B12D78" w:rsidRPr="00DC00FC" w:rsidRDefault="00B12D78" w:rsidP="00472379">
            <w:pPr>
              <w:spacing w:after="0" w:line="240" w:lineRule="auto"/>
              <w:jc w:val="center"/>
              <w:rPr>
                <w:rFonts w:ascii="Times New Roman" w:eastAsia="Times New Roman" w:hAnsi="Times New Roman" w:cs="Times New Roman"/>
                <w:b/>
                <w:bCs/>
                <w:color w:val="000000"/>
                <w:lang w:val="pt-PT" w:eastAsia="pt-PT"/>
              </w:rPr>
            </w:pPr>
          </w:p>
        </w:tc>
        <w:tc>
          <w:tcPr>
            <w:tcW w:w="960" w:type="dxa"/>
            <w:tcBorders>
              <w:top w:val="single" w:sz="4" w:space="0" w:color="auto"/>
            </w:tcBorders>
            <w:noWrap/>
            <w:vAlign w:val="bottom"/>
            <w:hideMark/>
          </w:tcPr>
          <w:p w14:paraId="22690796" w14:textId="77777777" w:rsidR="00B12D78" w:rsidRPr="00DC00FC" w:rsidRDefault="00B12D78" w:rsidP="00472379">
            <w:pPr>
              <w:spacing w:after="0" w:line="240" w:lineRule="auto"/>
              <w:jc w:val="center"/>
              <w:rPr>
                <w:rFonts w:ascii="Times New Roman" w:eastAsia="Times New Roman" w:hAnsi="Times New Roman" w:cs="Times New Roman"/>
                <w:sz w:val="20"/>
                <w:szCs w:val="20"/>
                <w:lang w:val="pt-PT" w:eastAsia="pt-PT"/>
              </w:rPr>
            </w:pPr>
          </w:p>
        </w:tc>
        <w:tc>
          <w:tcPr>
            <w:tcW w:w="960" w:type="dxa"/>
            <w:tcBorders>
              <w:top w:val="single" w:sz="4" w:space="0" w:color="auto"/>
            </w:tcBorders>
            <w:noWrap/>
            <w:vAlign w:val="bottom"/>
            <w:hideMark/>
          </w:tcPr>
          <w:p w14:paraId="3254BED0" w14:textId="77777777" w:rsidR="00B12D78" w:rsidRPr="00DC00FC" w:rsidRDefault="00B12D78" w:rsidP="00472379">
            <w:pPr>
              <w:spacing w:after="0" w:line="240" w:lineRule="auto"/>
              <w:jc w:val="center"/>
              <w:rPr>
                <w:rFonts w:ascii="Times New Roman" w:eastAsia="Times New Roman" w:hAnsi="Times New Roman" w:cs="Times New Roman"/>
                <w:sz w:val="20"/>
                <w:szCs w:val="20"/>
                <w:lang w:val="pt-PT" w:eastAsia="pt-PT"/>
              </w:rPr>
            </w:pPr>
          </w:p>
        </w:tc>
        <w:tc>
          <w:tcPr>
            <w:tcW w:w="960" w:type="dxa"/>
            <w:tcBorders>
              <w:top w:val="single" w:sz="4" w:space="0" w:color="auto"/>
            </w:tcBorders>
            <w:noWrap/>
            <w:vAlign w:val="bottom"/>
            <w:hideMark/>
          </w:tcPr>
          <w:p w14:paraId="782909AD" w14:textId="77777777" w:rsidR="00B12D78" w:rsidRPr="00DC00FC" w:rsidRDefault="00B12D78" w:rsidP="00472379">
            <w:pPr>
              <w:spacing w:after="0" w:line="240" w:lineRule="auto"/>
              <w:jc w:val="center"/>
              <w:rPr>
                <w:rFonts w:ascii="Times New Roman" w:eastAsia="Times New Roman" w:hAnsi="Times New Roman" w:cs="Times New Roman"/>
                <w:sz w:val="20"/>
                <w:szCs w:val="20"/>
                <w:lang w:val="pt-PT" w:eastAsia="pt-PT"/>
              </w:rPr>
            </w:pPr>
            <w:r w:rsidRPr="00DC00FC">
              <w:rPr>
                <w:rFonts w:ascii="Times New Roman" w:eastAsia="Times New Roman" w:hAnsi="Times New Roman" w:cs="Times New Roman"/>
                <w:sz w:val="20"/>
                <w:szCs w:val="20"/>
                <w:lang w:val="pt-PT" w:eastAsia="pt-PT"/>
              </w:rPr>
              <w:t>1.881</w:t>
            </w:r>
          </w:p>
        </w:tc>
        <w:tc>
          <w:tcPr>
            <w:tcW w:w="960" w:type="dxa"/>
            <w:tcBorders>
              <w:top w:val="single" w:sz="4" w:space="0" w:color="auto"/>
            </w:tcBorders>
            <w:noWrap/>
            <w:vAlign w:val="bottom"/>
            <w:hideMark/>
          </w:tcPr>
          <w:p w14:paraId="59652310" w14:textId="77777777" w:rsidR="00B12D78" w:rsidRPr="00DC00FC" w:rsidRDefault="00B12D78" w:rsidP="00472379">
            <w:pPr>
              <w:spacing w:after="0" w:line="240" w:lineRule="auto"/>
              <w:jc w:val="center"/>
              <w:rPr>
                <w:rFonts w:ascii="Times New Roman" w:eastAsia="Times New Roman" w:hAnsi="Times New Roman" w:cs="Times New Roman"/>
                <w:sz w:val="20"/>
                <w:szCs w:val="20"/>
                <w:lang w:val="pt-PT" w:eastAsia="pt-PT"/>
              </w:rPr>
            </w:pPr>
          </w:p>
        </w:tc>
        <w:tc>
          <w:tcPr>
            <w:tcW w:w="964" w:type="dxa"/>
            <w:tcBorders>
              <w:top w:val="single" w:sz="4" w:space="0" w:color="auto"/>
            </w:tcBorders>
            <w:noWrap/>
            <w:vAlign w:val="bottom"/>
            <w:hideMark/>
          </w:tcPr>
          <w:p w14:paraId="17FF0856" w14:textId="77777777" w:rsidR="00B12D78" w:rsidRPr="00DC00FC" w:rsidRDefault="00B12D78" w:rsidP="00472379">
            <w:pPr>
              <w:spacing w:after="0" w:line="240" w:lineRule="auto"/>
              <w:jc w:val="center"/>
              <w:rPr>
                <w:rFonts w:ascii="Times New Roman" w:eastAsia="Times New Roman" w:hAnsi="Times New Roman" w:cs="Times New Roman"/>
                <w:sz w:val="20"/>
                <w:szCs w:val="20"/>
                <w:lang w:val="pt-PT" w:eastAsia="pt-PT"/>
              </w:rPr>
            </w:pPr>
          </w:p>
        </w:tc>
      </w:tr>
      <w:tr w:rsidR="00B12D78" w:rsidRPr="00DC00FC" w14:paraId="2FD507C9" w14:textId="77777777" w:rsidTr="00472379">
        <w:trPr>
          <w:trHeight w:val="288"/>
        </w:trPr>
        <w:tc>
          <w:tcPr>
            <w:tcW w:w="2695" w:type="dxa"/>
            <w:noWrap/>
            <w:vAlign w:val="bottom"/>
            <w:hideMark/>
          </w:tcPr>
          <w:p w14:paraId="5BA01F31" w14:textId="77777777" w:rsidR="00B12D78" w:rsidRPr="00DC00FC" w:rsidRDefault="00B12D78" w:rsidP="00472379">
            <w:pPr>
              <w:spacing w:after="0" w:line="240" w:lineRule="auto"/>
              <w:rPr>
                <w:rFonts w:ascii="Times New Roman" w:eastAsia="Times New Roman" w:hAnsi="Times New Roman" w:cs="Times New Roman"/>
                <w:color w:val="000000"/>
                <w:lang w:val="pt-PT" w:eastAsia="pt-PT"/>
              </w:rPr>
            </w:pPr>
            <w:r w:rsidRPr="00DC00FC">
              <w:rPr>
                <w:rFonts w:ascii="Times New Roman" w:eastAsia="Times New Roman" w:hAnsi="Times New Roman" w:cs="Times New Roman"/>
                <w:color w:val="000000"/>
                <w:lang w:val="pt-PT" w:eastAsia="pt-PT"/>
              </w:rPr>
              <w:t>Economic Benefit (EB)</w:t>
            </w:r>
          </w:p>
        </w:tc>
        <w:tc>
          <w:tcPr>
            <w:tcW w:w="745" w:type="dxa"/>
            <w:noWrap/>
            <w:vAlign w:val="bottom"/>
          </w:tcPr>
          <w:p w14:paraId="28D974B7"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r w:rsidRPr="00DC00FC">
              <w:rPr>
                <w:rFonts w:ascii="Times New Roman" w:eastAsia="Times New Roman" w:hAnsi="Times New Roman" w:cs="Times New Roman"/>
                <w:color w:val="000000"/>
                <w:lang w:val="pt-PT" w:eastAsia="pt-PT"/>
              </w:rPr>
              <w:t>1.520</w:t>
            </w:r>
          </w:p>
        </w:tc>
        <w:tc>
          <w:tcPr>
            <w:tcW w:w="745" w:type="dxa"/>
            <w:noWrap/>
            <w:vAlign w:val="bottom"/>
          </w:tcPr>
          <w:p w14:paraId="395F691F" w14:textId="77777777" w:rsidR="00B12D78" w:rsidRPr="00DC00FC" w:rsidRDefault="00B12D78" w:rsidP="00472379">
            <w:pPr>
              <w:spacing w:after="0" w:line="240" w:lineRule="auto"/>
              <w:jc w:val="center"/>
              <w:rPr>
                <w:rFonts w:ascii="Times New Roman" w:eastAsia="Times New Roman" w:hAnsi="Times New Roman" w:cs="Times New Roman"/>
                <w:b/>
                <w:bCs/>
                <w:color w:val="000000"/>
                <w:lang w:val="pt-PT" w:eastAsia="pt-PT"/>
              </w:rPr>
            </w:pPr>
          </w:p>
        </w:tc>
        <w:tc>
          <w:tcPr>
            <w:tcW w:w="960" w:type="dxa"/>
            <w:noWrap/>
            <w:vAlign w:val="bottom"/>
            <w:hideMark/>
          </w:tcPr>
          <w:p w14:paraId="1C509F88" w14:textId="77777777" w:rsidR="00B12D78" w:rsidRPr="00DC00FC" w:rsidRDefault="00B12D78" w:rsidP="00472379">
            <w:pPr>
              <w:spacing w:after="0" w:line="240" w:lineRule="auto"/>
              <w:jc w:val="center"/>
              <w:rPr>
                <w:rFonts w:ascii="Times New Roman" w:eastAsia="Times New Roman" w:hAnsi="Times New Roman" w:cs="Times New Roman"/>
                <w:b/>
                <w:bCs/>
                <w:color w:val="000000"/>
                <w:lang w:val="pt-PT" w:eastAsia="pt-PT"/>
              </w:rPr>
            </w:pPr>
          </w:p>
        </w:tc>
        <w:tc>
          <w:tcPr>
            <w:tcW w:w="960" w:type="dxa"/>
            <w:noWrap/>
            <w:vAlign w:val="bottom"/>
            <w:hideMark/>
          </w:tcPr>
          <w:p w14:paraId="5C04F301" w14:textId="77777777" w:rsidR="00B12D78" w:rsidRPr="00DC00FC" w:rsidRDefault="00B12D78" w:rsidP="00472379">
            <w:pPr>
              <w:spacing w:after="0" w:line="240" w:lineRule="auto"/>
              <w:jc w:val="center"/>
              <w:rPr>
                <w:rFonts w:ascii="Times New Roman" w:eastAsia="Times New Roman" w:hAnsi="Times New Roman" w:cs="Times New Roman"/>
                <w:sz w:val="20"/>
                <w:szCs w:val="20"/>
                <w:lang w:val="pt-PT" w:eastAsia="pt-PT"/>
              </w:rPr>
            </w:pPr>
          </w:p>
        </w:tc>
        <w:tc>
          <w:tcPr>
            <w:tcW w:w="960" w:type="dxa"/>
            <w:noWrap/>
            <w:vAlign w:val="bottom"/>
            <w:hideMark/>
          </w:tcPr>
          <w:p w14:paraId="44EB5BF5" w14:textId="77777777" w:rsidR="00B12D78" w:rsidRPr="00DC00FC" w:rsidRDefault="00B12D78" w:rsidP="00472379">
            <w:pPr>
              <w:spacing w:after="0" w:line="240" w:lineRule="auto"/>
              <w:jc w:val="center"/>
              <w:rPr>
                <w:rFonts w:ascii="Times New Roman" w:eastAsia="Times New Roman" w:hAnsi="Times New Roman" w:cs="Times New Roman"/>
                <w:sz w:val="20"/>
                <w:szCs w:val="20"/>
                <w:lang w:val="pt-PT" w:eastAsia="pt-PT"/>
              </w:rPr>
            </w:pPr>
            <w:r w:rsidRPr="00DC00FC">
              <w:rPr>
                <w:rFonts w:ascii="Times New Roman" w:eastAsia="Times New Roman" w:hAnsi="Times New Roman" w:cs="Times New Roman"/>
                <w:sz w:val="20"/>
                <w:szCs w:val="20"/>
                <w:lang w:val="pt-PT" w:eastAsia="pt-PT"/>
              </w:rPr>
              <w:t>1.672</w:t>
            </w:r>
          </w:p>
        </w:tc>
        <w:tc>
          <w:tcPr>
            <w:tcW w:w="960" w:type="dxa"/>
            <w:noWrap/>
            <w:vAlign w:val="bottom"/>
            <w:hideMark/>
          </w:tcPr>
          <w:p w14:paraId="1433A3BE" w14:textId="77777777" w:rsidR="00B12D78" w:rsidRPr="00DC00FC" w:rsidRDefault="00B12D78" w:rsidP="00472379">
            <w:pPr>
              <w:spacing w:after="0" w:line="240" w:lineRule="auto"/>
              <w:jc w:val="center"/>
              <w:rPr>
                <w:rFonts w:ascii="Times New Roman" w:eastAsia="Times New Roman" w:hAnsi="Times New Roman" w:cs="Times New Roman"/>
                <w:sz w:val="20"/>
                <w:szCs w:val="20"/>
                <w:lang w:val="pt-PT" w:eastAsia="pt-PT"/>
              </w:rPr>
            </w:pPr>
          </w:p>
        </w:tc>
        <w:tc>
          <w:tcPr>
            <w:tcW w:w="964" w:type="dxa"/>
            <w:noWrap/>
            <w:vAlign w:val="bottom"/>
            <w:hideMark/>
          </w:tcPr>
          <w:p w14:paraId="1C1D6C6B" w14:textId="77777777" w:rsidR="00B12D78" w:rsidRPr="00DC00FC" w:rsidRDefault="00B12D78" w:rsidP="00472379">
            <w:pPr>
              <w:spacing w:after="0" w:line="240" w:lineRule="auto"/>
              <w:jc w:val="center"/>
              <w:rPr>
                <w:rFonts w:ascii="Times New Roman" w:eastAsia="Times New Roman" w:hAnsi="Times New Roman" w:cs="Times New Roman"/>
                <w:sz w:val="20"/>
                <w:szCs w:val="20"/>
                <w:lang w:val="pt-PT" w:eastAsia="pt-PT"/>
              </w:rPr>
            </w:pPr>
          </w:p>
        </w:tc>
      </w:tr>
      <w:tr w:rsidR="00B12D78" w:rsidRPr="00DC00FC" w14:paraId="1701FA12" w14:textId="77777777" w:rsidTr="00472379">
        <w:trPr>
          <w:trHeight w:val="288"/>
        </w:trPr>
        <w:tc>
          <w:tcPr>
            <w:tcW w:w="2695" w:type="dxa"/>
            <w:noWrap/>
            <w:vAlign w:val="bottom"/>
            <w:hideMark/>
          </w:tcPr>
          <w:p w14:paraId="1A98655E" w14:textId="77777777" w:rsidR="00B12D78" w:rsidRPr="00DC00FC" w:rsidRDefault="00B12D78" w:rsidP="00472379">
            <w:pPr>
              <w:spacing w:after="0" w:line="240" w:lineRule="auto"/>
              <w:rPr>
                <w:rFonts w:ascii="Times New Roman" w:eastAsia="Times New Roman" w:hAnsi="Times New Roman" w:cs="Times New Roman"/>
                <w:color w:val="000000"/>
                <w:lang w:val="pt-PT" w:eastAsia="pt-PT"/>
              </w:rPr>
            </w:pPr>
            <w:r w:rsidRPr="00DC00FC">
              <w:rPr>
                <w:rFonts w:ascii="Times New Roman" w:eastAsia="Times New Roman" w:hAnsi="Times New Roman" w:cs="Times New Roman"/>
                <w:color w:val="000000"/>
                <w:lang w:val="pt-PT" w:eastAsia="pt-PT"/>
              </w:rPr>
              <w:t>Government support (GS)</w:t>
            </w:r>
          </w:p>
        </w:tc>
        <w:tc>
          <w:tcPr>
            <w:tcW w:w="745" w:type="dxa"/>
            <w:noWrap/>
            <w:vAlign w:val="bottom"/>
          </w:tcPr>
          <w:p w14:paraId="6375753A"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p>
        </w:tc>
        <w:tc>
          <w:tcPr>
            <w:tcW w:w="745" w:type="dxa"/>
            <w:noWrap/>
            <w:vAlign w:val="bottom"/>
          </w:tcPr>
          <w:p w14:paraId="2C1F271C"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r w:rsidRPr="00DC00FC">
              <w:rPr>
                <w:rFonts w:ascii="Times New Roman" w:eastAsia="Times New Roman" w:hAnsi="Times New Roman" w:cs="Times New Roman"/>
                <w:color w:val="000000"/>
                <w:lang w:val="pt-PT" w:eastAsia="pt-PT"/>
              </w:rPr>
              <w:t>1.000</w:t>
            </w:r>
          </w:p>
        </w:tc>
        <w:tc>
          <w:tcPr>
            <w:tcW w:w="960" w:type="dxa"/>
            <w:noWrap/>
            <w:vAlign w:val="bottom"/>
          </w:tcPr>
          <w:p w14:paraId="422C2C5F" w14:textId="77777777" w:rsidR="00B12D78" w:rsidRPr="00DC00FC" w:rsidRDefault="00B12D78" w:rsidP="00472379">
            <w:pPr>
              <w:spacing w:after="0" w:line="240" w:lineRule="auto"/>
              <w:jc w:val="center"/>
              <w:rPr>
                <w:rFonts w:ascii="Times New Roman" w:eastAsia="Times New Roman" w:hAnsi="Times New Roman" w:cs="Times New Roman"/>
                <w:b/>
                <w:bCs/>
                <w:color w:val="000000"/>
                <w:lang w:val="pt-PT" w:eastAsia="pt-PT"/>
              </w:rPr>
            </w:pPr>
          </w:p>
        </w:tc>
        <w:tc>
          <w:tcPr>
            <w:tcW w:w="960" w:type="dxa"/>
            <w:noWrap/>
            <w:vAlign w:val="bottom"/>
            <w:hideMark/>
          </w:tcPr>
          <w:p w14:paraId="33AF1221"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r w:rsidRPr="00DC00FC">
              <w:rPr>
                <w:rFonts w:ascii="Times New Roman" w:eastAsia="Times New Roman" w:hAnsi="Times New Roman" w:cs="Times New Roman"/>
                <w:color w:val="000000"/>
                <w:lang w:val="pt-PT" w:eastAsia="pt-PT"/>
              </w:rPr>
              <w:t>1.000</w:t>
            </w:r>
          </w:p>
        </w:tc>
        <w:tc>
          <w:tcPr>
            <w:tcW w:w="960" w:type="dxa"/>
            <w:noWrap/>
            <w:vAlign w:val="bottom"/>
            <w:hideMark/>
          </w:tcPr>
          <w:p w14:paraId="5E5738C1" w14:textId="77777777" w:rsidR="00B12D78" w:rsidRPr="00DC00FC" w:rsidRDefault="00B12D78" w:rsidP="00472379">
            <w:pPr>
              <w:spacing w:after="0" w:line="240" w:lineRule="auto"/>
              <w:jc w:val="center"/>
              <w:rPr>
                <w:rFonts w:ascii="Times New Roman" w:eastAsia="Times New Roman" w:hAnsi="Times New Roman" w:cs="Times New Roman"/>
                <w:sz w:val="20"/>
                <w:szCs w:val="20"/>
                <w:lang w:val="pt-PT" w:eastAsia="pt-PT"/>
              </w:rPr>
            </w:pPr>
            <w:r w:rsidRPr="00DC00FC">
              <w:rPr>
                <w:rFonts w:ascii="Times New Roman" w:eastAsia="Times New Roman" w:hAnsi="Times New Roman" w:cs="Times New Roman"/>
                <w:sz w:val="20"/>
                <w:szCs w:val="20"/>
                <w:lang w:val="pt-PT" w:eastAsia="pt-PT"/>
              </w:rPr>
              <w:t>1.097</w:t>
            </w:r>
          </w:p>
        </w:tc>
        <w:tc>
          <w:tcPr>
            <w:tcW w:w="960" w:type="dxa"/>
            <w:noWrap/>
            <w:vAlign w:val="bottom"/>
            <w:hideMark/>
          </w:tcPr>
          <w:p w14:paraId="532929DD" w14:textId="77777777" w:rsidR="00B12D78" w:rsidRPr="00DC00FC" w:rsidRDefault="00B12D78" w:rsidP="00472379">
            <w:pPr>
              <w:spacing w:after="0" w:line="240" w:lineRule="auto"/>
              <w:jc w:val="center"/>
              <w:rPr>
                <w:rFonts w:ascii="Times New Roman" w:eastAsia="Times New Roman" w:hAnsi="Times New Roman" w:cs="Times New Roman"/>
                <w:sz w:val="20"/>
                <w:szCs w:val="20"/>
                <w:lang w:val="pt-PT" w:eastAsia="pt-PT"/>
              </w:rPr>
            </w:pPr>
          </w:p>
        </w:tc>
        <w:tc>
          <w:tcPr>
            <w:tcW w:w="964" w:type="dxa"/>
            <w:noWrap/>
            <w:vAlign w:val="bottom"/>
            <w:hideMark/>
          </w:tcPr>
          <w:p w14:paraId="6D37F6BF" w14:textId="77777777" w:rsidR="00B12D78" w:rsidRPr="00DC00FC" w:rsidRDefault="00B12D78" w:rsidP="00472379">
            <w:pPr>
              <w:spacing w:after="0" w:line="240" w:lineRule="auto"/>
              <w:jc w:val="center"/>
              <w:rPr>
                <w:rFonts w:ascii="Times New Roman" w:eastAsia="Times New Roman" w:hAnsi="Times New Roman" w:cs="Times New Roman"/>
                <w:sz w:val="20"/>
                <w:szCs w:val="20"/>
                <w:lang w:val="pt-PT" w:eastAsia="pt-PT"/>
              </w:rPr>
            </w:pPr>
          </w:p>
        </w:tc>
      </w:tr>
      <w:tr w:rsidR="00B12D78" w:rsidRPr="00DC00FC" w14:paraId="390B4510" w14:textId="77777777" w:rsidTr="00472379">
        <w:trPr>
          <w:trHeight w:val="288"/>
        </w:trPr>
        <w:tc>
          <w:tcPr>
            <w:tcW w:w="2695" w:type="dxa"/>
            <w:noWrap/>
            <w:vAlign w:val="bottom"/>
            <w:hideMark/>
          </w:tcPr>
          <w:p w14:paraId="41E3419B" w14:textId="77777777" w:rsidR="00B12D78" w:rsidRPr="00DC00FC" w:rsidRDefault="00B12D78" w:rsidP="00472379">
            <w:pPr>
              <w:spacing w:after="0" w:line="240" w:lineRule="auto"/>
              <w:rPr>
                <w:rFonts w:ascii="Times New Roman" w:eastAsia="Times New Roman" w:hAnsi="Times New Roman" w:cs="Times New Roman"/>
                <w:color w:val="000000"/>
                <w:lang w:val="pt-PT" w:eastAsia="pt-PT"/>
              </w:rPr>
            </w:pPr>
            <w:r w:rsidRPr="00DC00FC">
              <w:rPr>
                <w:rFonts w:ascii="Times New Roman" w:eastAsia="Times New Roman" w:hAnsi="Times New Roman" w:cs="Times New Roman"/>
                <w:color w:val="000000"/>
                <w:lang w:val="pt-PT" w:eastAsia="pt-PT"/>
              </w:rPr>
              <w:t>Innovativeness (IN)</w:t>
            </w:r>
          </w:p>
        </w:tc>
        <w:tc>
          <w:tcPr>
            <w:tcW w:w="745" w:type="dxa"/>
            <w:noWrap/>
            <w:vAlign w:val="bottom"/>
          </w:tcPr>
          <w:p w14:paraId="4658B292"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p>
        </w:tc>
        <w:tc>
          <w:tcPr>
            <w:tcW w:w="745" w:type="dxa"/>
            <w:noWrap/>
            <w:vAlign w:val="bottom"/>
          </w:tcPr>
          <w:p w14:paraId="53C76E05"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p>
        </w:tc>
        <w:tc>
          <w:tcPr>
            <w:tcW w:w="960" w:type="dxa"/>
            <w:noWrap/>
            <w:vAlign w:val="bottom"/>
          </w:tcPr>
          <w:p w14:paraId="24D48DA2"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p>
        </w:tc>
        <w:tc>
          <w:tcPr>
            <w:tcW w:w="960" w:type="dxa"/>
            <w:noWrap/>
            <w:vAlign w:val="bottom"/>
          </w:tcPr>
          <w:p w14:paraId="094A5533"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p>
        </w:tc>
        <w:tc>
          <w:tcPr>
            <w:tcW w:w="960" w:type="dxa"/>
            <w:noWrap/>
            <w:vAlign w:val="bottom"/>
            <w:hideMark/>
          </w:tcPr>
          <w:p w14:paraId="03B334BC"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r w:rsidRPr="00DC00FC">
              <w:rPr>
                <w:rFonts w:ascii="Times New Roman" w:eastAsia="Times New Roman" w:hAnsi="Times New Roman" w:cs="Times New Roman"/>
                <w:color w:val="000000"/>
                <w:lang w:val="pt-PT" w:eastAsia="pt-PT"/>
              </w:rPr>
              <w:t>1.662</w:t>
            </w:r>
          </w:p>
        </w:tc>
        <w:tc>
          <w:tcPr>
            <w:tcW w:w="960" w:type="dxa"/>
            <w:noWrap/>
            <w:vAlign w:val="bottom"/>
            <w:hideMark/>
          </w:tcPr>
          <w:p w14:paraId="0CFAD469" w14:textId="77777777" w:rsidR="00B12D78" w:rsidRPr="00DC00FC" w:rsidRDefault="00B12D78" w:rsidP="00472379">
            <w:pPr>
              <w:spacing w:after="0" w:line="240" w:lineRule="auto"/>
              <w:jc w:val="center"/>
              <w:rPr>
                <w:rFonts w:ascii="Times New Roman" w:eastAsia="Times New Roman" w:hAnsi="Times New Roman" w:cs="Times New Roman"/>
                <w:sz w:val="20"/>
                <w:szCs w:val="20"/>
                <w:lang w:val="pt-PT" w:eastAsia="pt-PT"/>
              </w:rPr>
            </w:pPr>
          </w:p>
        </w:tc>
        <w:tc>
          <w:tcPr>
            <w:tcW w:w="964" w:type="dxa"/>
            <w:noWrap/>
            <w:vAlign w:val="bottom"/>
            <w:hideMark/>
          </w:tcPr>
          <w:p w14:paraId="0DB377E5" w14:textId="77777777" w:rsidR="00B12D78" w:rsidRPr="00DC00FC" w:rsidRDefault="00B12D78" w:rsidP="00472379">
            <w:pPr>
              <w:spacing w:after="0" w:line="240" w:lineRule="auto"/>
              <w:jc w:val="center"/>
              <w:rPr>
                <w:rFonts w:ascii="Times New Roman" w:eastAsia="Times New Roman" w:hAnsi="Times New Roman" w:cs="Times New Roman"/>
                <w:sz w:val="20"/>
                <w:szCs w:val="20"/>
                <w:lang w:val="pt-PT" w:eastAsia="pt-PT"/>
              </w:rPr>
            </w:pPr>
          </w:p>
        </w:tc>
      </w:tr>
      <w:tr w:rsidR="00B12D78" w:rsidRPr="00DC00FC" w14:paraId="16CD0D55" w14:textId="77777777" w:rsidTr="00472379">
        <w:trPr>
          <w:trHeight w:val="288"/>
        </w:trPr>
        <w:tc>
          <w:tcPr>
            <w:tcW w:w="2695" w:type="dxa"/>
            <w:noWrap/>
            <w:vAlign w:val="bottom"/>
            <w:hideMark/>
          </w:tcPr>
          <w:p w14:paraId="00654B7C" w14:textId="77777777" w:rsidR="00B12D78" w:rsidRPr="00DC00FC" w:rsidRDefault="00B12D78" w:rsidP="00472379">
            <w:pPr>
              <w:spacing w:after="0" w:line="240" w:lineRule="auto"/>
              <w:rPr>
                <w:rFonts w:ascii="Times New Roman" w:eastAsia="Times New Roman" w:hAnsi="Times New Roman" w:cs="Times New Roman"/>
                <w:color w:val="000000"/>
                <w:lang w:val="pt-PT" w:eastAsia="pt-PT"/>
              </w:rPr>
            </w:pPr>
            <w:r w:rsidRPr="00DC00FC">
              <w:rPr>
                <w:rFonts w:ascii="Times New Roman" w:eastAsia="Times New Roman" w:hAnsi="Times New Roman" w:cs="Times New Roman"/>
                <w:color w:val="000000"/>
                <w:lang w:val="pt-PT" w:eastAsia="pt-PT"/>
              </w:rPr>
              <w:t>Fintech intention (FI)</w:t>
            </w:r>
          </w:p>
        </w:tc>
        <w:tc>
          <w:tcPr>
            <w:tcW w:w="745" w:type="dxa"/>
            <w:noWrap/>
            <w:vAlign w:val="bottom"/>
          </w:tcPr>
          <w:p w14:paraId="490D9143"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p>
        </w:tc>
        <w:tc>
          <w:tcPr>
            <w:tcW w:w="745" w:type="dxa"/>
            <w:noWrap/>
            <w:vAlign w:val="bottom"/>
          </w:tcPr>
          <w:p w14:paraId="288AA08B"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p>
        </w:tc>
        <w:tc>
          <w:tcPr>
            <w:tcW w:w="960" w:type="dxa"/>
            <w:noWrap/>
            <w:vAlign w:val="bottom"/>
          </w:tcPr>
          <w:p w14:paraId="693DB741"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p>
        </w:tc>
        <w:tc>
          <w:tcPr>
            <w:tcW w:w="960" w:type="dxa"/>
            <w:noWrap/>
            <w:vAlign w:val="bottom"/>
          </w:tcPr>
          <w:p w14:paraId="7FAC32BE"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p>
        </w:tc>
        <w:tc>
          <w:tcPr>
            <w:tcW w:w="960" w:type="dxa"/>
            <w:noWrap/>
            <w:vAlign w:val="bottom"/>
          </w:tcPr>
          <w:p w14:paraId="0C23A614" w14:textId="77777777" w:rsidR="00B12D78" w:rsidRPr="00DC00FC" w:rsidRDefault="00B12D78" w:rsidP="00472379">
            <w:pPr>
              <w:spacing w:after="0" w:line="240" w:lineRule="auto"/>
              <w:jc w:val="center"/>
              <w:rPr>
                <w:rFonts w:ascii="Times New Roman" w:eastAsia="Times New Roman" w:hAnsi="Times New Roman" w:cs="Times New Roman"/>
                <w:b/>
                <w:bCs/>
                <w:color w:val="000000"/>
                <w:lang w:val="pt-PT" w:eastAsia="pt-PT"/>
              </w:rPr>
            </w:pPr>
          </w:p>
        </w:tc>
        <w:tc>
          <w:tcPr>
            <w:tcW w:w="960" w:type="dxa"/>
            <w:noWrap/>
            <w:vAlign w:val="bottom"/>
            <w:hideMark/>
          </w:tcPr>
          <w:p w14:paraId="4EA6F4E7" w14:textId="77777777" w:rsidR="00B12D78" w:rsidRPr="00DC00FC" w:rsidRDefault="00B12D78" w:rsidP="00472379">
            <w:pPr>
              <w:spacing w:after="0" w:line="240" w:lineRule="auto"/>
              <w:jc w:val="center"/>
              <w:rPr>
                <w:rFonts w:ascii="Times New Roman" w:eastAsia="Times New Roman" w:hAnsi="Times New Roman" w:cs="Times New Roman"/>
                <w:b/>
                <w:bCs/>
                <w:color w:val="000000"/>
                <w:lang w:val="pt-PT" w:eastAsia="pt-PT"/>
              </w:rPr>
            </w:pPr>
          </w:p>
        </w:tc>
        <w:tc>
          <w:tcPr>
            <w:tcW w:w="964" w:type="dxa"/>
            <w:noWrap/>
            <w:vAlign w:val="bottom"/>
            <w:hideMark/>
          </w:tcPr>
          <w:p w14:paraId="760E1F20" w14:textId="77777777" w:rsidR="00B12D78" w:rsidRPr="00DC00FC" w:rsidRDefault="00B12D78" w:rsidP="00472379">
            <w:pPr>
              <w:spacing w:after="0" w:line="240" w:lineRule="auto"/>
              <w:jc w:val="center"/>
              <w:rPr>
                <w:rFonts w:ascii="Times New Roman" w:eastAsia="Times New Roman" w:hAnsi="Times New Roman" w:cs="Times New Roman"/>
                <w:sz w:val="20"/>
                <w:szCs w:val="20"/>
                <w:lang w:val="pt-PT" w:eastAsia="pt-PT"/>
              </w:rPr>
            </w:pPr>
          </w:p>
        </w:tc>
      </w:tr>
      <w:tr w:rsidR="00B12D78" w:rsidRPr="00DC00FC" w14:paraId="52595E7B" w14:textId="77777777" w:rsidTr="00472379">
        <w:trPr>
          <w:trHeight w:val="288"/>
        </w:trPr>
        <w:tc>
          <w:tcPr>
            <w:tcW w:w="2695" w:type="dxa"/>
            <w:noWrap/>
            <w:vAlign w:val="bottom"/>
            <w:hideMark/>
          </w:tcPr>
          <w:p w14:paraId="53852F59" w14:textId="77777777" w:rsidR="00B12D78" w:rsidRPr="00DC00FC" w:rsidRDefault="00B12D78" w:rsidP="00472379">
            <w:pPr>
              <w:spacing w:after="0" w:line="240" w:lineRule="auto"/>
              <w:rPr>
                <w:rFonts w:ascii="Times New Roman" w:eastAsia="Times New Roman" w:hAnsi="Times New Roman" w:cs="Times New Roman"/>
                <w:color w:val="000000"/>
                <w:lang w:val="pt-PT" w:eastAsia="pt-PT"/>
              </w:rPr>
            </w:pPr>
            <w:r w:rsidRPr="00DC00FC">
              <w:rPr>
                <w:rFonts w:ascii="Times New Roman" w:eastAsia="Times New Roman" w:hAnsi="Times New Roman" w:cs="Times New Roman"/>
                <w:color w:val="000000"/>
                <w:lang w:val="pt-PT" w:eastAsia="pt-PT"/>
              </w:rPr>
              <w:t>Regulation (RG)</w:t>
            </w:r>
          </w:p>
        </w:tc>
        <w:tc>
          <w:tcPr>
            <w:tcW w:w="745" w:type="dxa"/>
            <w:noWrap/>
            <w:vAlign w:val="bottom"/>
          </w:tcPr>
          <w:p w14:paraId="37764F63"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r w:rsidRPr="00DC00FC">
              <w:rPr>
                <w:rFonts w:ascii="Times New Roman" w:eastAsia="Times New Roman" w:hAnsi="Times New Roman" w:cs="Times New Roman"/>
                <w:color w:val="000000"/>
                <w:lang w:val="pt-PT" w:eastAsia="pt-PT"/>
              </w:rPr>
              <w:t>1.031</w:t>
            </w:r>
          </w:p>
        </w:tc>
        <w:tc>
          <w:tcPr>
            <w:tcW w:w="745" w:type="dxa"/>
            <w:noWrap/>
            <w:vAlign w:val="bottom"/>
          </w:tcPr>
          <w:p w14:paraId="50D04B93"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p>
        </w:tc>
        <w:tc>
          <w:tcPr>
            <w:tcW w:w="960" w:type="dxa"/>
            <w:noWrap/>
            <w:vAlign w:val="bottom"/>
          </w:tcPr>
          <w:p w14:paraId="61F03299"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p>
        </w:tc>
        <w:tc>
          <w:tcPr>
            <w:tcW w:w="960" w:type="dxa"/>
            <w:noWrap/>
            <w:vAlign w:val="bottom"/>
          </w:tcPr>
          <w:p w14:paraId="56D1FC82"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p>
        </w:tc>
        <w:tc>
          <w:tcPr>
            <w:tcW w:w="960" w:type="dxa"/>
            <w:noWrap/>
            <w:vAlign w:val="bottom"/>
          </w:tcPr>
          <w:p w14:paraId="50D0FAC4"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p>
        </w:tc>
        <w:tc>
          <w:tcPr>
            <w:tcW w:w="960" w:type="dxa"/>
            <w:noWrap/>
            <w:vAlign w:val="bottom"/>
          </w:tcPr>
          <w:p w14:paraId="7C310E7C" w14:textId="77777777" w:rsidR="00B12D78" w:rsidRPr="00DC00FC" w:rsidRDefault="00B12D78" w:rsidP="00472379">
            <w:pPr>
              <w:spacing w:after="0" w:line="240" w:lineRule="auto"/>
              <w:jc w:val="center"/>
              <w:rPr>
                <w:rFonts w:ascii="Times New Roman" w:eastAsia="Times New Roman" w:hAnsi="Times New Roman" w:cs="Times New Roman"/>
                <w:b/>
                <w:bCs/>
                <w:color w:val="000000"/>
                <w:lang w:val="pt-PT" w:eastAsia="pt-PT"/>
              </w:rPr>
            </w:pPr>
          </w:p>
        </w:tc>
        <w:tc>
          <w:tcPr>
            <w:tcW w:w="964" w:type="dxa"/>
            <w:noWrap/>
            <w:vAlign w:val="bottom"/>
          </w:tcPr>
          <w:p w14:paraId="0105B0B9" w14:textId="77777777" w:rsidR="00B12D78" w:rsidRPr="00DC00FC" w:rsidRDefault="00B12D78" w:rsidP="00472379">
            <w:pPr>
              <w:spacing w:after="0" w:line="240" w:lineRule="auto"/>
              <w:jc w:val="center"/>
              <w:rPr>
                <w:rFonts w:ascii="Times New Roman" w:eastAsia="Times New Roman" w:hAnsi="Times New Roman" w:cs="Times New Roman"/>
                <w:b/>
                <w:bCs/>
                <w:color w:val="000000"/>
                <w:lang w:val="pt-PT" w:eastAsia="pt-PT"/>
              </w:rPr>
            </w:pPr>
          </w:p>
        </w:tc>
      </w:tr>
      <w:tr w:rsidR="00B12D78" w:rsidRPr="00DC00FC" w14:paraId="2189E2A4" w14:textId="77777777" w:rsidTr="00472379">
        <w:trPr>
          <w:trHeight w:val="288"/>
        </w:trPr>
        <w:tc>
          <w:tcPr>
            <w:tcW w:w="2695" w:type="dxa"/>
            <w:noWrap/>
            <w:vAlign w:val="bottom"/>
            <w:hideMark/>
          </w:tcPr>
          <w:p w14:paraId="498A7425" w14:textId="77777777" w:rsidR="00B12D78" w:rsidRPr="00DC00FC" w:rsidRDefault="00B12D78" w:rsidP="00472379">
            <w:pPr>
              <w:spacing w:after="0" w:line="240" w:lineRule="auto"/>
              <w:rPr>
                <w:rFonts w:ascii="Times New Roman" w:eastAsia="Times New Roman" w:hAnsi="Times New Roman" w:cs="Times New Roman"/>
                <w:color w:val="000000"/>
                <w:lang w:val="pt-PT" w:eastAsia="pt-PT"/>
              </w:rPr>
            </w:pPr>
            <w:r w:rsidRPr="00DC00FC">
              <w:rPr>
                <w:rFonts w:ascii="Times New Roman" w:eastAsia="Times New Roman" w:hAnsi="Times New Roman" w:cs="Times New Roman"/>
                <w:color w:val="000000"/>
                <w:lang w:val="pt-PT" w:eastAsia="pt-PT"/>
              </w:rPr>
              <w:t>Value for Change (VC)</w:t>
            </w:r>
          </w:p>
        </w:tc>
        <w:tc>
          <w:tcPr>
            <w:tcW w:w="745" w:type="dxa"/>
            <w:noWrap/>
            <w:vAlign w:val="bottom"/>
          </w:tcPr>
          <w:p w14:paraId="5F967E1D"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r w:rsidRPr="00DC00FC">
              <w:rPr>
                <w:rFonts w:ascii="Times New Roman" w:eastAsia="Times New Roman" w:hAnsi="Times New Roman" w:cs="Times New Roman"/>
                <w:color w:val="000000"/>
                <w:lang w:val="pt-PT" w:eastAsia="pt-PT"/>
              </w:rPr>
              <w:t>1.548</w:t>
            </w:r>
          </w:p>
        </w:tc>
        <w:tc>
          <w:tcPr>
            <w:tcW w:w="745" w:type="dxa"/>
            <w:noWrap/>
            <w:vAlign w:val="bottom"/>
          </w:tcPr>
          <w:p w14:paraId="2B711419"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p>
        </w:tc>
        <w:tc>
          <w:tcPr>
            <w:tcW w:w="960" w:type="dxa"/>
            <w:noWrap/>
            <w:vAlign w:val="bottom"/>
          </w:tcPr>
          <w:p w14:paraId="2C1CDCB3"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p>
        </w:tc>
        <w:tc>
          <w:tcPr>
            <w:tcW w:w="960" w:type="dxa"/>
            <w:noWrap/>
            <w:vAlign w:val="bottom"/>
          </w:tcPr>
          <w:p w14:paraId="6A4B7BCB"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p>
        </w:tc>
        <w:tc>
          <w:tcPr>
            <w:tcW w:w="960" w:type="dxa"/>
            <w:noWrap/>
            <w:vAlign w:val="bottom"/>
          </w:tcPr>
          <w:p w14:paraId="6CD9007F"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p>
        </w:tc>
        <w:tc>
          <w:tcPr>
            <w:tcW w:w="960" w:type="dxa"/>
            <w:noWrap/>
            <w:vAlign w:val="bottom"/>
          </w:tcPr>
          <w:p w14:paraId="5BF4FB9A" w14:textId="77777777" w:rsidR="00B12D78" w:rsidRPr="00DC00FC" w:rsidRDefault="00B12D78" w:rsidP="00472379">
            <w:pPr>
              <w:spacing w:after="0" w:line="240" w:lineRule="auto"/>
              <w:jc w:val="center"/>
              <w:rPr>
                <w:rFonts w:ascii="Times New Roman" w:eastAsia="Times New Roman" w:hAnsi="Times New Roman" w:cs="Times New Roman"/>
                <w:color w:val="000000"/>
                <w:lang w:val="pt-PT" w:eastAsia="pt-PT"/>
              </w:rPr>
            </w:pPr>
          </w:p>
        </w:tc>
        <w:tc>
          <w:tcPr>
            <w:tcW w:w="964" w:type="dxa"/>
            <w:noWrap/>
            <w:vAlign w:val="bottom"/>
          </w:tcPr>
          <w:p w14:paraId="60651956" w14:textId="77777777" w:rsidR="00B12D78" w:rsidRPr="00DC00FC" w:rsidRDefault="00B12D78" w:rsidP="00472379">
            <w:pPr>
              <w:spacing w:after="0" w:line="240" w:lineRule="auto"/>
              <w:jc w:val="center"/>
              <w:rPr>
                <w:rFonts w:ascii="Times New Roman" w:eastAsia="Times New Roman" w:hAnsi="Times New Roman" w:cs="Times New Roman"/>
                <w:b/>
                <w:bCs/>
                <w:color w:val="000000"/>
                <w:lang w:val="pt-PT" w:eastAsia="pt-PT"/>
              </w:rPr>
            </w:pPr>
          </w:p>
        </w:tc>
      </w:tr>
      <w:tr w:rsidR="00B12D78" w:rsidRPr="00DC00FC" w14:paraId="44986A33" w14:textId="77777777" w:rsidTr="00472379">
        <w:trPr>
          <w:trHeight w:val="288"/>
        </w:trPr>
        <w:tc>
          <w:tcPr>
            <w:tcW w:w="8989" w:type="dxa"/>
            <w:gridSpan w:val="8"/>
            <w:noWrap/>
            <w:vAlign w:val="bottom"/>
          </w:tcPr>
          <w:p w14:paraId="41C884B8" w14:textId="77777777" w:rsidR="00B12D78" w:rsidRPr="00DC00FC" w:rsidRDefault="00B12D78" w:rsidP="00472379">
            <w:pPr>
              <w:spacing w:after="0" w:line="240" w:lineRule="auto"/>
              <w:rPr>
                <w:rFonts w:ascii="Times New Roman" w:eastAsia="Times New Roman" w:hAnsi="Times New Roman" w:cs="Times New Roman"/>
                <w:b/>
                <w:bCs/>
                <w:color w:val="000000"/>
                <w:lang w:val="pt-PT" w:eastAsia="pt-PT"/>
              </w:rPr>
            </w:pPr>
          </w:p>
        </w:tc>
      </w:tr>
    </w:tbl>
    <w:p w14:paraId="262EFAD3" w14:textId="77777777" w:rsidR="00B12D78" w:rsidRDefault="00B12D78" w:rsidP="00B12D78">
      <w:pPr>
        <w:rPr>
          <w:rFonts w:ascii="Times New Roman" w:hAnsi="Times New Roman" w:cs="Times New Roman"/>
          <w:sz w:val="24"/>
          <w:szCs w:val="24"/>
          <w:lang w:val="en-GB"/>
        </w:rPr>
      </w:pPr>
    </w:p>
    <w:p w14:paraId="325FCEE3" w14:textId="52D3B06A" w:rsidR="00C51105" w:rsidRPr="00D66BDF" w:rsidRDefault="00D66BDF" w:rsidP="00D66BDF">
      <w:pPr>
        <w:spacing w:after="0" w:line="360" w:lineRule="auto"/>
        <w:jc w:val="both"/>
        <w:rPr>
          <w:rFonts w:ascii="Times New Roman" w:hAnsi="Times New Roman" w:cs="Times New Roman"/>
          <w:sz w:val="24"/>
          <w:szCs w:val="24"/>
          <w:lang w:val="en-GB"/>
        </w:rPr>
      </w:pPr>
      <w:r w:rsidRPr="00C51105">
        <w:rPr>
          <w:rFonts w:ascii="Times New Roman" w:hAnsi="Times New Roman" w:cs="Times New Roman"/>
          <w:sz w:val="24"/>
          <w:szCs w:val="24"/>
        </w:rPr>
        <w:t>Table</w:t>
      </w:r>
      <w:r w:rsidRPr="00C51105">
        <w:rPr>
          <w:rFonts w:ascii="Times New Roman" w:hAnsi="Times New Roman" w:cs="Times New Roman"/>
          <w:sz w:val="24"/>
          <w:szCs w:val="24"/>
          <w:lang w:val="en-GB"/>
        </w:rPr>
        <w:t xml:space="preserve"> B presents the Variance Inflation Factors (VIFs) used to assess potential </w:t>
      </w:r>
      <w:proofErr w:type="spellStart"/>
      <w:r w:rsidRPr="00C51105">
        <w:rPr>
          <w:rFonts w:ascii="Times New Roman" w:hAnsi="Times New Roman" w:cs="Times New Roman"/>
          <w:sz w:val="24"/>
          <w:szCs w:val="24"/>
          <w:lang w:val="en-GB"/>
        </w:rPr>
        <w:t>multicollinearity</w:t>
      </w:r>
      <w:proofErr w:type="spellEnd"/>
      <w:r w:rsidRPr="00C51105">
        <w:rPr>
          <w:rFonts w:ascii="Times New Roman" w:hAnsi="Times New Roman" w:cs="Times New Roman"/>
          <w:sz w:val="24"/>
          <w:szCs w:val="24"/>
          <w:lang w:val="en-GB"/>
        </w:rPr>
        <w:t xml:space="preserve"> among the constructs. The results indicate that all VIF values are well below the recommended threshold of 3.3 (</w:t>
      </w:r>
      <w:proofErr w:type="spellStart"/>
      <w:r w:rsidRPr="00C51105">
        <w:rPr>
          <w:rFonts w:ascii="Times New Roman" w:hAnsi="Times New Roman" w:cs="Times New Roman"/>
          <w:sz w:val="24"/>
          <w:szCs w:val="24"/>
          <w:lang w:val="en-GB"/>
        </w:rPr>
        <w:t>Kock</w:t>
      </w:r>
      <w:proofErr w:type="spellEnd"/>
      <w:r w:rsidRPr="00C51105">
        <w:rPr>
          <w:rFonts w:ascii="Times New Roman" w:hAnsi="Times New Roman" w:cs="Times New Roman"/>
          <w:sz w:val="24"/>
          <w:szCs w:val="24"/>
          <w:lang w:val="en-GB"/>
        </w:rPr>
        <w:t xml:space="preserve">, 2015), with the highest value being 1.881. This suggests that </w:t>
      </w:r>
      <w:proofErr w:type="spellStart"/>
      <w:r w:rsidRPr="00C51105">
        <w:rPr>
          <w:rFonts w:ascii="Times New Roman" w:hAnsi="Times New Roman" w:cs="Times New Roman"/>
          <w:sz w:val="24"/>
          <w:szCs w:val="24"/>
          <w:lang w:val="en-GB"/>
        </w:rPr>
        <w:t>multicollinearity</w:t>
      </w:r>
      <w:proofErr w:type="spellEnd"/>
      <w:r w:rsidRPr="00C51105">
        <w:rPr>
          <w:rFonts w:ascii="Times New Roman" w:hAnsi="Times New Roman" w:cs="Times New Roman"/>
          <w:sz w:val="24"/>
          <w:szCs w:val="24"/>
          <w:lang w:val="en-GB"/>
        </w:rPr>
        <w:t xml:space="preserve"> is not a concern in the model. Overall, the findings confirm that the predictor constructs are sufficiently independent, thereby supporting the robustness and validity of the structural model estimates.</w:t>
      </w:r>
    </w:p>
    <w:p w14:paraId="681A6042" w14:textId="77777777" w:rsidR="00C51105" w:rsidRDefault="00C51105" w:rsidP="005A7314">
      <w:pPr>
        <w:rPr>
          <w:rFonts w:ascii="Times New Roman" w:hAnsi="Times New Roman" w:cs="Times New Roman"/>
          <w:b/>
          <w:bCs/>
          <w:sz w:val="16"/>
          <w:szCs w:val="16"/>
        </w:rPr>
      </w:pPr>
    </w:p>
    <w:p w14:paraId="2CA417F7" w14:textId="77777777" w:rsidR="00C51105" w:rsidRDefault="00C51105" w:rsidP="005A7314">
      <w:pPr>
        <w:rPr>
          <w:rFonts w:ascii="Times New Roman" w:hAnsi="Times New Roman" w:cs="Times New Roman"/>
          <w:b/>
          <w:bCs/>
          <w:sz w:val="16"/>
          <w:szCs w:val="16"/>
        </w:rPr>
      </w:pPr>
    </w:p>
    <w:p w14:paraId="39A91B35" w14:textId="77777777" w:rsidR="00C51105" w:rsidRPr="00CE6ECE" w:rsidRDefault="00C51105" w:rsidP="005A7314">
      <w:pPr>
        <w:rPr>
          <w:rFonts w:ascii="Times New Roman" w:hAnsi="Times New Roman" w:cs="Times New Roman"/>
          <w:b/>
          <w:bCs/>
          <w:sz w:val="16"/>
          <w:szCs w:val="16"/>
        </w:rPr>
      </w:pPr>
    </w:p>
    <w:p w14:paraId="659A4CA7" w14:textId="41A56FDE" w:rsidR="005A7314" w:rsidRPr="00B10393" w:rsidRDefault="000822B7" w:rsidP="005A7314">
      <w:pPr>
        <w:rPr>
          <w:rFonts w:ascii="Times New Roman" w:hAnsi="Times New Roman" w:cs="Times New Roman"/>
          <w:b/>
          <w:bCs/>
          <w:sz w:val="24"/>
          <w:szCs w:val="24"/>
        </w:rPr>
      </w:pPr>
      <w:r>
        <w:rPr>
          <w:rFonts w:ascii="Times New Roman" w:hAnsi="Times New Roman" w:cs="Times New Roman"/>
          <w:b/>
          <w:bCs/>
          <w:sz w:val="24"/>
          <w:szCs w:val="24"/>
        </w:rPr>
        <w:t>Further reading list</w:t>
      </w:r>
    </w:p>
    <w:p w14:paraId="7B02C141" w14:textId="77777777" w:rsidR="00EC3F00" w:rsidRPr="000822B7" w:rsidRDefault="00EC3F00" w:rsidP="00EC3F00">
      <w:pPr>
        <w:widowControl w:val="0"/>
        <w:autoSpaceDE w:val="0"/>
        <w:autoSpaceDN w:val="0"/>
        <w:adjustRightInd w:val="0"/>
        <w:spacing w:after="0" w:line="240" w:lineRule="auto"/>
        <w:ind w:left="480" w:hanging="480"/>
        <w:rPr>
          <w:rFonts w:ascii="Times New Roman" w:eastAsia="Calibri" w:hAnsi="Times New Roman" w:cs="Times New Roman"/>
          <w:kern w:val="2"/>
          <w:sz w:val="24"/>
          <w:szCs w:val="24"/>
          <w:lang w:val="en-GB"/>
          <w14:ligatures w14:val="standardContextual"/>
        </w:rPr>
      </w:pPr>
      <w:r w:rsidRPr="0043512D">
        <w:rPr>
          <w:rFonts w:ascii="Times New Roman" w:eastAsia="Calibri" w:hAnsi="Times New Roman" w:cs="Times New Roman"/>
          <w:kern w:val="2"/>
          <w:sz w:val="24"/>
          <w:szCs w:val="24"/>
          <w:lang w:val="pt-PT"/>
          <w14:ligatures w14:val="standardContextual"/>
        </w:rPr>
        <w:t xml:space="preserve">Al-Adwan, A. S., Jafar, R. M. S., &amp; Sitar-Tăut, D. A. (2024). </w:t>
      </w:r>
      <w:r w:rsidRPr="000822B7">
        <w:rPr>
          <w:rFonts w:ascii="Times New Roman" w:eastAsia="Calibri" w:hAnsi="Times New Roman" w:cs="Times New Roman"/>
          <w:kern w:val="2"/>
          <w:sz w:val="24"/>
          <w:szCs w:val="24"/>
          <w:lang w:val="en-GB"/>
          <w14:ligatures w14:val="standardContextual"/>
        </w:rPr>
        <w:t>Breaking into the black box of consumers’ perceptions on metaverse commerce: An integrated model of UTAUT 2 and dual-factor theory. Asia Pacific Management Review, 29(4), 477-498.</w:t>
      </w:r>
    </w:p>
    <w:p w14:paraId="33BCCC5B" w14:textId="77777777" w:rsidR="00EC3F00" w:rsidRPr="000822B7" w:rsidRDefault="00EC3F00" w:rsidP="00EC3F00">
      <w:pPr>
        <w:widowControl w:val="0"/>
        <w:autoSpaceDE w:val="0"/>
        <w:autoSpaceDN w:val="0"/>
        <w:adjustRightInd w:val="0"/>
        <w:spacing w:after="0" w:line="240" w:lineRule="auto"/>
        <w:ind w:left="480" w:hanging="480"/>
        <w:rPr>
          <w:rFonts w:ascii="Times New Roman" w:eastAsia="Calibri" w:hAnsi="Times New Roman" w:cs="Times New Roman"/>
          <w:kern w:val="2"/>
          <w:sz w:val="24"/>
          <w:szCs w:val="24"/>
          <w:lang w:val="en-GB"/>
          <w14:ligatures w14:val="standardContextual"/>
        </w:rPr>
      </w:pPr>
      <w:r w:rsidRPr="000822B7">
        <w:rPr>
          <w:rFonts w:ascii="Times New Roman" w:eastAsia="Calibri" w:hAnsi="Times New Roman" w:cs="Times New Roman"/>
          <w:kern w:val="2"/>
          <w:sz w:val="24"/>
          <w:szCs w:val="24"/>
          <w:lang w:val="en-GB"/>
          <w14:ligatures w14:val="standardContextual"/>
        </w:rPr>
        <w:t xml:space="preserve">Alam, S. S., Ahmed, S., </w:t>
      </w:r>
      <w:proofErr w:type="spellStart"/>
      <w:r w:rsidRPr="000822B7">
        <w:rPr>
          <w:rFonts w:ascii="Times New Roman" w:eastAsia="Calibri" w:hAnsi="Times New Roman" w:cs="Times New Roman"/>
          <w:kern w:val="2"/>
          <w:sz w:val="24"/>
          <w:szCs w:val="24"/>
          <w:lang w:val="en-GB"/>
          <w14:ligatures w14:val="standardContextual"/>
        </w:rPr>
        <w:t>Kokash</w:t>
      </w:r>
      <w:proofErr w:type="spellEnd"/>
      <w:r w:rsidRPr="000822B7">
        <w:rPr>
          <w:rFonts w:ascii="Times New Roman" w:eastAsia="Calibri" w:hAnsi="Times New Roman" w:cs="Times New Roman"/>
          <w:kern w:val="2"/>
          <w:sz w:val="24"/>
          <w:szCs w:val="24"/>
          <w:lang w:val="en-GB"/>
          <w14:ligatures w14:val="standardContextual"/>
        </w:rPr>
        <w:t xml:space="preserve">, H. A., Mahmud, M. S., &amp; </w:t>
      </w:r>
      <w:proofErr w:type="spellStart"/>
      <w:r w:rsidRPr="000822B7">
        <w:rPr>
          <w:rFonts w:ascii="Times New Roman" w:eastAsia="Calibri" w:hAnsi="Times New Roman" w:cs="Times New Roman"/>
          <w:kern w:val="2"/>
          <w:sz w:val="24"/>
          <w:szCs w:val="24"/>
          <w:lang w:val="en-GB"/>
          <w14:ligatures w14:val="standardContextual"/>
        </w:rPr>
        <w:t>Sharnali</w:t>
      </w:r>
      <w:proofErr w:type="spellEnd"/>
      <w:r w:rsidRPr="000822B7">
        <w:rPr>
          <w:rFonts w:ascii="Times New Roman" w:eastAsia="Calibri" w:hAnsi="Times New Roman" w:cs="Times New Roman"/>
          <w:kern w:val="2"/>
          <w:sz w:val="24"/>
          <w:szCs w:val="24"/>
          <w:lang w:val="en-GB"/>
          <w14:ligatures w14:val="standardContextual"/>
        </w:rPr>
        <w:t xml:space="preserve">, S. Z. (2024). Utility and hedonic </w:t>
      </w:r>
      <w:proofErr w:type="gramStart"/>
      <w:r w:rsidRPr="000822B7">
        <w:rPr>
          <w:rFonts w:ascii="Times New Roman" w:eastAsia="Calibri" w:hAnsi="Times New Roman" w:cs="Times New Roman"/>
          <w:kern w:val="2"/>
          <w:sz w:val="24"/>
          <w:szCs w:val="24"/>
          <w:lang w:val="en-GB"/>
          <w14:ligatures w14:val="standardContextual"/>
        </w:rPr>
        <w:t>perception</w:t>
      </w:r>
      <w:proofErr w:type="gramEnd"/>
      <w:r w:rsidRPr="000822B7">
        <w:rPr>
          <w:rFonts w:ascii="Times New Roman" w:eastAsia="Calibri" w:hAnsi="Times New Roman" w:cs="Times New Roman"/>
          <w:kern w:val="2"/>
          <w:sz w:val="24"/>
          <w:szCs w:val="24"/>
          <w:lang w:val="en-GB"/>
          <w14:ligatures w14:val="standardContextual"/>
        </w:rPr>
        <w:t>-Customers’ intention towards using of QR codes in mobile payment of Generation Y and Generation Z. Electronic Commerce Research and Applications, 65, 101389.</w:t>
      </w:r>
    </w:p>
    <w:p w14:paraId="56D33CB9" w14:textId="77777777" w:rsidR="00EC37B4" w:rsidRPr="000822B7" w:rsidRDefault="00EC37B4" w:rsidP="00EC37B4">
      <w:pPr>
        <w:widowControl w:val="0"/>
        <w:autoSpaceDE w:val="0"/>
        <w:autoSpaceDN w:val="0"/>
        <w:adjustRightInd w:val="0"/>
        <w:spacing w:after="0" w:line="240" w:lineRule="auto"/>
        <w:ind w:left="480" w:hanging="480"/>
        <w:rPr>
          <w:rFonts w:ascii="Times New Roman" w:eastAsia="Calibri" w:hAnsi="Times New Roman" w:cs="Times New Roman"/>
          <w:kern w:val="2"/>
          <w:sz w:val="24"/>
          <w:szCs w:val="24"/>
          <w:lang w:val="en-GB"/>
          <w14:ligatures w14:val="standardContextual"/>
        </w:rPr>
      </w:pPr>
      <w:r w:rsidRPr="000822B7">
        <w:rPr>
          <w:rFonts w:ascii="Times New Roman" w:eastAsia="Calibri" w:hAnsi="Times New Roman" w:cs="Times New Roman"/>
          <w:kern w:val="2"/>
          <w:sz w:val="24"/>
          <w:szCs w:val="24"/>
          <w:lang w:val="en-GB"/>
          <w14:ligatures w14:val="standardContextual"/>
        </w:rPr>
        <w:t>Balasubramanian, S. A., &amp; Thirumaran, P. (2025). Understanding enablers and inhibitors of digital rupee: a dual-factor theory perspective. Digital Policy, Regulation and Governance, 27(5), 507-522.</w:t>
      </w:r>
    </w:p>
    <w:p w14:paraId="7B55819D" w14:textId="77777777" w:rsidR="00EC37B4" w:rsidRPr="000822B7" w:rsidRDefault="00EC37B4" w:rsidP="00EC37B4">
      <w:pPr>
        <w:widowControl w:val="0"/>
        <w:autoSpaceDE w:val="0"/>
        <w:autoSpaceDN w:val="0"/>
        <w:adjustRightInd w:val="0"/>
        <w:spacing w:after="0" w:line="240" w:lineRule="auto"/>
        <w:ind w:left="480" w:hanging="480"/>
        <w:rPr>
          <w:rFonts w:ascii="Times New Roman" w:eastAsia="Calibri" w:hAnsi="Times New Roman" w:cs="Times New Roman"/>
          <w:kern w:val="2"/>
          <w:sz w:val="24"/>
          <w:szCs w:val="24"/>
          <w:lang w:val="en-GB"/>
          <w14:ligatures w14:val="standardContextual"/>
        </w:rPr>
      </w:pPr>
      <w:proofErr w:type="spellStart"/>
      <w:r w:rsidRPr="000822B7">
        <w:rPr>
          <w:rFonts w:ascii="Times New Roman" w:eastAsia="Calibri" w:hAnsi="Times New Roman" w:cs="Times New Roman"/>
          <w:kern w:val="2"/>
          <w:sz w:val="24"/>
          <w:szCs w:val="24"/>
          <w:lang w:val="en-GB"/>
          <w14:ligatures w14:val="standardContextual"/>
        </w:rPr>
        <w:t>Elsotouhy</w:t>
      </w:r>
      <w:proofErr w:type="spellEnd"/>
      <w:r w:rsidRPr="000822B7">
        <w:rPr>
          <w:rFonts w:ascii="Times New Roman" w:eastAsia="Calibri" w:hAnsi="Times New Roman" w:cs="Times New Roman"/>
          <w:kern w:val="2"/>
          <w:sz w:val="24"/>
          <w:szCs w:val="24"/>
          <w:lang w:val="en-GB"/>
          <w14:ligatures w14:val="standardContextual"/>
        </w:rPr>
        <w:t xml:space="preserve"> MM, </w:t>
      </w:r>
      <w:proofErr w:type="spellStart"/>
      <w:r w:rsidRPr="000822B7">
        <w:rPr>
          <w:rFonts w:ascii="Times New Roman" w:eastAsia="Calibri" w:hAnsi="Times New Roman" w:cs="Times New Roman"/>
          <w:kern w:val="2"/>
          <w:sz w:val="24"/>
          <w:szCs w:val="24"/>
          <w:lang w:val="en-GB"/>
          <w14:ligatures w14:val="standardContextual"/>
        </w:rPr>
        <w:t>Mobarak</w:t>
      </w:r>
      <w:proofErr w:type="spellEnd"/>
      <w:r w:rsidRPr="000822B7">
        <w:rPr>
          <w:rFonts w:ascii="Times New Roman" w:eastAsia="Calibri" w:hAnsi="Times New Roman" w:cs="Times New Roman"/>
          <w:kern w:val="2"/>
          <w:sz w:val="24"/>
          <w:szCs w:val="24"/>
          <w:lang w:val="en-GB"/>
          <w14:ligatures w14:val="standardContextual"/>
        </w:rPr>
        <w:t xml:space="preserve"> AMA, </w:t>
      </w:r>
      <w:proofErr w:type="spellStart"/>
      <w:r w:rsidRPr="000822B7">
        <w:rPr>
          <w:rFonts w:ascii="Times New Roman" w:eastAsia="Calibri" w:hAnsi="Times New Roman" w:cs="Times New Roman"/>
          <w:kern w:val="2"/>
          <w:sz w:val="24"/>
          <w:szCs w:val="24"/>
          <w:lang w:val="en-GB"/>
          <w14:ligatures w14:val="standardContextual"/>
        </w:rPr>
        <w:t>Dakrory</w:t>
      </w:r>
      <w:proofErr w:type="spellEnd"/>
      <w:r w:rsidRPr="000822B7">
        <w:rPr>
          <w:rFonts w:ascii="Times New Roman" w:eastAsia="Calibri" w:hAnsi="Times New Roman" w:cs="Times New Roman"/>
          <w:kern w:val="2"/>
          <w:sz w:val="24"/>
          <w:szCs w:val="24"/>
          <w:lang w:val="en-GB"/>
          <w14:ligatures w14:val="standardContextual"/>
        </w:rPr>
        <w:t xml:space="preserve"> MI, </w:t>
      </w:r>
      <w:proofErr w:type="spellStart"/>
      <w:r w:rsidRPr="000822B7">
        <w:rPr>
          <w:rFonts w:ascii="Times New Roman" w:eastAsia="Calibri" w:hAnsi="Times New Roman" w:cs="Times New Roman"/>
          <w:kern w:val="2"/>
          <w:sz w:val="24"/>
          <w:szCs w:val="24"/>
          <w:lang w:val="en-GB"/>
          <w14:ligatures w14:val="standardContextual"/>
        </w:rPr>
        <w:t>Ghonim</w:t>
      </w:r>
      <w:proofErr w:type="spellEnd"/>
      <w:r w:rsidRPr="000822B7">
        <w:rPr>
          <w:rFonts w:ascii="Times New Roman" w:eastAsia="Calibri" w:hAnsi="Times New Roman" w:cs="Times New Roman"/>
          <w:kern w:val="2"/>
          <w:sz w:val="24"/>
          <w:szCs w:val="24"/>
          <w:lang w:val="en-GB"/>
          <w14:ligatures w14:val="standardContextual"/>
        </w:rPr>
        <w:t xml:space="preserve"> MA, Khashan MA (2023), "Integrating ISS and SOR models to investigate the determinants of continuance </w:t>
      </w:r>
      <w:r w:rsidRPr="000822B7">
        <w:rPr>
          <w:rFonts w:ascii="Times New Roman" w:eastAsia="Calibri" w:hAnsi="Times New Roman" w:cs="Times New Roman"/>
          <w:kern w:val="2"/>
          <w:sz w:val="24"/>
          <w:szCs w:val="24"/>
          <w:lang w:val="en-GB"/>
          <w14:ligatures w14:val="standardContextual"/>
        </w:rPr>
        <w:lastRenderedPageBreak/>
        <w:t>intention toward using m-payment for donations (Sadaqah): the moderating role of Islamic religiosity". International Journal of Bank Marketing, Vol. 41 No. 7 pp. 1640–1670</w:t>
      </w:r>
    </w:p>
    <w:p w14:paraId="11E3DA8D" w14:textId="77777777" w:rsidR="00A52609" w:rsidRPr="000822B7" w:rsidRDefault="00A52609" w:rsidP="00A52609">
      <w:pPr>
        <w:widowControl w:val="0"/>
        <w:autoSpaceDE w:val="0"/>
        <w:autoSpaceDN w:val="0"/>
        <w:adjustRightInd w:val="0"/>
        <w:spacing w:after="0" w:line="240" w:lineRule="auto"/>
        <w:ind w:left="480" w:hanging="480"/>
        <w:rPr>
          <w:rFonts w:ascii="Times New Roman" w:eastAsia="Calibri" w:hAnsi="Times New Roman" w:cs="Times New Roman"/>
          <w:kern w:val="2"/>
          <w:sz w:val="24"/>
          <w:szCs w:val="24"/>
          <w:lang w:val="en-GB"/>
          <w14:ligatures w14:val="standardContextual"/>
        </w:rPr>
      </w:pPr>
      <w:r w:rsidRPr="000822B7">
        <w:rPr>
          <w:rFonts w:ascii="Times New Roman" w:eastAsia="Calibri" w:hAnsi="Times New Roman" w:cs="Times New Roman"/>
          <w:kern w:val="2"/>
          <w:sz w:val="24"/>
          <w:szCs w:val="24"/>
          <w:lang w:val="en-GB"/>
          <w14:ligatures w14:val="standardContextual"/>
        </w:rPr>
        <w:t>Joshi H, Chawla D (2024), "Impact of security on wallet adoption: multiple and serial mediating roles of trust and attitude and gender as a moderator". International Journal of Bank Marketing, Vol. 42 No. 5 pp. 870–896</w:t>
      </w:r>
    </w:p>
    <w:p w14:paraId="16AABE29" w14:textId="77777777" w:rsidR="00FA682B" w:rsidRPr="000822B7" w:rsidRDefault="00FA682B" w:rsidP="00FA682B">
      <w:pPr>
        <w:widowControl w:val="0"/>
        <w:autoSpaceDE w:val="0"/>
        <w:autoSpaceDN w:val="0"/>
        <w:adjustRightInd w:val="0"/>
        <w:spacing w:after="0" w:line="240" w:lineRule="auto"/>
        <w:ind w:left="480" w:hanging="480"/>
        <w:rPr>
          <w:rFonts w:ascii="Times New Roman" w:eastAsia="Calibri" w:hAnsi="Times New Roman" w:cs="Times New Roman"/>
          <w:kern w:val="2"/>
          <w:sz w:val="24"/>
          <w:szCs w:val="24"/>
          <w:lang w:val="en-GB"/>
          <w14:ligatures w14:val="standardContextual"/>
        </w:rPr>
      </w:pPr>
      <w:r w:rsidRPr="000822B7">
        <w:rPr>
          <w:rFonts w:ascii="Times New Roman" w:eastAsia="Calibri" w:hAnsi="Times New Roman" w:cs="Times New Roman"/>
          <w:kern w:val="2"/>
          <w:sz w:val="24"/>
          <w:szCs w:val="24"/>
          <w:lang w:val="en-GB"/>
          <w14:ligatures w14:val="standardContextual"/>
        </w:rPr>
        <w:t>Kumar, A., &amp; Shankar, A. (2024). Will metaverse revolutionize retail banking? Understanding user acceptance towards metaverse banking. International Journal of Retail &amp; Distribution Management, 52(6), 629-646</w:t>
      </w:r>
    </w:p>
    <w:p w14:paraId="59B4B00B" w14:textId="77777777" w:rsidR="00FA682B" w:rsidRPr="000822B7" w:rsidRDefault="00FA682B" w:rsidP="00FA682B">
      <w:pPr>
        <w:widowControl w:val="0"/>
        <w:autoSpaceDE w:val="0"/>
        <w:autoSpaceDN w:val="0"/>
        <w:adjustRightInd w:val="0"/>
        <w:spacing w:after="0" w:line="240" w:lineRule="auto"/>
        <w:ind w:left="480" w:hanging="480"/>
        <w:rPr>
          <w:rFonts w:ascii="Times New Roman" w:eastAsia="Calibri" w:hAnsi="Times New Roman" w:cs="Times New Roman"/>
          <w:kern w:val="2"/>
          <w:sz w:val="24"/>
          <w:szCs w:val="24"/>
          <w:lang w:val="en-GB"/>
          <w14:ligatures w14:val="standardContextual"/>
        </w:rPr>
      </w:pPr>
      <w:r w:rsidRPr="000822B7">
        <w:rPr>
          <w:rFonts w:ascii="Times New Roman" w:eastAsia="Calibri" w:hAnsi="Times New Roman" w:cs="Times New Roman"/>
          <w:kern w:val="2"/>
          <w:sz w:val="24"/>
          <w:szCs w:val="24"/>
          <w:lang w:val="en-GB"/>
          <w14:ligatures w14:val="standardContextual"/>
        </w:rPr>
        <w:t>Kumar J, Rani V (2024;), "Investigating the dynamics of FinTech adoption: an empirical study from the perspective of mobile banking". Journal of Economic and Administrative Sciences https://doi.org/10.1108/JEAS-12-2023-0334</w:t>
      </w:r>
    </w:p>
    <w:p w14:paraId="03D284F8" w14:textId="77777777" w:rsidR="00FA682B" w:rsidRPr="000822B7" w:rsidRDefault="00FA682B" w:rsidP="00FA682B">
      <w:pPr>
        <w:widowControl w:val="0"/>
        <w:autoSpaceDE w:val="0"/>
        <w:autoSpaceDN w:val="0"/>
        <w:adjustRightInd w:val="0"/>
        <w:spacing w:after="0" w:line="240" w:lineRule="auto"/>
        <w:ind w:left="480" w:hanging="480"/>
        <w:rPr>
          <w:rFonts w:ascii="Times New Roman" w:eastAsia="Calibri" w:hAnsi="Times New Roman" w:cs="Times New Roman"/>
          <w:kern w:val="2"/>
          <w:sz w:val="24"/>
          <w:szCs w:val="24"/>
          <w:lang w:val="en-GB"/>
          <w14:ligatures w14:val="standardContextual"/>
        </w:rPr>
      </w:pPr>
      <w:r w:rsidRPr="000822B7">
        <w:rPr>
          <w:rFonts w:ascii="Times New Roman" w:eastAsia="Calibri" w:hAnsi="Times New Roman" w:cs="Times New Roman"/>
          <w:kern w:val="2"/>
          <w:sz w:val="24"/>
          <w:szCs w:val="24"/>
          <w:lang w:val="en-GB"/>
          <w14:ligatures w14:val="standardContextual"/>
        </w:rPr>
        <w:t>Lee J, Chen X (2022), "Exploring users' adoption intentions in the evolution of artificial intelligence mobile banking applications: the intelligent and anthropomorphic perspectives". International Journal of Bank Marketing, Vol. 40 No. 4 pp. 631–658</w:t>
      </w:r>
    </w:p>
    <w:p w14:paraId="1EF1587D" w14:textId="77777777" w:rsidR="001E5222" w:rsidRPr="000822B7" w:rsidRDefault="001E5222" w:rsidP="001E5222">
      <w:pPr>
        <w:widowControl w:val="0"/>
        <w:autoSpaceDE w:val="0"/>
        <w:autoSpaceDN w:val="0"/>
        <w:adjustRightInd w:val="0"/>
        <w:spacing w:after="0" w:line="240" w:lineRule="auto"/>
        <w:ind w:left="480" w:hanging="480"/>
        <w:rPr>
          <w:rFonts w:ascii="Times New Roman" w:eastAsia="Calibri" w:hAnsi="Times New Roman" w:cs="Times New Roman"/>
          <w:kern w:val="2"/>
          <w:sz w:val="24"/>
          <w:szCs w:val="24"/>
          <w:lang w:val="en-GB"/>
          <w14:ligatures w14:val="standardContextual"/>
        </w:rPr>
      </w:pPr>
      <w:r w:rsidRPr="000822B7">
        <w:rPr>
          <w:rFonts w:ascii="Times New Roman" w:eastAsia="Calibri" w:hAnsi="Times New Roman" w:cs="Times New Roman"/>
          <w:kern w:val="2"/>
          <w:sz w:val="24"/>
          <w:szCs w:val="24"/>
          <w:lang w:val="en-GB"/>
          <w14:ligatures w14:val="standardContextual"/>
        </w:rPr>
        <w:t>Pham, T. T. H., Le, T. L., Dinh, T. H., &amp; Pham, T. T. H. (2024). FinTech knowledge as drivers of higher education students’ FinTech entrepreneurial intentions: Insights from stimulus-organism-response theory. The International Journal of Management Education, 22(3), 101027.</w:t>
      </w:r>
    </w:p>
    <w:p w14:paraId="53C0E9CD" w14:textId="77777777" w:rsidR="00517EB3" w:rsidRPr="000822B7" w:rsidRDefault="00517EB3" w:rsidP="00517EB3">
      <w:pPr>
        <w:widowControl w:val="0"/>
        <w:autoSpaceDE w:val="0"/>
        <w:autoSpaceDN w:val="0"/>
        <w:adjustRightInd w:val="0"/>
        <w:spacing w:after="0" w:line="240" w:lineRule="auto"/>
        <w:ind w:left="480" w:hanging="480"/>
        <w:rPr>
          <w:rFonts w:ascii="Times New Roman" w:eastAsia="Calibri" w:hAnsi="Times New Roman" w:cs="Times New Roman"/>
          <w:kern w:val="2"/>
          <w:sz w:val="24"/>
          <w:szCs w:val="24"/>
          <w:lang w:val="en-GB"/>
          <w14:ligatures w14:val="standardContextual"/>
        </w:rPr>
      </w:pPr>
      <w:proofErr w:type="spellStart"/>
      <w:r w:rsidRPr="000822B7">
        <w:rPr>
          <w:rFonts w:ascii="Times New Roman" w:eastAsia="Calibri" w:hAnsi="Times New Roman" w:cs="Times New Roman"/>
          <w:kern w:val="2"/>
          <w:sz w:val="24"/>
          <w:szCs w:val="24"/>
          <w:lang w:val="en-GB"/>
          <w14:ligatures w14:val="standardContextual"/>
        </w:rPr>
        <w:t>Irimia-Diéguez</w:t>
      </w:r>
      <w:proofErr w:type="spellEnd"/>
      <w:r w:rsidRPr="000822B7">
        <w:rPr>
          <w:rFonts w:ascii="Times New Roman" w:eastAsia="Calibri" w:hAnsi="Times New Roman" w:cs="Times New Roman"/>
          <w:kern w:val="2"/>
          <w:sz w:val="24"/>
          <w:szCs w:val="24"/>
          <w:lang w:val="en-GB"/>
          <w14:ligatures w14:val="standardContextual"/>
        </w:rPr>
        <w:t xml:space="preserve"> A, </w:t>
      </w:r>
      <w:proofErr w:type="spellStart"/>
      <w:r w:rsidRPr="000822B7">
        <w:rPr>
          <w:rFonts w:ascii="Times New Roman" w:eastAsia="Calibri" w:hAnsi="Times New Roman" w:cs="Times New Roman"/>
          <w:kern w:val="2"/>
          <w:sz w:val="24"/>
          <w:szCs w:val="24"/>
          <w:lang w:val="en-GB"/>
          <w14:ligatures w14:val="standardContextual"/>
        </w:rPr>
        <w:t>Liébana-Cabanillas</w:t>
      </w:r>
      <w:proofErr w:type="spellEnd"/>
      <w:r w:rsidRPr="000822B7">
        <w:rPr>
          <w:rFonts w:ascii="Times New Roman" w:eastAsia="Calibri" w:hAnsi="Times New Roman" w:cs="Times New Roman"/>
          <w:kern w:val="2"/>
          <w:sz w:val="24"/>
          <w:szCs w:val="24"/>
          <w:lang w:val="en-GB"/>
          <w14:ligatures w14:val="standardContextual"/>
        </w:rPr>
        <w:t xml:space="preserve"> F, Blanco-Oliver A, Lara-Rubio J (2025), "What drives consumers to use P2P payment systems? An analytical approach based on the stimulus–organism–response (S-O-R) model". European Journal of Management and Business Economics, Vol. 34 No. 2 pp. 149–173</w:t>
      </w:r>
    </w:p>
    <w:p w14:paraId="14A60572" w14:textId="77777777" w:rsidR="001F7117" w:rsidRPr="000822B7" w:rsidRDefault="001F7117" w:rsidP="001F7117">
      <w:pPr>
        <w:widowControl w:val="0"/>
        <w:autoSpaceDE w:val="0"/>
        <w:autoSpaceDN w:val="0"/>
        <w:adjustRightInd w:val="0"/>
        <w:spacing w:after="0" w:line="240" w:lineRule="auto"/>
        <w:ind w:left="480" w:hanging="480"/>
        <w:rPr>
          <w:rFonts w:ascii="Times New Roman" w:eastAsia="Calibri" w:hAnsi="Times New Roman" w:cs="Times New Roman"/>
          <w:kern w:val="2"/>
          <w:sz w:val="24"/>
          <w:szCs w:val="24"/>
          <w:lang w:val="en-GB"/>
          <w14:ligatures w14:val="standardContextual"/>
        </w:rPr>
      </w:pPr>
      <w:r w:rsidRPr="000822B7">
        <w:rPr>
          <w:rFonts w:ascii="Times New Roman" w:eastAsia="Calibri" w:hAnsi="Times New Roman" w:cs="Times New Roman"/>
          <w:kern w:val="2"/>
          <w:sz w:val="24"/>
          <w:szCs w:val="24"/>
          <w:lang w:val="en-GB"/>
          <w14:ligatures w14:val="standardContextual"/>
        </w:rPr>
        <w:t xml:space="preserve">Singh, S., &amp; </w:t>
      </w:r>
      <w:proofErr w:type="spellStart"/>
      <w:r w:rsidRPr="000822B7">
        <w:rPr>
          <w:rFonts w:ascii="Times New Roman" w:eastAsia="Calibri" w:hAnsi="Times New Roman" w:cs="Times New Roman"/>
          <w:kern w:val="2"/>
          <w:sz w:val="24"/>
          <w:szCs w:val="24"/>
          <w:lang w:val="en-GB"/>
          <w14:ligatures w14:val="standardContextual"/>
        </w:rPr>
        <w:t>Karamcheti</w:t>
      </w:r>
      <w:proofErr w:type="spellEnd"/>
      <w:r w:rsidRPr="000822B7">
        <w:rPr>
          <w:rFonts w:ascii="Times New Roman" w:eastAsia="Calibri" w:hAnsi="Times New Roman" w:cs="Times New Roman"/>
          <w:kern w:val="2"/>
          <w:sz w:val="24"/>
          <w:szCs w:val="24"/>
          <w:lang w:val="en-GB"/>
          <w14:ligatures w14:val="standardContextual"/>
        </w:rPr>
        <w:t>, B. (2025). Robo-advisor enablers and inhibitors: A dual-factor framework and a benefit-risk model integration for understanding customer acceptance. Sustainable Futures, 9, 100570.</w:t>
      </w:r>
    </w:p>
    <w:p w14:paraId="1766D996" w14:textId="77777777" w:rsidR="001F5757" w:rsidRPr="000822B7" w:rsidRDefault="001F5757" w:rsidP="001F5757">
      <w:pPr>
        <w:widowControl w:val="0"/>
        <w:autoSpaceDE w:val="0"/>
        <w:autoSpaceDN w:val="0"/>
        <w:adjustRightInd w:val="0"/>
        <w:spacing w:after="0" w:line="240" w:lineRule="auto"/>
        <w:ind w:left="480" w:hanging="480"/>
        <w:rPr>
          <w:rFonts w:ascii="Times New Roman" w:eastAsia="Calibri" w:hAnsi="Times New Roman" w:cs="Times New Roman"/>
          <w:kern w:val="2"/>
          <w:sz w:val="24"/>
          <w:szCs w:val="24"/>
          <w:lang w:val="en-GB"/>
          <w14:ligatures w14:val="standardContextual"/>
        </w:rPr>
      </w:pPr>
      <w:r w:rsidRPr="000822B7">
        <w:rPr>
          <w:rFonts w:ascii="Times New Roman" w:eastAsia="Calibri" w:hAnsi="Times New Roman" w:cs="Times New Roman"/>
          <w:kern w:val="2"/>
          <w:sz w:val="24"/>
          <w:szCs w:val="24"/>
          <w:lang w:val="en-GB"/>
          <w14:ligatures w14:val="standardContextual"/>
        </w:rPr>
        <w:t>Talwar, M., Talwar, S., Kaur, P., Islam, A. N., &amp; Dhir, A. (2021). Positive and negative word of mouth (WOM) are not necessarily opposites: A reappraisal using the dual factor theory. Journal of Retailing and Consumer Services, 63, 102396.</w:t>
      </w:r>
    </w:p>
    <w:p w14:paraId="6E68432C" w14:textId="77777777" w:rsidR="005A7314" w:rsidRPr="00EC3F00" w:rsidRDefault="005A7314">
      <w:pPr>
        <w:rPr>
          <w:lang w:val="en-GB"/>
        </w:rPr>
      </w:pPr>
    </w:p>
    <w:sectPr w:rsidR="005A7314" w:rsidRPr="00EC3F0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E31"/>
    <w:rsid w:val="00047BD4"/>
    <w:rsid w:val="000822B7"/>
    <w:rsid w:val="00135AFB"/>
    <w:rsid w:val="001A7B6B"/>
    <w:rsid w:val="001E5222"/>
    <w:rsid w:val="001F5757"/>
    <w:rsid w:val="001F7117"/>
    <w:rsid w:val="00210017"/>
    <w:rsid w:val="00244B74"/>
    <w:rsid w:val="002D1890"/>
    <w:rsid w:val="003B6E31"/>
    <w:rsid w:val="003C0CED"/>
    <w:rsid w:val="0043512D"/>
    <w:rsid w:val="004846CA"/>
    <w:rsid w:val="00491A1A"/>
    <w:rsid w:val="004B0E9E"/>
    <w:rsid w:val="00517EB3"/>
    <w:rsid w:val="005A7314"/>
    <w:rsid w:val="005C0983"/>
    <w:rsid w:val="00641F07"/>
    <w:rsid w:val="006936C0"/>
    <w:rsid w:val="0075567A"/>
    <w:rsid w:val="007E7C59"/>
    <w:rsid w:val="008B739C"/>
    <w:rsid w:val="00923EF1"/>
    <w:rsid w:val="0093427A"/>
    <w:rsid w:val="00A52609"/>
    <w:rsid w:val="00B10393"/>
    <w:rsid w:val="00B12D78"/>
    <w:rsid w:val="00BA578A"/>
    <w:rsid w:val="00BC62D4"/>
    <w:rsid w:val="00BF65B5"/>
    <w:rsid w:val="00C11FE1"/>
    <w:rsid w:val="00C51105"/>
    <w:rsid w:val="00C67C8B"/>
    <w:rsid w:val="00CD2500"/>
    <w:rsid w:val="00CE0EA0"/>
    <w:rsid w:val="00CE6ECE"/>
    <w:rsid w:val="00D37671"/>
    <w:rsid w:val="00D40793"/>
    <w:rsid w:val="00D66BDF"/>
    <w:rsid w:val="00D70B6D"/>
    <w:rsid w:val="00E743ED"/>
    <w:rsid w:val="00EA26F0"/>
    <w:rsid w:val="00EB1201"/>
    <w:rsid w:val="00EC37B4"/>
    <w:rsid w:val="00EC3F00"/>
    <w:rsid w:val="00FA682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0D412"/>
  <w15:chartTrackingRefBased/>
  <w15:docId w15:val="{FD29B065-7714-44FD-9F0D-32BCDB17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314"/>
    <w:rPr>
      <w:kern w:val="0"/>
      <w:lang w:val="en-US"/>
      <w14:ligatures w14:val="none"/>
    </w:rPr>
  </w:style>
  <w:style w:type="paragraph" w:styleId="Heading1">
    <w:name w:val="heading 1"/>
    <w:basedOn w:val="Normal"/>
    <w:next w:val="Normal"/>
    <w:link w:val="Heading1Char"/>
    <w:uiPriority w:val="9"/>
    <w:qFormat/>
    <w:rsid w:val="003B6E31"/>
    <w:pPr>
      <w:keepNext/>
      <w:keepLines/>
      <w:spacing w:before="360" w:after="80"/>
      <w:outlineLvl w:val="0"/>
    </w:pPr>
    <w:rPr>
      <w:rFonts w:asciiTheme="majorHAnsi" w:eastAsiaTheme="majorEastAsia" w:hAnsiTheme="majorHAnsi" w:cstheme="majorBidi"/>
      <w:color w:val="2F5496" w:themeColor="accent1" w:themeShade="BF"/>
      <w:kern w:val="2"/>
      <w:sz w:val="40"/>
      <w:szCs w:val="40"/>
      <w:lang w:val="pt-PT"/>
      <w14:ligatures w14:val="standardContextual"/>
    </w:rPr>
  </w:style>
  <w:style w:type="paragraph" w:styleId="Heading2">
    <w:name w:val="heading 2"/>
    <w:basedOn w:val="Normal"/>
    <w:next w:val="Normal"/>
    <w:link w:val="Heading2Char"/>
    <w:uiPriority w:val="9"/>
    <w:semiHidden/>
    <w:unhideWhenUsed/>
    <w:qFormat/>
    <w:rsid w:val="003B6E31"/>
    <w:pPr>
      <w:keepNext/>
      <w:keepLines/>
      <w:spacing w:before="160" w:after="80"/>
      <w:outlineLvl w:val="1"/>
    </w:pPr>
    <w:rPr>
      <w:rFonts w:asciiTheme="majorHAnsi" w:eastAsiaTheme="majorEastAsia" w:hAnsiTheme="majorHAnsi" w:cstheme="majorBidi"/>
      <w:color w:val="2F5496" w:themeColor="accent1" w:themeShade="BF"/>
      <w:kern w:val="2"/>
      <w:sz w:val="32"/>
      <w:szCs w:val="32"/>
      <w:lang w:val="pt-PT"/>
      <w14:ligatures w14:val="standardContextual"/>
    </w:rPr>
  </w:style>
  <w:style w:type="paragraph" w:styleId="Heading3">
    <w:name w:val="heading 3"/>
    <w:basedOn w:val="Normal"/>
    <w:next w:val="Normal"/>
    <w:link w:val="Heading3Char"/>
    <w:uiPriority w:val="9"/>
    <w:semiHidden/>
    <w:unhideWhenUsed/>
    <w:qFormat/>
    <w:rsid w:val="003B6E31"/>
    <w:pPr>
      <w:keepNext/>
      <w:keepLines/>
      <w:spacing w:before="160" w:after="80"/>
      <w:outlineLvl w:val="2"/>
    </w:pPr>
    <w:rPr>
      <w:rFonts w:eastAsiaTheme="majorEastAsia" w:cstheme="majorBidi"/>
      <w:color w:val="2F5496" w:themeColor="accent1" w:themeShade="BF"/>
      <w:kern w:val="2"/>
      <w:sz w:val="28"/>
      <w:szCs w:val="28"/>
      <w:lang w:val="pt-PT"/>
      <w14:ligatures w14:val="standardContextual"/>
    </w:rPr>
  </w:style>
  <w:style w:type="paragraph" w:styleId="Heading4">
    <w:name w:val="heading 4"/>
    <w:basedOn w:val="Normal"/>
    <w:next w:val="Normal"/>
    <w:link w:val="Heading4Char"/>
    <w:uiPriority w:val="9"/>
    <w:semiHidden/>
    <w:unhideWhenUsed/>
    <w:qFormat/>
    <w:rsid w:val="003B6E31"/>
    <w:pPr>
      <w:keepNext/>
      <w:keepLines/>
      <w:spacing w:before="80" w:after="40"/>
      <w:outlineLvl w:val="3"/>
    </w:pPr>
    <w:rPr>
      <w:rFonts w:eastAsiaTheme="majorEastAsia" w:cstheme="majorBidi"/>
      <w:i/>
      <w:iCs/>
      <w:color w:val="2F5496" w:themeColor="accent1" w:themeShade="BF"/>
      <w:kern w:val="2"/>
      <w:lang w:val="pt-PT"/>
      <w14:ligatures w14:val="standardContextual"/>
    </w:rPr>
  </w:style>
  <w:style w:type="paragraph" w:styleId="Heading5">
    <w:name w:val="heading 5"/>
    <w:basedOn w:val="Normal"/>
    <w:next w:val="Normal"/>
    <w:link w:val="Heading5Char"/>
    <w:uiPriority w:val="9"/>
    <w:semiHidden/>
    <w:unhideWhenUsed/>
    <w:qFormat/>
    <w:rsid w:val="003B6E31"/>
    <w:pPr>
      <w:keepNext/>
      <w:keepLines/>
      <w:spacing w:before="80" w:after="40"/>
      <w:outlineLvl w:val="4"/>
    </w:pPr>
    <w:rPr>
      <w:rFonts w:eastAsiaTheme="majorEastAsia" w:cstheme="majorBidi"/>
      <w:color w:val="2F5496" w:themeColor="accent1" w:themeShade="BF"/>
      <w:kern w:val="2"/>
      <w:lang w:val="pt-PT"/>
      <w14:ligatures w14:val="standardContextual"/>
    </w:rPr>
  </w:style>
  <w:style w:type="paragraph" w:styleId="Heading6">
    <w:name w:val="heading 6"/>
    <w:basedOn w:val="Normal"/>
    <w:next w:val="Normal"/>
    <w:link w:val="Heading6Char"/>
    <w:uiPriority w:val="9"/>
    <w:semiHidden/>
    <w:unhideWhenUsed/>
    <w:qFormat/>
    <w:rsid w:val="003B6E31"/>
    <w:pPr>
      <w:keepNext/>
      <w:keepLines/>
      <w:spacing w:before="40" w:after="0"/>
      <w:outlineLvl w:val="5"/>
    </w:pPr>
    <w:rPr>
      <w:rFonts w:eastAsiaTheme="majorEastAsia" w:cstheme="majorBidi"/>
      <w:i/>
      <w:iCs/>
      <w:color w:val="595959" w:themeColor="text1" w:themeTint="A6"/>
      <w:kern w:val="2"/>
      <w:lang w:val="pt-PT"/>
      <w14:ligatures w14:val="standardContextual"/>
    </w:rPr>
  </w:style>
  <w:style w:type="paragraph" w:styleId="Heading7">
    <w:name w:val="heading 7"/>
    <w:basedOn w:val="Normal"/>
    <w:next w:val="Normal"/>
    <w:link w:val="Heading7Char"/>
    <w:uiPriority w:val="9"/>
    <w:semiHidden/>
    <w:unhideWhenUsed/>
    <w:qFormat/>
    <w:rsid w:val="003B6E31"/>
    <w:pPr>
      <w:keepNext/>
      <w:keepLines/>
      <w:spacing w:before="40" w:after="0"/>
      <w:outlineLvl w:val="6"/>
    </w:pPr>
    <w:rPr>
      <w:rFonts w:eastAsiaTheme="majorEastAsia" w:cstheme="majorBidi"/>
      <w:color w:val="595959" w:themeColor="text1" w:themeTint="A6"/>
      <w:kern w:val="2"/>
      <w:lang w:val="pt-PT"/>
      <w14:ligatures w14:val="standardContextual"/>
    </w:rPr>
  </w:style>
  <w:style w:type="paragraph" w:styleId="Heading8">
    <w:name w:val="heading 8"/>
    <w:basedOn w:val="Normal"/>
    <w:next w:val="Normal"/>
    <w:link w:val="Heading8Char"/>
    <w:uiPriority w:val="9"/>
    <w:semiHidden/>
    <w:unhideWhenUsed/>
    <w:qFormat/>
    <w:rsid w:val="003B6E31"/>
    <w:pPr>
      <w:keepNext/>
      <w:keepLines/>
      <w:spacing w:after="0"/>
      <w:outlineLvl w:val="7"/>
    </w:pPr>
    <w:rPr>
      <w:rFonts w:eastAsiaTheme="majorEastAsia" w:cstheme="majorBidi"/>
      <w:i/>
      <w:iCs/>
      <w:color w:val="272727" w:themeColor="text1" w:themeTint="D8"/>
      <w:kern w:val="2"/>
      <w:lang w:val="pt-PT"/>
      <w14:ligatures w14:val="standardContextual"/>
    </w:rPr>
  </w:style>
  <w:style w:type="paragraph" w:styleId="Heading9">
    <w:name w:val="heading 9"/>
    <w:basedOn w:val="Normal"/>
    <w:next w:val="Normal"/>
    <w:link w:val="Heading9Char"/>
    <w:uiPriority w:val="9"/>
    <w:semiHidden/>
    <w:unhideWhenUsed/>
    <w:qFormat/>
    <w:rsid w:val="003B6E31"/>
    <w:pPr>
      <w:keepNext/>
      <w:keepLines/>
      <w:spacing w:after="0"/>
      <w:outlineLvl w:val="8"/>
    </w:pPr>
    <w:rPr>
      <w:rFonts w:eastAsiaTheme="majorEastAsia" w:cstheme="majorBidi"/>
      <w:color w:val="272727" w:themeColor="text1" w:themeTint="D8"/>
      <w:kern w:val="2"/>
      <w:lang w:val="pt-PT"/>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E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B6E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6E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B6E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B6E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B6E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6E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6E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6E31"/>
    <w:rPr>
      <w:rFonts w:eastAsiaTheme="majorEastAsia" w:cstheme="majorBidi"/>
      <w:color w:val="272727" w:themeColor="text1" w:themeTint="D8"/>
    </w:rPr>
  </w:style>
  <w:style w:type="paragraph" w:styleId="Title">
    <w:name w:val="Title"/>
    <w:basedOn w:val="Normal"/>
    <w:next w:val="Normal"/>
    <w:link w:val="TitleChar"/>
    <w:uiPriority w:val="10"/>
    <w:qFormat/>
    <w:rsid w:val="003B6E31"/>
    <w:pPr>
      <w:spacing w:after="80" w:line="240" w:lineRule="auto"/>
      <w:contextualSpacing/>
    </w:pPr>
    <w:rPr>
      <w:rFonts w:asciiTheme="majorHAnsi" w:eastAsiaTheme="majorEastAsia" w:hAnsiTheme="majorHAnsi" w:cstheme="majorBidi"/>
      <w:spacing w:val="-10"/>
      <w:kern w:val="28"/>
      <w:sz w:val="56"/>
      <w:szCs w:val="56"/>
      <w:lang w:val="pt-PT"/>
      <w14:ligatures w14:val="standardContextual"/>
    </w:rPr>
  </w:style>
  <w:style w:type="character" w:customStyle="1" w:styleId="TitleChar">
    <w:name w:val="Title Char"/>
    <w:basedOn w:val="DefaultParagraphFont"/>
    <w:link w:val="Title"/>
    <w:uiPriority w:val="10"/>
    <w:rsid w:val="003B6E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6E31"/>
    <w:pPr>
      <w:numPr>
        <w:ilvl w:val="1"/>
      </w:numPr>
    </w:pPr>
    <w:rPr>
      <w:rFonts w:eastAsiaTheme="majorEastAsia" w:cstheme="majorBidi"/>
      <w:color w:val="595959" w:themeColor="text1" w:themeTint="A6"/>
      <w:spacing w:val="15"/>
      <w:kern w:val="2"/>
      <w:sz w:val="28"/>
      <w:szCs w:val="28"/>
      <w:lang w:val="pt-PT"/>
      <w14:ligatures w14:val="standardContextual"/>
    </w:rPr>
  </w:style>
  <w:style w:type="character" w:customStyle="1" w:styleId="SubtitleChar">
    <w:name w:val="Subtitle Char"/>
    <w:basedOn w:val="DefaultParagraphFont"/>
    <w:link w:val="Subtitle"/>
    <w:uiPriority w:val="11"/>
    <w:rsid w:val="003B6E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6E31"/>
    <w:pPr>
      <w:spacing w:before="160"/>
      <w:jc w:val="center"/>
    </w:pPr>
    <w:rPr>
      <w:i/>
      <w:iCs/>
      <w:color w:val="404040" w:themeColor="text1" w:themeTint="BF"/>
      <w:kern w:val="2"/>
      <w:lang w:val="pt-PT"/>
      <w14:ligatures w14:val="standardContextual"/>
    </w:rPr>
  </w:style>
  <w:style w:type="character" w:customStyle="1" w:styleId="QuoteChar">
    <w:name w:val="Quote Char"/>
    <w:basedOn w:val="DefaultParagraphFont"/>
    <w:link w:val="Quote"/>
    <w:uiPriority w:val="29"/>
    <w:rsid w:val="003B6E31"/>
    <w:rPr>
      <w:i/>
      <w:iCs/>
      <w:color w:val="404040" w:themeColor="text1" w:themeTint="BF"/>
    </w:rPr>
  </w:style>
  <w:style w:type="paragraph" w:styleId="ListParagraph">
    <w:name w:val="List Paragraph"/>
    <w:basedOn w:val="Normal"/>
    <w:uiPriority w:val="34"/>
    <w:qFormat/>
    <w:rsid w:val="003B6E31"/>
    <w:pPr>
      <w:ind w:left="720"/>
      <w:contextualSpacing/>
    </w:pPr>
    <w:rPr>
      <w:kern w:val="2"/>
      <w:lang w:val="pt-PT"/>
      <w14:ligatures w14:val="standardContextual"/>
    </w:rPr>
  </w:style>
  <w:style w:type="character" w:styleId="IntenseEmphasis">
    <w:name w:val="Intense Emphasis"/>
    <w:basedOn w:val="DefaultParagraphFont"/>
    <w:uiPriority w:val="21"/>
    <w:qFormat/>
    <w:rsid w:val="003B6E31"/>
    <w:rPr>
      <w:i/>
      <w:iCs/>
      <w:color w:val="2F5496" w:themeColor="accent1" w:themeShade="BF"/>
    </w:rPr>
  </w:style>
  <w:style w:type="paragraph" w:styleId="IntenseQuote">
    <w:name w:val="Intense Quote"/>
    <w:basedOn w:val="Normal"/>
    <w:next w:val="Normal"/>
    <w:link w:val="IntenseQuoteChar"/>
    <w:uiPriority w:val="30"/>
    <w:qFormat/>
    <w:rsid w:val="003B6E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lang w:val="pt-PT"/>
      <w14:ligatures w14:val="standardContextual"/>
    </w:rPr>
  </w:style>
  <w:style w:type="character" w:customStyle="1" w:styleId="IntenseQuoteChar">
    <w:name w:val="Intense Quote Char"/>
    <w:basedOn w:val="DefaultParagraphFont"/>
    <w:link w:val="IntenseQuote"/>
    <w:uiPriority w:val="30"/>
    <w:rsid w:val="003B6E31"/>
    <w:rPr>
      <w:i/>
      <w:iCs/>
      <w:color w:val="2F5496" w:themeColor="accent1" w:themeShade="BF"/>
    </w:rPr>
  </w:style>
  <w:style w:type="character" w:styleId="IntenseReference">
    <w:name w:val="Intense Reference"/>
    <w:basedOn w:val="DefaultParagraphFont"/>
    <w:uiPriority w:val="32"/>
    <w:qFormat/>
    <w:rsid w:val="003B6E31"/>
    <w:rPr>
      <w:b/>
      <w:bCs/>
      <w:smallCaps/>
      <w:color w:val="2F5496" w:themeColor="accent1" w:themeShade="BF"/>
      <w:spacing w:val="5"/>
    </w:rPr>
  </w:style>
  <w:style w:type="table" w:styleId="TableGrid">
    <w:name w:val="Table Grid"/>
    <w:basedOn w:val="TableNormal"/>
    <w:uiPriority w:val="59"/>
    <w:rsid w:val="004B0E9E"/>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5AFB"/>
    <w:rPr>
      <w:color w:val="0563C1" w:themeColor="hyperlink"/>
      <w:u w:val="single"/>
    </w:rPr>
  </w:style>
  <w:style w:type="character" w:customStyle="1" w:styleId="UnresolvedMention">
    <w:name w:val="Unresolved Mention"/>
    <w:basedOn w:val="DefaultParagraphFont"/>
    <w:uiPriority w:val="99"/>
    <w:semiHidden/>
    <w:unhideWhenUsed/>
    <w:rsid w:val="00135A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108/DTS-07-2024-0131"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Addae</dc:creator>
  <cp:keywords/>
  <dc:description/>
  <cp:lastModifiedBy>Rakesh Sagar</cp:lastModifiedBy>
  <cp:revision>12</cp:revision>
  <dcterms:created xsi:type="dcterms:W3CDTF">2026-03-23T10:13:00Z</dcterms:created>
  <dcterms:modified xsi:type="dcterms:W3CDTF">2026-03-25T02:41:00Z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31db137d-a479-4979-bb9a-1c9ed9f4d42e</vt:lpwstr>
  </property>
</Properties>
</file>