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3A7EE" w14:textId="0171CB25" w:rsidR="006551EC" w:rsidRDefault="006551EC" w:rsidP="003D5765">
      <w:pPr>
        <w:pStyle w:val="Caption"/>
        <w:keepNext/>
        <w:rPr>
          <w:i w:val="0"/>
          <w:iCs w:val="0"/>
          <w:color w:val="000000" w:themeColor="text1"/>
          <w:sz w:val="24"/>
          <w:szCs w:val="24"/>
        </w:rPr>
      </w:pPr>
      <w:r>
        <w:rPr>
          <w:i w:val="0"/>
          <w:iCs w:val="0"/>
          <w:color w:val="000000" w:themeColor="text1"/>
          <w:sz w:val="24"/>
          <w:szCs w:val="24"/>
        </w:rPr>
        <w:t>Supplementary material 1</w:t>
      </w:r>
      <w:bookmarkStart w:id="0" w:name="_GoBack"/>
      <w:bookmarkEnd w:id="0"/>
    </w:p>
    <w:p w14:paraId="68C036E0" w14:textId="6035280A" w:rsidR="003D5765" w:rsidRPr="008027CB" w:rsidRDefault="003D5765" w:rsidP="003D5765">
      <w:pPr>
        <w:pStyle w:val="Caption"/>
        <w:keepNext/>
        <w:rPr>
          <w:color w:val="000000" w:themeColor="text1"/>
        </w:rPr>
      </w:pPr>
      <w:r w:rsidRPr="008027CB">
        <w:rPr>
          <w:i w:val="0"/>
          <w:iCs w:val="0"/>
          <w:color w:val="000000" w:themeColor="text1"/>
          <w:sz w:val="24"/>
          <w:szCs w:val="24"/>
        </w:rPr>
        <w:t>Summary Table for Key Articles</w:t>
      </w:r>
    </w:p>
    <w:tbl>
      <w:tblPr>
        <w:tblW w:w="13887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5"/>
        <w:gridCol w:w="1843"/>
        <w:gridCol w:w="1559"/>
        <w:gridCol w:w="2127"/>
        <w:gridCol w:w="2126"/>
        <w:gridCol w:w="2268"/>
      </w:tblGrid>
      <w:tr w:rsidR="003D5765" w:rsidRPr="008027CB" w14:paraId="304BDB32" w14:textId="77777777" w:rsidTr="00FB00FE">
        <w:trPr>
          <w:trHeight w:val="600"/>
          <w:tblHeader/>
        </w:trPr>
        <w:tc>
          <w:tcPr>
            <w:tcW w:w="98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1062C36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Studies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4DACF42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Theme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94E074B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Study Area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17AACCC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Data Source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A44052D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Methodology of Analysis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E873496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Contribution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3F942E5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Major Finding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C883451" w14:textId="77777777" w:rsidR="003D5765" w:rsidRPr="00DE22DC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DE22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Enablers for MC adoption</w:t>
            </w:r>
          </w:p>
        </w:tc>
      </w:tr>
      <w:tr w:rsidR="003D5765" w:rsidRPr="008027CB" w14:paraId="27B71DBC" w14:textId="77777777" w:rsidTr="00FB00FE">
        <w:trPr>
          <w:trHeight w:val="1691"/>
        </w:trPr>
        <w:tc>
          <w:tcPr>
            <w:tcW w:w="988" w:type="dxa"/>
            <w:tcBorders>
              <w:top w:val="single" w:sz="12" w:space="0" w:color="auto"/>
            </w:tcBorders>
          </w:tcPr>
          <w:p w14:paraId="6924E9D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Tsz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Wai et al., 2021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82C1E1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MC implementation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5F8C618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Overview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7856E54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Literature, case studies, interviews, and a survey questionnaire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4E6458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Analytical hierarchy process modelling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51067B6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Helps MC stakeholders to make insightful strategic decisions.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0B7ED3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benefits and challenges of MC.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br/>
              <w:t>Prioritized the criticality of the challenges.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B141A9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Establish well-developed guidelines.</w:t>
            </w:r>
          </w:p>
          <w:p w14:paraId="3D4C005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Effective incentive schemes from the government.</w:t>
            </w:r>
          </w:p>
        </w:tc>
      </w:tr>
      <w:tr w:rsidR="003D5765" w:rsidRPr="008027CB" w14:paraId="370FB120" w14:textId="77777777" w:rsidTr="00FB00FE">
        <w:trPr>
          <w:trHeight w:val="2321"/>
        </w:trPr>
        <w:tc>
          <w:tcPr>
            <w:tcW w:w="988" w:type="dxa"/>
          </w:tcPr>
          <w:p w14:paraId="36FC6F9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Xu et al., 2020</w:t>
            </w:r>
          </w:p>
        </w:tc>
        <w:tc>
          <w:tcPr>
            <w:tcW w:w="1701" w:type="dxa"/>
          </w:tcPr>
          <w:p w14:paraId="0D51D9D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MC implementation</w:t>
            </w:r>
          </w:p>
        </w:tc>
        <w:tc>
          <w:tcPr>
            <w:tcW w:w="1275" w:type="dxa"/>
          </w:tcPr>
          <w:p w14:paraId="181EA26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Overview</w:t>
            </w:r>
          </w:p>
        </w:tc>
        <w:tc>
          <w:tcPr>
            <w:tcW w:w="1843" w:type="dxa"/>
          </w:tcPr>
          <w:p w14:paraId="6A4879E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Existing policies, specifications, and cases</w:t>
            </w:r>
          </w:p>
        </w:tc>
        <w:tc>
          <w:tcPr>
            <w:tcW w:w="1559" w:type="dxa"/>
          </w:tcPr>
          <w:p w14:paraId="797A10E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Content and comparative analysis</w:t>
            </w:r>
          </w:p>
        </w:tc>
        <w:tc>
          <w:tcPr>
            <w:tcW w:w="2127" w:type="dxa"/>
          </w:tcPr>
          <w:p w14:paraId="5AE824C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Encourages the industry and the government to cooperate in achieving sustainable construction of modular buildings.</w:t>
            </w:r>
          </w:p>
        </w:tc>
        <w:tc>
          <w:tcPr>
            <w:tcW w:w="2126" w:type="dxa"/>
          </w:tcPr>
          <w:p w14:paraId="16D871B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common practices of modular construction in close countries.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br/>
              <w:t>Justifies the importance of the government's support for developing MC.</w:t>
            </w:r>
          </w:p>
        </w:tc>
        <w:tc>
          <w:tcPr>
            <w:tcW w:w="2268" w:type="dxa"/>
          </w:tcPr>
          <w:p w14:paraId="088F378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Close cooperation among the CI and the government.</w:t>
            </w:r>
          </w:p>
          <w:p w14:paraId="7951D27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Develop a comprehensive policy system.</w:t>
            </w:r>
          </w:p>
          <w:p w14:paraId="53030CD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Develop authoritative standards and specifications.</w:t>
            </w:r>
          </w:p>
        </w:tc>
      </w:tr>
      <w:tr w:rsidR="003D5765" w:rsidRPr="008027CB" w14:paraId="351D5EB2" w14:textId="77777777" w:rsidTr="00FB00FE">
        <w:trPr>
          <w:trHeight w:val="1200"/>
        </w:trPr>
        <w:tc>
          <w:tcPr>
            <w:tcW w:w="988" w:type="dxa"/>
          </w:tcPr>
          <w:p w14:paraId="700AF47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Wuni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et al., 2021</w:t>
            </w:r>
          </w:p>
        </w:tc>
        <w:tc>
          <w:tcPr>
            <w:tcW w:w="1701" w:type="dxa"/>
          </w:tcPr>
          <w:p w14:paraId="6F522D6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Industrialized Construction (IC) implementation</w:t>
            </w:r>
          </w:p>
        </w:tc>
        <w:tc>
          <w:tcPr>
            <w:tcW w:w="1275" w:type="dxa"/>
          </w:tcPr>
          <w:p w14:paraId="3EA4F26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Overview</w:t>
            </w:r>
          </w:p>
        </w:tc>
        <w:tc>
          <w:tcPr>
            <w:tcW w:w="1843" w:type="dxa"/>
          </w:tcPr>
          <w:p w14:paraId="58F5455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7 cases from Australia, 1 case from Hong Kong, and Singapore respectively</w:t>
            </w:r>
          </w:p>
        </w:tc>
        <w:tc>
          <w:tcPr>
            <w:tcW w:w="1559" w:type="dxa"/>
          </w:tcPr>
          <w:p w14:paraId="5472239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Thematic content analysis</w:t>
            </w:r>
          </w:p>
        </w:tc>
        <w:tc>
          <w:tcPr>
            <w:tcW w:w="2127" w:type="dxa"/>
          </w:tcPr>
          <w:p w14:paraId="39CB99B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A framework is proposed to facilitate the best practice of IC throughout its lifecycle.</w:t>
            </w:r>
          </w:p>
        </w:tc>
        <w:tc>
          <w:tcPr>
            <w:tcW w:w="2126" w:type="dxa"/>
          </w:tcPr>
          <w:p w14:paraId="52D5D19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key attributes of best practices for each phase of IC projects.</w:t>
            </w:r>
          </w:p>
        </w:tc>
        <w:tc>
          <w:tcPr>
            <w:tcW w:w="2268" w:type="dxa"/>
          </w:tcPr>
          <w:p w14:paraId="6FD7215D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Consider the minimum baseline for adoption in projects.</w:t>
            </w:r>
          </w:p>
          <w:p w14:paraId="2B27E8D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Incorporate the Design for Manufacture and Assembly (</w:t>
            </w: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DfMA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) principles. </w:t>
            </w:r>
          </w:p>
        </w:tc>
      </w:tr>
      <w:tr w:rsidR="003D5765" w:rsidRPr="008027CB" w14:paraId="5BD5286C" w14:textId="77777777" w:rsidTr="00FB00FE">
        <w:trPr>
          <w:trHeight w:val="77"/>
        </w:trPr>
        <w:tc>
          <w:tcPr>
            <w:tcW w:w="988" w:type="dxa"/>
          </w:tcPr>
          <w:p w14:paraId="42C6A88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Khan et al., 2024</w:t>
            </w:r>
          </w:p>
        </w:tc>
        <w:tc>
          <w:tcPr>
            <w:tcW w:w="1701" w:type="dxa"/>
          </w:tcPr>
          <w:p w14:paraId="5A3C496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MC Implementation</w:t>
            </w:r>
          </w:p>
        </w:tc>
        <w:tc>
          <w:tcPr>
            <w:tcW w:w="1275" w:type="dxa"/>
          </w:tcPr>
          <w:p w14:paraId="55D84EF4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Constraints in Australia</w:t>
            </w:r>
          </w:p>
        </w:tc>
        <w:tc>
          <w:tcPr>
            <w:tcW w:w="1843" w:type="dxa"/>
          </w:tcPr>
          <w:p w14:paraId="6659C75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Semi-structured interviews with professionals</w:t>
            </w:r>
          </w:p>
        </w:tc>
        <w:tc>
          <w:tcPr>
            <w:tcW w:w="1559" w:type="dxa"/>
          </w:tcPr>
          <w:p w14:paraId="1D42747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Pareto and mean index score analysis</w:t>
            </w:r>
          </w:p>
        </w:tc>
        <w:tc>
          <w:tcPr>
            <w:tcW w:w="2127" w:type="dxa"/>
          </w:tcPr>
          <w:p w14:paraId="197A8A64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Offers guidance for the successful implementation of MC in Australia.</w:t>
            </w:r>
          </w:p>
        </w:tc>
        <w:tc>
          <w:tcPr>
            <w:tcW w:w="2126" w:type="dxa"/>
          </w:tcPr>
          <w:p w14:paraId="0D1BE8A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major MC constraints in Australia.</w:t>
            </w:r>
          </w:p>
        </w:tc>
        <w:tc>
          <w:tcPr>
            <w:tcW w:w="2268" w:type="dxa"/>
          </w:tcPr>
          <w:p w14:paraId="02B9561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Incentivize public-private partnerships. </w:t>
            </w:r>
          </w:p>
          <w:p w14:paraId="1B27864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Implement pilot projects or projects initiated by the government.</w:t>
            </w:r>
          </w:p>
          <w:p w14:paraId="5656D27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Facilitate collaboration among the government, industry and academia.</w:t>
            </w:r>
          </w:p>
        </w:tc>
      </w:tr>
      <w:tr w:rsidR="003D5765" w:rsidRPr="008027CB" w14:paraId="28CFFA3D" w14:textId="77777777" w:rsidTr="00FB00FE">
        <w:trPr>
          <w:trHeight w:val="1200"/>
        </w:trPr>
        <w:tc>
          <w:tcPr>
            <w:tcW w:w="988" w:type="dxa"/>
            <w:hideMark/>
          </w:tcPr>
          <w:p w14:paraId="1B7CA77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Zhang et al., 2022</w:t>
            </w:r>
          </w:p>
        </w:tc>
        <w:tc>
          <w:tcPr>
            <w:tcW w:w="1701" w:type="dxa"/>
            <w:hideMark/>
          </w:tcPr>
          <w:p w14:paraId="1831D0E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PC Implementation</w:t>
            </w:r>
          </w:p>
        </w:tc>
        <w:tc>
          <w:tcPr>
            <w:tcW w:w="1275" w:type="dxa"/>
            <w:hideMark/>
          </w:tcPr>
          <w:p w14:paraId="4A28291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Current state in Australia</w:t>
            </w:r>
          </w:p>
        </w:tc>
        <w:tc>
          <w:tcPr>
            <w:tcW w:w="1843" w:type="dxa"/>
            <w:hideMark/>
          </w:tcPr>
          <w:p w14:paraId="01BD959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Literature and semi-structured interviews with practitioners</w:t>
            </w:r>
          </w:p>
        </w:tc>
        <w:tc>
          <w:tcPr>
            <w:tcW w:w="1559" w:type="dxa"/>
            <w:hideMark/>
          </w:tcPr>
          <w:p w14:paraId="6120EF8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Content analysis</w:t>
            </w:r>
          </w:p>
        </w:tc>
        <w:tc>
          <w:tcPr>
            <w:tcW w:w="2127" w:type="dxa"/>
            <w:hideMark/>
          </w:tcPr>
          <w:p w14:paraId="47925C9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Helps the industry, professional bodies, and government understand the current trend and manage the uptake of PC in Australia.</w:t>
            </w:r>
          </w:p>
        </w:tc>
        <w:tc>
          <w:tcPr>
            <w:tcW w:w="2126" w:type="dxa"/>
            <w:hideMark/>
          </w:tcPr>
          <w:p w14:paraId="54F8284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and discussed the major changes and challenges in the Australian PC industry.</w:t>
            </w:r>
          </w:p>
        </w:tc>
        <w:tc>
          <w:tcPr>
            <w:tcW w:w="2268" w:type="dxa"/>
          </w:tcPr>
          <w:p w14:paraId="4F2E614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Lead through policies, regulations, and financial assistance by the government.</w:t>
            </w:r>
          </w:p>
          <w:p w14:paraId="41566B5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Initiate CI workshops and conferences.</w:t>
            </w:r>
          </w:p>
          <w:p w14:paraId="2B61735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Arrange trade tours and shows.</w:t>
            </w:r>
          </w:p>
          <w:p w14:paraId="54930FB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Invest into public housing with PC.</w:t>
            </w:r>
          </w:p>
        </w:tc>
      </w:tr>
      <w:tr w:rsidR="003D5765" w:rsidRPr="008027CB" w14:paraId="7D7659C4" w14:textId="77777777" w:rsidTr="00FB00FE">
        <w:trPr>
          <w:trHeight w:val="1430"/>
        </w:trPr>
        <w:tc>
          <w:tcPr>
            <w:tcW w:w="988" w:type="dxa"/>
          </w:tcPr>
          <w:p w14:paraId="4DBFC68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Perera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et al., 2025</w:t>
            </w:r>
          </w:p>
        </w:tc>
        <w:tc>
          <w:tcPr>
            <w:tcW w:w="1701" w:type="dxa"/>
          </w:tcPr>
          <w:p w14:paraId="513131F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Construction technologies</w:t>
            </w:r>
          </w:p>
        </w:tc>
        <w:tc>
          <w:tcPr>
            <w:tcW w:w="1275" w:type="dxa"/>
          </w:tcPr>
          <w:p w14:paraId="6756BEA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Overview of Australia</w:t>
            </w:r>
          </w:p>
        </w:tc>
        <w:tc>
          <w:tcPr>
            <w:tcW w:w="1843" w:type="dxa"/>
          </w:tcPr>
          <w:p w14:paraId="05DCD20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19 semi-structured interviews</w:t>
            </w:r>
          </w:p>
        </w:tc>
        <w:tc>
          <w:tcPr>
            <w:tcW w:w="1559" w:type="dxa"/>
          </w:tcPr>
          <w:p w14:paraId="03731E3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Content analysis</w:t>
            </w:r>
          </w:p>
        </w:tc>
        <w:tc>
          <w:tcPr>
            <w:tcW w:w="2127" w:type="dxa"/>
          </w:tcPr>
          <w:p w14:paraId="725A96C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Helps drive technology enhancement and optimize construction project delivery in Australia.</w:t>
            </w:r>
          </w:p>
        </w:tc>
        <w:tc>
          <w:tcPr>
            <w:tcW w:w="2126" w:type="dxa"/>
          </w:tcPr>
          <w:p w14:paraId="1857C4C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Gives insights regarding how the industry perceives the Con4.0-tech in Australia.</w:t>
            </w:r>
          </w:p>
        </w:tc>
        <w:tc>
          <w:tcPr>
            <w:tcW w:w="2268" w:type="dxa"/>
          </w:tcPr>
          <w:p w14:paraId="7A25212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Incorporate other innovative technologies, e.g. 3D printing, robotics, RFID.</w:t>
            </w:r>
          </w:p>
        </w:tc>
      </w:tr>
      <w:tr w:rsidR="003D5765" w:rsidRPr="008027CB" w14:paraId="3BB5249B" w14:textId="77777777" w:rsidTr="00FB00FE">
        <w:trPr>
          <w:trHeight w:val="77"/>
        </w:trPr>
        <w:tc>
          <w:tcPr>
            <w:tcW w:w="988" w:type="dxa"/>
          </w:tcPr>
          <w:p w14:paraId="405EAAD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Luo et al., 2021</w:t>
            </w:r>
          </w:p>
        </w:tc>
        <w:tc>
          <w:tcPr>
            <w:tcW w:w="1701" w:type="dxa"/>
          </w:tcPr>
          <w:p w14:paraId="0ACBDC1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PC policies</w:t>
            </w:r>
          </w:p>
        </w:tc>
        <w:tc>
          <w:tcPr>
            <w:tcW w:w="1275" w:type="dxa"/>
          </w:tcPr>
          <w:p w14:paraId="49C6E86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Policies review</w:t>
            </w:r>
          </w:p>
        </w:tc>
        <w:tc>
          <w:tcPr>
            <w:tcW w:w="1843" w:type="dxa"/>
          </w:tcPr>
          <w:p w14:paraId="6ECE519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133 PC Policies in China</w:t>
            </w:r>
          </w:p>
        </w:tc>
        <w:tc>
          <w:tcPr>
            <w:tcW w:w="1559" w:type="dxa"/>
          </w:tcPr>
          <w:p w14:paraId="7C1C109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Content analysis, network 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analysis, and quantitative analysis</w:t>
            </w:r>
          </w:p>
        </w:tc>
        <w:tc>
          <w:tcPr>
            <w:tcW w:w="2127" w:type="dxa"/>
          </w:tcPr>
          <w:p w14:paraId="5BB4BCA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 xml:space="preserve">Suggested a roadmap to optimize the 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existing PC policies in China.</w:t>
            </w:r>
          </w:p>
        </w:tc>
        <w:tc>
          <w:tcPr>
            <w:tcW w:w="2126" w:type="dxa"/>
          </w:tcPr>
          <w:p w14:paraId="3FB5559D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Identified the four stages of PC policies in China.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br/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Stating the characteristics of these policies.</w:t>
            </w:r>
          </w:p>
        </w:tc>
        <w:tc>
          <w:tcPr>
            <w:tcW w:w="2268" w:type="dxa"/>
          </w:tcPr>
          <w:p w14:paraId="2AA23BC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 xml:space="preserve">Incorporate regulation, standard, guidance, initiative, 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and incentive aspects in a policy roadmap.</w:t>
            </w:r>
          </w:p>
          <w:p w14:paraId="2CDD2A8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Centralize the roadmap from the initiative aspect.</w:t>
            </w:r>
          </w:p>
        </w:tc>
      </w:tr>
      <w:tr w:rsidR="003D5765" w:rsidRPr="008027CB" w14:paraId="5849B9DF" w14:textId="77777777" w:rsidTr="00FB00FE">
        <w:trPr>
          <w:trHeight w:val="77"/>
        </w:trPr>
        <w:tc>
          <w:tcPr>
            <w:tcW w:w="988" w:type="dxa"/>
          </w:tcPr>
          <w:p w14:paraId="2F4A248D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Jin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et al., 2024</w:t>
            </w:r>
          </w:p>
        </w:tc>
        <w:tc>
          <w:tcPr>
            <w:tcW w:w="1701" w:type="dxa"/>
          </w:tcPr>
          <w:p w14:paraId="4A6911A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MC policies</w:t>
            </w:r>
          </w:p>
        </w:tc>
        <w:tc>
          <w:tcPr>
            <w:tcW w:w="1275" w:type="dxa"/>
          </w:tcPr>
          <w:p w14:paraId="3BD845F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Policies review</w:t>
            </w:r>
          </w:p>
        </w:tc>
        <w:tc>
          <w:tcPr>
            <w:tcW w:w="1843" w:type="dxa"/>
          </w:tcPr>
          <w:p w14:paraId="7300AA9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An extensive literature review and 28 semi-structured interviews</w:t>
            </w:r>
          </w:p>
        </w:tc>
        <w:tc>
          <w:tcPr>
            <w:tcW w:w="1559" w:type="dxa"/>
          </w:tcPr>
          <w:p w14:paraId="7B9DFE0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Social network analysis</w:t>
            </w:r>
          </w:p>
        </w:tc>
        <w:tc>
          <w:tcPr>
            <w:tcW w:w="2127" w:type="dxa"/>
          </w:tcPr>
          <w:p w14:paraId="77267CB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Helps policymakers in setting up policies to enhance MC implementations in the future.</w:t>
            </w:r>
          </w:p>
        </w:tc>
        <w:tc>
          <w:tcPr>
            <w:tcW w:w="2126" w:type="dxa"/>
          </w:tcPr>
          <w:p w14:paraId="1A8CAC7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critical policies and prominent stakeholders in different stages of MC in Hong Kong.</w:t>
            </w:r>
          </w:p>
        </w:tc>
        <w:tc>
          <w:tcPr>
            <w:tcW w:w="2268" w:type="dxa"/>
          </w:tcPr>
          <w:p w14:paraId="21C2100D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Establish preferential policies and provide financial support to developers.</w:t>
            </w:r>
          </w:p>
          <w:p w14:paraId="2CEE97F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Establish policies to tailor local conditions.</w:t>
            </w:r>
          </w:p>
        </w:tc>
      </w:tr>
      <w:tr w:rsidR="003D5765" w:rsidRPr="008027CB" w14:paraId="5761FC86" w14:textId="77777777" w:rsidTr="00FB00FE">
        <w:trPr>
          <w:trHeight w:val="458"/>
        </w:trPr>
        <w:tc>
          <w:tcPr>
            <w:tcW w:w="988" w:type="dxa"/>
          </w:tcPr>
          <w:p w14:paraId="1F6C8E9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hAnsi="Aptos Narrow"/>
                <w:sz w:val="22"/>
                <w:szCs w:val="22"/>
              </w:rPr>
              <w:t>Gan</w:t>
            </w:r>
            <w:proofErr w:type="spellEnd"/>
            <w:r w:rsidRPr="008027CB">
              <w:rPr>
                <w:rFonts w:ascii="Aptos Narrow" w:hAnsi="Aptos Narrow"/>
                <w:sz w:val="22"/>
                <w:szCs w:val="22"/>
              </w:rPr>
              <w:t xml:space="preserve"> et al., 2022</w:t>
            </w:r>
          </w:p>
        </w:tc>
        <w:tc>
          <w:tcPr>
            <w:tcW w:w="1701" w:type="dxa"/>
          </w:tcPr>
          <w:p w14:paraId="22A7AE0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PC implementation</w:t>
            </w:r>
          </w:p>
        </w:tc>
        <w:tc>
          <w:tcPr>
            <w:tcW w:w="1275" w:type="dxa"/>
          </w:tcPr>
          <w:p w14:paraId="15CCBEC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Policies review</w:t>
            </w:r>
          </w:p>
        </w:tc>
        <w:tc>
          <w:tcPr>
            <w:tcW w:w="1843" w:type="dxa"/>
          </w:tcPr>
          <w:p w14:paraId="6ABEB50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123 survey questionnaire results</w:t>
            </w:r>
          </w:p>
        </w:tc>
        <w:tc>
          <w:tcPr>
            <w:tcW w:w="1559" w:type="dxa"/>
          </w:tcPr>
          <w:p w14:paraId="313388E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Importance-performance analysis, gap analysis and partial correlation analysis</w:t>
            </w:r>
          </w:p>
        </w:tc>
        <w:tc>
          <w:tcPr>
            <w:tcW w:w="2127" w:type="dxa"/>
          </w:tcPr>
          <w:p w14:paraId="211740E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Helps the government identify the performance gaps in existing policies, which facilitates them to improve the PC development.</w:t>
            </w:r>
          </w:p>
        </w:tc>
        <w:tc>
          <w:tcPr>
            <w:tcW w:w="2126" w:type="dxa"/>
          </w:tcPr>
          <w:p w14:paraId="1421F95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critical policy instruments that should be focused on for more effective implementation of PC.</w:t>
            </w:r>
          </w:p>
        </w:tc>
        <w:tc>
          <w:tcPr>
            <w:tcW w:w="2268" w:type="dxa"/>
          </w:tcPr>
          <w:p w14:paraId="76668DF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Drill into different policy instruments, including the operability of infrastructure construction, technical developments, talent support, economic incentives, and the instrument of guiding information.</w:t>
            </w:r>
          </w:p>
        </w:tc>
      </w:tr>
      <w:tr w:rsidR="003D5765" w:rsidRPr="008027CB" w14:paraId="6F39B35C" w14:textId="77777777" w:rsidTr="00FB00FE">
        <w:trPr>
          <w:trHeight w:val="77"/>
        </w:trPr>
        <w:tc>
          <w:tcPr>
            <w:tcW w:w="988" w:type="dxa"/>
          </w:tcPr>
          <w:p w14:paraId="652183C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Jin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et al., 2022</w:t>
            </w:r>
          </w:p>
        </w:tc>
        <w:tc>
          <w:tcPr>
            <w:tcW w:w="1701" w:type="dxa"/>
          </w:tcPr>
          <w:p w14:paraId="51CA81F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MC policies</w:t>
            </w:r>
          </w:p>
        </w:tc>
        <w:tc>
          <w:tcPr>
            <w:tcW w:w="1275" w:type="dxa"/>
          </w:tcPr>
          <w:p w14:paraId="60E83ABD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Critical drivers</w:t>
            </w:r>
          </w:p>
        </w:tc>
        <w:tc>
          <w:tcPr>
            <w:tcW w:w="1843" w:type="dxa"/>
          </w:tcPr>
          <w:p w14:paraId="4822615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85 questionnaire surveys with diversified stakeholders</w:t>
            </w:r>
          </w:p>
        </w:tc>
        <w:tc>
          <w:tcPr>
            <w:tcW w:w="1559" w:type="dxa"/>
          </w:tcPr>
          <w:p w14:paraId="69FD2A0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Descriptive means with normalization, reliability analysis, normality 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test, and factor analysis</w:t>
            </w:r>
          </w:p>
        </w:tc>
        <w:tc>
          <w:tcPr>
            <w:tcW w:w="2127" w:type="dxa"/>
          </w:tcPr>
          <w:p w14:paraId="3042768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Facilitate policymakers in initiating policies to bring up MC adoption in Hong Kong.</w:t>
            </w:r>
          </w:p>
        </w:tc>
        <w:tc>
          <w:tcPr>
            <w:tcW w:w="2126" w:type="dxa"/>
          </w:tcPr>
          <w:p w14:paraId="00CA2264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effectiveness of different policy categories at each stage of MC projects.</w:t>
            </w:r>
          </w:p>
        </w:tc>
        <w:tc>
          <w:tcPr>
            <w:tcW w:w="2268" w:type="dxa"/>
          </w:tcPr>
          <w:p w14:paraId="659607C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Initiate promotional policies to adopt MC to support its mandate.</w:t>
            </w:r>
          </w:p>
          <w:p w14:paraId="47B5590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Inform practitioners on policy design and implementation.</w:t>
            </w:r>
          </w:p>
          <w:p w14:paraId="1324360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Support the policies based on criticality and categories. </w:t>
            </w:r>
          </w:p>
        </w:tc>
      </w:tr>
      <w:tr w:rsidR="003D5765" w:rsidRPr="008027CB" w14:paraId="59C8CC98" w14:textId="77777777" w:rsidTr="00FB00FE">
        <w:trPr>
          <w:trHeight w:val="77"/>
        </w:trPr>
        <w:tc>
          <w:tcPr>
            <w:tcW w:w="988" w:type="dxa"/>
          </w:tcPr>
          <w:p w14:paraId="13A2C43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Zhang and Tsai, 2021</w:t>
            </w:r>
          </w:p>
        </w:tc>
        <w:tc>
          <w:tcPr>
            <w:tcW w:w="1701" w:type="dxa"/>
          </w:tcPr>
          <w:p w14:paraId="664D315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PC implementation</w:t>
            </w:r>
          </w:p>
        </w:tc>
        <w:tc>
          <w:tcPr>
            <w:tcW w:w="1275" w:type="dxa"/>
          </w:tcPr>
          <w:p w14:paraId="3A6AB08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Critical factors</w:t>
            </w:r>
          </w:p>
        </w:tc>
        <w:tc>
          <w:tcPr>
            <w:tcW w:w="1843" w:type="dxa"/>
          </w:tcPr>
          <w:p w14:paraId="2A02B6F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Literature and expert opinions</w:t>
            </w:r>
          </w:p>
        </w:tc>
        <w:tc>
          <w:tcPr>
            <w:tcW w:w="1559" w:type="dxa"/>
          </w:tcPr>
          <w:p w14:paraId="4531AA4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Interpretive structural model- matrix cross-reference multiplication applied to a classification (OSM-MICMAC) with decision-making trial and evaluation laboratory (DEMATEL)</w:t>
            </w:r>
          </w:p>
        </w:tc>
        <w:tc>
          <w:tcPr>
            <w:tcW w:w="2127" w:type="dxa"/>
          </w:tcPr>
          <w:p w14:paraId="1D5E0E0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Helped the practitioners to understand the quality management of PC and to take effective measures accordingly.</w:t>
            </w:r>
          </w:p>
        </w:tc>
        <w:tc>
          <w:tcPr>
            <w:tcW w:w="2126" w:type="dxa"/>
          </w:tcPr>
          <w:p w14:paraId="3C4D112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factors that affect the quality management of PC and investigated their mutual relationship.</w:t>
            </w:r>
          </w:p>
        </w:tc>
        <w:tc>
          <w:tcPr>
            <w:tcW w:w="2268" w:type="dxa"/>
          </w:tcPr>
          <w:p w14:paraId="7397497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Formulate standards and norms according to the industrial situation.</w:t>
            </w:r>
          </w:p>
          <w:p w14:paraId="0DE9A38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Nurture talents.</w:t>
            </w:r>
          </w:p>
          <w:p w14:paraId="573381D4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Incorporate quality assurance provisions into codes, standards, and plans.</w:t>
            </w:r>
          </w:p>
          <w:p w14:paraId="6E0891A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</w:p>
        </w:tc>
      </w:tr>
      <w:tr w:rsidR="003D5765" w:rsidRPr="008027CB" w14:paraId="1B79FB29" w14:textId="77777777" w:rsidTr="00FB00FE">
        <w:trPr>
          <w:trHeight w:val="1500"/>
        </w:trPr>
        <w:tc>
          <w:tcPr>
            <w:tcW w:w="988" w:type="dxa"/>
            <w:hideMark/>
          </w:tcPr>
          <w:p w14:paraId="075DD91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Dou et al., 2022</w:t>
            </w:r>
          </w:p>
        </w:tc>
        <w:tc>
          <w:tcPr>
            <w:tcW w:w="1701" w:type="dxa"/>
            <w:hideMark/>
          </w:tcPr>
          <w:p w14:paraId="365DC9C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Off-site construction (OSC) Implementation</w:t>
            </w:r>
          </w:p>
        </w:tc>
        <w:tc>
          <w:tcPr>
            <w:tcW w:w="1275" w:type="dxa"/>
            <w:hideMark/>
          </w:tcPr>
          <w:p w14:paraId="4711C3C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Government strategy</w:t>
            </w:r>
          </w:p>
        </w:tc>
        <w:tc>
          <w:tcPr>
            <w:tcW w:w="1843" w:type="dxa"/>
            <w:hideMark/>
          </w:tcPr>
          <w:p w14:paraId="0F8FD0B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Policy documents, public web information, and experts' opinions</w:t>
            </w:r>
          </w:p>
        </w:tc>
        <w:tc>
          <w:tcPr>
            <w:tcW w:w="1559" w:type="dxa"/>
            <w:hideMark/>
          </w:tcPr>
          <w:p w14:paraId="1B4754F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Dynamic </w:t>
            </w: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Stackelberg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game</w:t>
            </w:r>
          </w:p>
        </w:tc>
        <w:tc>
          <w:tcPr>
            <w:tcW w:w="2127" w:type="dxa"/>
            <w:hideMark/>
          </w:tcPr>
          <w:p w14:paraId="1A92BEE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Established a model to optimize the development strategy of OSC projects and gave suggestions on policy improvement strategies.</w:t>
            </w:r>
          </w:p>
        </w:tc>
        <w:tc>
          <w:tcPr>
            <w:tcW w:w="2126" w:type="dxa"/>
            <w:hideMark/>
          </w:tcPr>
          <w:p w14:paraId="0AB2687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optimal OSC development strategies for local government and developers on.</w:t>
            </w:r>
          </w:p>
        </w:tc>
        <w:tc>
          <w:tcPr>
            <w:tcW w:w="2268" w:type="dxa"/>
          </w:tcPr>
          <w:p w14:paraId="795EF1E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Focus more on indirect subsidy strategies.</w:t>
            </w:r>
          </w:p>
          <w:p w14:paraId="4A720B3F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Set up a minimum adoption rate.</w:t>
            </w:r>
          </w:p>
          <w:p w14:paraId="142646E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</w:p>
        </w:tc>
      </w:tr>
      <w:tr w:rsidR="003D5765" w:rsidRPr="008027CB" w14:paraId="7C5F616C" w14:textId="77777777" w:rsidTr="00FB00FE">
        <w:trPr>
          <w:trHeight w:val="431"/>
        </w:trPr>
        <w:tc>
          <w:tcPr>
            <w:tcW w:w="988" w:type="dxa"/>
            <w:hideMark/>
          </w:tcPr>
          <w:p w14:paraId="31A50A1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Sun et al., 2020</w:t>
            </w:r>
          </w:p>
        </w:tc>
        <w:tc>
          <w:tcPr>
            <w:tcW w:w="1701" w:type="dxa"/>
            <w:hideMark/>
          </w:tcPr>
          <w:p w14:paraId="2380148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MC implementation</w:t>
            </w:r>
          </w:p>
        </w:tc>
        <w:tc>
          <w:tcPr>
            <w:tcW w:w="1275" w:type="dxa"/>
            <w:hideMark/>
          </w:tcPr>
          <w:p w14:paraId="03A05D8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Development constraints</w:t>
            </w:r>
          </w:p>
        </w:tc>
        <w:tc>
          <w:tcPr>
            <w:tcW w:w="1843" w:type="dxa"/>
            <w:hideMark/>
          </w:tcPr>
          <w:p w14:paraId="3A30DFC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Extensive literature, interviews, and 72 survey questionnaire results</w:t>
            </w:r>
          </w:p>
        </w:tc>
        <w:tc>
          <w:tcPr>
            <w:tcW w:w="1559" w:type="dxa"/>
            <w:hideMark/>
          </w:tcPr>
          <w:p w14:paraId="0004D58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Comprehensive literature review with a focus study group, questionnaire survey, and case study.</w:t>
            </w:r>
          </w:p>
        </w:tc>
        <w:tc>
          <w:tcPr>
            <w:tcW w:w="2127" w:type="dxa"/>
            <w:hideMark/>
          </w:tcPr>
          <w:p w14:paraId="5480F49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Provides valuable information to stakeholders and helps to mitigate risks when adopting MC.</w:t>
            </w:r>
          </w:p>
        </w:tc>
        <w:tc>
          <w:tcPr>
            <w:tcW w:w="2126" w:type="dxa"/>
            <w:hideMark/>
          </w:tcPr>
          <w:p w14:paraId="7233F615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major barriers impeding the uptake of MC.</w:t>
            </w:r>
          </w:p>
        </w:tc>
        <w:tc>
          <w:tcPr>
            <w:tcW w:w="2268" w:type="dxa"/>
          </w:tcPr>
          <w:p w14:paraId="4E74784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Incorporate other innovative technologies, e.g. Building Information Modelling (BIM), into modular designs.</w:t>
            </w:r>
          </w:p>
          <w:p w14:paraId="6537A80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Incorporate the </w:t>
            </w: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DfMA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concept into MC.</w:t>
            </w:r>
          </w:p>
          <w:p w14:paraId="23367CD3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Develop practical design guidelines.</w:t>
            </w:r>
          </w:p>
        </w:tc>
      </w:tr>
      <w:tr w:rsidR="003D5765" w:rsidRPr="008027CB" w14:paraId="30BC5B58" w14:textId="77777777" w:rsidTr="00FB00FE">
        <w:trPr>
          <w:trHeight w:val="170"/>
        </w:trPr>
        <w:tc>
          <w:tcPr>
            <w:tcW w:w="988" w:type="dxa"/>
            <w:hideMark/>
          </w:tcPr>
          <w:p w14:paraId="722963F8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Gharbia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 et al., 2023</w:t>
            </w:r>
          </w:p>
        </w:tc>
        <w:tc>
          <w:tcPr>
            <w:tcW w:w="1701" w:type="dxa"/>
            <w:hideMark/>
          </w:tcPr>
          <w:p w14:paraId="38ED052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OSC implementation</w:t>
            </w:r>
          </w:p>
        </w:tc>
        <w:tc>
          <w:tcPr>
            <w:tcW w:w="1275" w:type="dxa"/>
            <w:hideMark/>
          </w:tcPr>
          <w:p w14:paraId="77EA62F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Building compliance</w:t>
            </w:r>
          </w:p>
        </w:tc>
        <w:tc>
          <w:tcPr>
            <w:tcW w:w="1843" w:type="dxa"/>
            <w:hideMark/>
          </w:tcPr>
          <w:p w14:paraId="75E4268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6 cases with 122 questionnaire survey results</w:t>
            </w:r>
          </w:p>
        </w:tc>
        <w:tc>
          <w:tcPr>
            <w:tcW w:w="1559" w:type="dxa"/>
            <w:hideMark/>
          </w:tcPr>
          <w:p w14:paraId="4CA6DFE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Descriptive statistics and comparative cross-country analysis</w:t>
            </w:r>
          </w:p>
        </w:tc>
        <w:tc>
          <w:tcPr>
            <w:tcW w:w="2127" w:type="dxa"/>
            <w:hideMark/>
          </w:tcPr>
          <w:p w14:paraId="38E7CF0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Gives suggestions to policymakers to modify standards and legislation to enhance the compliance and performance of OSC.</w:t>
            </w:r>
          </w:p>
        </w:tc>
        <w:tc>
          <w:tcPr>
            <w:tcW w:w="2126" w:type="dxa"/>
            <w:hideMark/>
          </w:tcPr>
          <w:p w14:paraId="2FFDDE91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Identified the existing and best regulatory system for OSC.</w:t>
            </w:r>
          </w:p>
        </w:tc>
        <w:tc>
          <w:tcPr>
            <w:tcW w:w="2268" w:type="dxa"/>
          </w:tcPr>
          <w:p w14:paraId="39501BCC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Coordinate with local authorities and the CI to develop guidelines.</w:t>
            </w:r>
          </w:p>
          <w:p w14:paraId="514720A6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Establish registers of compliant building products and systems.</w:t>
            </w:r>
          </w:p>
        </w:tc>
      </w:tr>
      <w:tr w:rsidR="003D5765" w:rsidRPr="008027CB" w14:paraId="3A920284" w14:textId="77777777" w:rsidTr="00FB00FE">
        <w:trPr>
          <w:trHeight w:val="251"/>
        </w:trPr>
        <w:tc>
          <w:tcPr>
            <w:tcW w:w="988" w:type="dxa"/>
          </w:tcPr>
          <w:p w14:paraId="45090D0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hAnsi="Aptos Narrow"/>
                <w:sz w:val="22"/>
                <w:szCs w:val="22"/>
              </w:rPr>
              <w:t>Han et al., 2023</w:t>
            </w:r>
          </w:p>
        </w:tc>
        <w:tc>
          <w:tcPr>
            <w:tcW w:w="1701" w:type="dxa"/>
          </w:tcPr>
          <w:p w14:paraId="0746432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PC implementation</w:t>
            </w:r>
          </w:p>
        </w:tc>
        <w:tc>
          <w:tcPr>
            <w:tcW w:w="1275" w:type="dxa"/>
          </w:tcPr>
          <w:p w14:paraId="2D8BE99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Decision-making</w:t>
            </w:r>
          </w:p>
        </w:tc>
        <w:tc>
          <w:tcPr>
            <w:tcW w:w="1843" w:type="dxa"/>
          </w:tcPr>
          <w:p w14:paraId="6B8C3FCE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Model assumptions</w:t>
            </w:r>
          </w:p>
        </w:tc>
        <w:tc>
          <w:tcPr>
            <w:tcW w:w="1559" w:type="dxa"/>
          </w:tcPr>
          <w:p w14:paraId="7E78C3C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Three-stage game modelling</w:t>
            </w:r>
          </w:p>
        </w:tc>
        <w:tc>
          <w:tcPr>
            <w:tcW w:w="2127" w:type="dxa"/>
          </w:tcPr>
          <w:p w14:paraId="79FAE87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Gives insight for policy design and strategic planning for taking up PC.</w:t>
            </w:r>
          </w:p>
        </w:tc>
        <w:tc>
          <w:tcPr>
            <w:tcW w:w="2126" w:type="dxa"/>
          </w:tcPr>
          <w:p w14:paraId="29B58C0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Identified the interactive </w:t>
            </w: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behaviors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among major stakeholders of PC and suggested an optimal condition.</w:t>
            </w:r>
          </w:p>
        </w:tc>
        <w:tc>
          <w:tcPr>
            <w:tcW w:w="2268" w:type="dxa"/>
          </w:tcPr>
          <w:p w14:paraId="34C9BE3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Consider dynamic and interactive subsidizing strategies.</w:t>
            </w:r>
          </w:p>
        </w:tc>
      </w:tr>
      <w:tr w:rsidR="003D5765" w:rsidRPr="00A512A7" w14:paraId="6BDB92D6" w14:textId="77777777" w:rsidTr="00FB00FE">
        <w:trPr>
          <w:trHeight w:val="77"/>
        </w:trPr>
        <w:tc>
          <w:tcPr>
            <w:tcW w:w="988" w:type="dxa"/>
            <w:hideMark/>
          </w:tcPr>
          <w:p w14:paraId="0E775BF2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Han et al., 2022</w:t>
            </w:r>
          </w:p>
        </w:tc>
        <w:tc>
          <w:tcPr>
            <w:tcW w:w="1701" w:type="dxa"/>
            <w:hideMark/>
          </w:tcPr>
          <w:p w14:paraId="140F0C2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PC implementation</w:t>
            </w:r>
          </w:p>
        </w:tc>
        <w:tc>
          <w:tcPr>
            <w:tcW w:w="1275" w:type="dxa"/>
            <w:hideMark/>
          </w:tcPr>
          <w:p w14:paraId="2052520B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proofErr w:type="spellStart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Behavioral</w:t>
            </w:r>
            <w:proofErr w:type="spellEnd"/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 strategies</w:t>
            </w:r>
          </w:p>
        </w:tc>
        <w:tc>
          <w:tcPr>
            <w:tcW w:w="1843" w:type="dxa"/>
            <w:hideMark/>
          </w:tcPr>
          <w:p w14:paraId="11223EF9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Model assumptions</w:t>
            </w:r>
          </w:p>
        </w:tc>
        <w:tc>
          <w:tcPr>
            <w:tcW w:w="1559" w:type="dxa"/>
            <w:hideMark/>
          </w:tcPr>
          <w:p w14:paraId="69D69B2A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Fuzzy game model with classical game theory</w:t>
            </w:r>
          </w:p>
        </w:tc>
        <w:tc>
          <w:tcPr>
            <w:tcW w:w="2127" w:type="dxa"/>
            <w:hideMark/>
          </w:tcPr>
          <w:p w14:paraId="690B89C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>Suggests policy strategies that could help enhance PC implementation.</w:t>
            </w:r>
          </w:p>
        </w:tc>
        <w:tc>
          <w:tcPr>
            <w:tcW w:w="2126" w:type="dxa"/>
            <w:hideMark/>
          </w:tcPr>
          <w:p w14:paraId="7AB06F60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t xml:space="preserve">Gives provisions to the dynamics in promoting prefabricated building development </w:t>
            </w: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>among the government and developers.</w:t>
            </w:r>
          </w:p>
        </w:tc>
        <w:tc>
          <w:tcPr>
            <w:tcW w:w="2268" w:type="dxa"/>
          </w:tcPr>
          <w:p w14:paraId="5DADB3E7" w14:textId="77777777" w:rsidR="003D5765" w:rsidRPr="008027CB" w:rsidRDefault="003D5765" w:rsidP="00FB00F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</w:pPr>
            <w:r w:rsidRPr="008027C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n-HK" w:eastAsia="zh-CN"/>
                <w14:ligatures w14:val="none"/>
              </w:rPr>
              <w:lastRenderedPageBreak/>
              <w:t xml:space="preserve">Incorporate positive and negative financial incentive measures into policies. </w:t>
            </w:r>
          </w:p>
        </w:tc>
      </w:tr>
    </w:tbl>
    <w:p w14:paraId="0ED62E51" w14:textId="77777777" w:rsidR="001664F7" w:rsidRDefault="001664F7"/>
    <w:sectPr w:rsidR="001664F7" w:rsidSect="003D576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65"/>
    <w:rsid w:val="000D717F"/>
    <w:rsid w:val="001664F7"/>
    <w:rsid w:val="003D5765"/>
    <w:rsid w:val="006551EC"/>
    <w:rsid w:val="00A90B4D"/>
    <w:rsid w:val="00CB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D9150"/>
  <w15:chartTrackingRefBased/>
  <w15:docId w15:val="{F0B7FB97-0E13-4D62-845A-6DF3D5A6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765"/>
    <w:rPr>
      <w:lang w:val="en-AU"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HK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HK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HK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HK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HK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HK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HK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HK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H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K" w:eastAsia="zh-CN"/>
    </w:rPr>
  </w:style>
  <w:style w:type="character" w:customStyle="1" w:styleId="TitleChar">
    <w:name w:val="Title Char"/>
    <w:basedOn w:val="DefaultParagraphFont"/>
    <w:link w:val="Title"/>
    <w:uiPriority w:val="10"/>
    <w:rsid w:val="003D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HK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3D5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765"/>
    <w:pPr>
      <w:spacing w:before="160"/>
      <w:jc w:val="center"/>
    </w:pPr>
    <w:rPr>
      <w:i/>
      <w:iCs/>
      <w:color w:val="404040" w:themeColor="text1" w:themeTint="BF"/>
      <w:lang w:val="en-HK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D5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765"/>
    <w:pPr>
      <w:ind w:left="720"/>
      <w:contextualSpacing/>
    </w:pPr>
    <w:rPr>
      <w:lang w:val="en-HK" w:eastAsia="zh-CN"/>
    </w:rPr>
  </w:style>
  <w:style w:type="character" w:styleId="IntenseEmphasis">
    <w:name w:val="Intense Emphasis"/>
    <w:basedOn w:val="DefaultParagraphFont"/>
    <w:uiPriority w:val="21"/>
    <w:qFormat/>
    <w:rsid w:val="003D5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HK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76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D576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1169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Hin Chan</dc:creator>
  <cp:keywords/>
  <dc:description/>
  <cp:lastModifiedBy>Atharva Phatak</cp:lastModifiedBy>
  <cp:revision>2</cp:revision>
  <dcterms:created xsi:type="dcterms:W3CDTF">2025-08-14T03:17:00Z</dcterms:created>
  <dcterms:modified xsi:type="dcterms:W3CDTF">2026-03-17T12:14:00Z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f696003b-dd23-47a6-ae64-febad4eb436d</vt:lpwstr>
  </property>
</Properties>
</file>