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1DC" w:rsidRPr="00AE44FE" w:rsidRDefault="007E51DC" w:rsidP="007E51DC">
      <w:pPr>
        <w:pStyle w:val="EndNoteBibliography"/>
        <w:tabs>
          <w:tab w:val="left" w:pos="630"/>
        </w:tabs>
        <w:spacing w:line="360" w:lineRule="auto"/>
        <w:jc w:val="both"/>
        <w:outlineLvl w:val="0"/>
        <w:rPr>
          <w:b/>
          <w:noProof w:val="0"/>
          <w:szCs w:val="24"/>
        </w:rPr>
      </w:pPr>
      <w:r w:rsidRPr="00AE44FE">
        <w:rPr>
          <w:b/>
          <w:noProof w:val="0"/>
          <w:szCs w:val="24"/>
        </w:rPr>
        <w:t>Appendixes</w:t>
      </w:r>
    </w:p>
    <w:p w:rsidR="007E51DC" w:rsidRPr="00AE44FE" w:rsidRDefault="007E51DC" w:rsidP="007E51DC">
      <w:pPr>
        <w:pStyle w:val="Caption"/>
        <w:rPr>
          <w:rFonts w:ascii="Times New Roman" w:hAnsi="Times New Roman" w:cs="Times New Roman"/>
          <w:b/>
          <w:i w:val="0"/>
          <w:color w:val="000000" w:themeColor="text1"/>
          <w:sz w:val="28"/>
          <w:szCs w:val="24"/>
        </w:rPr>
      </w:pPr>
      <w:r w:rsidRPr="00AE44FE">
        <w:rPr>
          <w:rFonts w:ascii="Times New Roman" w:hAnsi="Times New Roman" w:cs="Times New Roman"/>
          <w:b/>
          <w:i w:val="0"/>
          <w:color w:val="000000" w:themeColor="text1"/>
          <w:sz w:val="20"/>
        </w:rPr>
        <w:t xml:space="preserve">Appendix </w:t>
      </w:r>
      <w:r w:rsidRPr="00AE44FE">
        <w:rPr>
          <w:rFonts w:ascii="Times New Roman" w:hAnsi="Times New Roman" w:cs="Times New Roman"/>
          <w:b/>
          <w:i w:val="0"/>
          <w:noProof/>
          <w:color w:val="000000" w:themeColor="text1"/>
          <w:sz w:val="20"/>
        </w:rPr>
        <w:t>1</w:t>
      </w:r>
      <w:r w:rsidRPr="00AE44FE">
        <w:rPr>
          <w:rFonts w:ascii="Times New Roman" w:hAnsi="Times New Roman" w:cs="Times New Roman"/>
          <w:b/>
          <w:i w:val="0"/>
          <w:color w:val="000000" w:themeColor="text1"/>
          <w:sz w:val="20"/>
        </w:rPr>
        <w:t>. TFP decomposition technique</w:t>
      </w:r>
    </w:p>
    <w:p w:rsidR="007E51DC" w:rsidRPr="00AE44FE" w:rsidRDefault="007E51DC" w:rsidP="007E51DC">
      <w:pPr>
        <w:spacing w:line="360" w:lineRule="auto"/>
        <w:jc w:val="both"/>
        <w:rPr>
          <w:rFonts w:ascii="Times New Roman" w:hAnsi="Times New Roman" w:cs="Times New Roman"/>
          <w:color w:val="000000" w:themeColor="text1"/>
          <w:sz w:val="24"/>
          <w:szCs w:val="24"/>
        </w:rPr>
      </w:pPr>
      <w:r w:rsidRPr="00AE44FE">
        <w:rPr>
          <w:rFonts w:ascii="Times New Roman" w:hAnsi="Times New Roman" w:cs="Times New Roman"/>
          <w:color w:val="000000" w:themeColor="text1"/>
          <w:sz w:val="24"/>
          <w:szCs w:val="24"/>
        </w:rPr>
        <w:t xml:space="preserve">The assessment of productivity and its components at the national </w:t>
      </w:r>
      <w:r w:rsidRPr="00AE44FE">
        <w:rPr>
          <w:rFonts w:ascii="Times New Roman" w:hAnsi="Times New Roman" w:cs="Times New Roman"/>
          <w:noProof/>
          <w:color w:val="000000" w:themeColor="text1"/>
          <w:sz w:val="24"/>
          <w:szCs w:val="24"/>
        </w:rPr>
        <w:t>(Van et al., 2023)</w:t>
      </w:r>
      <w:r w:rsidRPr="00AE44FE">
        <w:rPr>
          <w:rFonts w:ascii="Times New Roman" w:hAnsi="Times New Roman" w:cs="Times New Roman"/>
          <w:color w:val="000000" w:themeColor="text1"/>
          <w:sz w:val="24"/>
          <w:szCs w:val="24"/>
        </w:rPr>
        <w:t xml:space="preserve"> and sub-national levels (</w:t>
      </w:r>
      <w:r w:rsidRPr="00AE44FE">
        <w:rPr>
          <w:rFonts w:ascii="Times New Roman" w:hAnsi="Times New Roman" w:cs="Times New Roman"/>
          <w:noProof/>
          <w:color w:val="000000" w:themeColor="text1"/>
          <w:sz w:val="24"/>
          <w:szCs w:val="24"/>
        </w:rPr>
        <w:t>Thanh et al., 2019)</w:t>
      </w:r>
      <w:r w:rsidRPr="00AE44FE">
        <w:rPr>
          <w:rFonts w:ascii="Times New Roman" w:hAnsi="Times New Roman" w:cs="Times New Roman"/>
          <w:color w:val="000000" w:themeColor="text1"/>
          <w:sz w:val="24"/>
          <w:szCs w:val="24"/>
        </w:rPr>
        <w:t xml:space="preserve"> follows the methodology outlined by O’</w:t>
      </w:r>
      <w:r w:rsidRPr="00AE44FE">
        <w:rPr>
          <w:rFonts w:ascii="Times New Roman" w:hAnsi="Times New Roman" w:cs="Times New Roman"/>
          <w:noProof/>
          <w:color w:val="000000" w:themeColor="text1"/>
          <w:sz w:val="24"/>
          <w:szCs w:val="24"/>
        </w:rPr>
        <w:t>Donnell</w:t>
      </w:r>
      <w:r w:rsidRPr="00AE44FE">
        <w:t xml:space="preserve"> </w:t>
      </w:r>
      <w:r w:rsidRPr="00AE44FE">
        <w:rPr>
          <w:rFonts w:ascii="Times New Roman" w:hAnsi="Times New Roman" w:cs="Times New Roman"/>
          <w:noProof/>
          <w:color w:val="000000" w:themeColor="text1"/>
          <w:sz w:val="24"/>
          <w:szCs w:val="24"/>
        </w:rPr>
        <w:t>(2018)</w:t>
      </w:r>
      <w:r w:rsidRPr="00AE44FE">
        <w:rPr>
          <w:rFonts w:ascii="Times New Roman" w:hAnsi="Times New Roman" w:cs="Times New Roman"/>
          <w:color w:val="000000" w:themeColor="text1"/>
          <w:sz w:val="24"/>
          <w:szCs w:val="24"/>
        </w:rPr>
        <w:t xml:space="preserve">. Accordingly, the TFP of firm/province/nation </w:t>
      </w:r>
      <m:oMath>
        <m:r>
          <w:rPr>
            <w:rFonts w:ascii="Cambria Math" w:hAnsi="Cambria Math" w:cs="Times New Roman"/>
            <w:color w:val="000000" w:themeColor="text1"/>
            <w:sz w:val="24"/>
            <w:szCs w:val="24"/>
          </w:rPr>
          <m:t>i</m:t>
        </m:r>
      </m:oMath>
      <w:r w:rsidRPr="00AE44FE">
        <w:rPr>
          <w:rFonts w:ascii="Times New Roman" w:hAnsi="Times New Roman" w:cs="Times New Roman"/>
          <w:color w:val="000000" w:themeColor="text1"/>
          <w:sz w:val="24"/>
          <w:szCs w:val="24"/>
        </w:rPr>
        <w:t xml:space="preserve"> in period </w:t>
      </w:r>
      <w:r w:rsidRPr="00AE44FE">
        <w:rPr>
          <w:rFonts w:ascii="Times New Roman" w:hAnsi="Times New Roman" w:cs="Times New Roman"/>
          <w:i/>
          <w:iCs/>
          <w:color w:val="000000" w:themeColor="text1"/>
          <w:sz w:val="24"/>
          <w:szCs w:val="24"/>
        </w:rPr>
        <w:t>t</w:t>
      </w:r>
      <w:r w:rsidRPr="00AE44FE">
        <w:rPr>
          <w:rFonts w:ascii="Times New Roman" w:hAnsi="Times New Roman" w:cs="Times New Roman"/>
          <w:color w:val="000000" w:themeColor="text1"/>
          <w:sz w:val="24"/>
          <w:szCs w:val="24"/>
        </w:rPr>
        <w:t xml:space="preserve"> can be defined as </w:t>
      </w:r>
    </w:p>
    <w:p w:rsidR="007E51DC" w:rsidRPr="00AE44FE" w:rsidRDefault="007E51DC" w:rsidP="007E51DC">
      <w:pPr>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TFP</m:t>
            </m:r>
          </m:e>
          <m:sub>
            <m:r>
              <w:rPr>
                <w:rFonts w:ascii="Cambria Math" w:hAnsi="Cambria Math" w:cs="Times New Roman"/>
                <w:sz w:val="24"/>
                <w:szCs w:val="24"/>
              </w:rPr>
              <m:t>it</m:t>
            </m:r>
          </m:sub>
        </m:sSub>
      </m:oMath>
      <w:r w:rsidRPr="00AE44FE">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Q(</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it</m:t>
                </m:r>
              </m:sub>
            </m:sSub>
            <m:r>
              <w:rPr>
                <w:rFonts w:ascii="Cambria Math" w:hAnsi="Cambria Math" w:cs="Times New Roman"/>
                <w:sz w:val="24"/>
                <w:szCs w:val="24"/>
              </w:rPr>
              <m:t>)</m:t>
            </m:r>
          </m:num>
          <m:den>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it</m:t>
                </m:r>
              </m:sub>
            </m:sSub>
            <m:r>
              <w:rPr>
                <w:rFonts w:ascii="Cambria Math" w:hAnsi="Cambria Math" w:cs="Times New Roman"/>
                <w:sz w:val="24"/>
                <w:szCs w:val="24"/>
              </w:rPr>
              <m:t>)</m:t>
            </m:r>
          </m:den>
        </m:f>
      </m:oMath>
      <w:r w:rsidRPr="00AE44FE">
        <w:rPr>
          <w:rFonts w:ascii="Times New Roman" w:hAnsi="Times New Roman" w:cs="Times New Roman"/>
          <w:sz w:val="24"/>
          <w:szCs w:val="24"/>
        </w:rPr>
        <w:t xml:space="preserve"> </w:t>
      </w:r>
      <w:r w:rsidRPr="00AE44FE">
        <w:rPr>
          <w:rFonts w:ascii="Times New Roman" w:hAnsi="Times New Roman" w:cs="Times New Roman"/>
          <w:sz w:val="24"/>
          <w:szCs w:val="24"/>
        </w:rPr>
        <w:tab/>
      </w:r>
      <w:r w:rsidRPr="00AE44FE">
        <w:rPr>
          <w:rFonts w:ascii="Times New Roman" w:hAnsi="Times New Roman" w:cs="Times New Roman"/>
          <w:sz w:val="24"/>
          <w:szCs w:val="24"/>
        </w:rPr>
        <w:tab/>
      </w:r>
      <w:r w:rsidRPr="00AE44FE">
        <w:rPr>
          <w:rFonts w:ascii="Times New Roman" w:hAnsi="Times New Roman" w:cs="Times New Roman"/>
          <w:sz w:val="24"/>
          <w:szCs w:val="24"/>
        </w:rPr>
        <w:tab/>
      </w:r>
      <w:r w:rsidRPr="00AE44FE">
        <w:rPr>
          <w:rFonts w:ascii="Times New Roman" w:hAnsi="Times New Roman" w:cs="Times New Roman"/>
          <w:sz w:val="24"/>
          <w:szCs w:val="24"/>
        </w:rPr>
        <w:tab/>
      </w:r>
      <w:r w:rsidRPr="00AE44FE">
        <w:rPr>
          <w:rFonts w:ascii="Times New Roman" w:hAnsi="Times New Roman" w:cs="Times New Roman"/>
          <w:sz w:val="24"/>
          <w:szCs w:val="24"/>
        </w:rPr>
        <w:tab/>
      </w:r>
      <w:r w:rsidRPr="00AE44FE">
        <w:rPr>
          <w:rFonts w:ascii="Times New Roman" w:hAnsi="Times New Roman" w:cs="Times New Roman"/>
          <w:sz w:val="24"/>
          <w:szCs w:val="24"/>
        </w:rPr>
        <w:tab/>
      </w:r>
      <w:r w:rsidRPr="00AE44FE">
        <w:rPr>
          <w:rFonts w:ascii="Times New Roman" w:hAnsi="Times New Roman" w:cs="Times New Roman"/>
          <w:sz w:val="24"/>
          <w:szCs w:val="24"/>
        </w:rPr>
        <w:tab/>
      </w:r>
      <w:r w:rsidRPr="00AE44FE">
        <w:rPr>
          <w:rFonts w:ascii="Times New Roman" w:hAnsi="Times New Roman" w:cs="Times New Roman"/>
          <w:sz w:val="24"/>
          <w:szCs w:val="24"/>
        </w:rPr>
        <w:tab/>
      </w:r>
      <w:r w:rsidRPr="00AE44FE">
        <w:rPr>
          <w:rFonts w:ascii="Times New Roman" w:hAnsi="Times New Roman" w:cs="Times New Roman"/>
          <w:sz w:val="24"/>
          <w:szCs w:val="24"/>
        </w:rPr>
        <w:tab/>
      </w:r>
      <w:r w:rsidRPr="00AE44FE">
        <w:rPr>
          <w:rFonts w:ascii="Times New Roman" w:hAnsi="Times New Roman" w:cs="Times New Roman"/>
          <w:sz w:val="24"/>
          <w:szCs w:val="24"/>
        </w:rPr>
        <w:tab/>
        <w:t xml:space="preserve"> </w:t>
      </w:r>
      <w:r w:rsidRPr="00AE44FE">
        <w:rPr>
          <w:rFonts w:ascii="Times New Roman" w:hAnsi="Times New Roman" w:cs="Times New Roman"/>
          <w:sz w:val="24"/>
          <w:szCs w:val="24"/>
        </w:rPr>
        <w:tab/>
        <w:t xml:space="preserve">      (a) </w:t>
      </w:r>
    </w:p>
    <w:p w:rsidR="007E51DC" w:rsidRPr="00AE44FE" w:rsidRDefault="007E51DC" w:rsidP="007E51DC">
      <w:pPr>
        <w:shd w:val="clear" w:color="auto" w:fill="FFFFFF"/>
        <w:spacing w:line="360" w:lineRule="auto"/>
        <w:jc w:val="both"/>
        <w:rPr>
          <w:rFonts w:ascii="Times New Roman" w:hAnsi="Times New Roman" w:cs="Times New Roman"/>
          <w:sz w:val="24"/>
          <w:szCs w:val="24"/>
        </w:rPr>
      </w:pPr>
      <w:r w:rsidRPr="00AE44FE">
        <w:rPr>
          <w:rFonts w:ascii="Times New Roman" w:hAnsi="Times New Roman" w:cs="Times New Roman"/>
          <w:sz w:val="24"/>
          <w:szCs w:val="24"/>
        </w:rPr>
        <w:t xml:space="preserve">where </w:t>
      </w:r>
      <w:r w:rsidRPr="00AE44FE">
        <w:rPr>
          <w:rFonts w:ascii="Times New Roman" w:hAnsi="Times New Roman" w:cs="Times New Roman"/>
          <w:i/>
          <w:iCs/>
          <w:sz w:val="24"/>
          <w:szCs w:val="24"/>
        </w:rPr>
        <w:t>Q</w:t>
      </w:r>
      <w:r w:rsidRPr="00AE44FE">
        <w:rPr>
          <w:rFonts w:ascii="Times New Roman" w:hAnsi="Times New Roman" w:cs="Times New Roman"/>
          <w:sz w:val="24"/>
          <w:szCs w:val="24"/>
        </w:rPr>
        <w:t xml:space="preserve">(.) and </w:t>
      </w:r>
      <w:r w:rsidRPr="00AE44FE">
        <w:rPr>
          <w:rFonts w:ascii="Times New Roman" w:hAnsi="Times New Roman" w:cs="Times New Roman"/>
          <w:i/>
          <w:iCs/>
          <w:sz w:val="24"/>
          <w:szCs w:val="24"/>
        </w:rPr>
        <w:t>X</w:t>
      </w:r>
      <w:r w:rsidRPr="00AE44FE">
        <w:rPr>
          <w:rFonts w:ascii="Times New Roman" w:hAnsi="Times New Roman" w:cs="Times New Roman"/>
          <w:sz w:val="24"/>
          <w:szCs w:val="24"/>
        </w:rPr>
        <w:t xml:space="preserve">(.) </w:t>
      </w:r>
      <w:r w:rsidRPr="00AE44FE">
        <w:rPr>
          <w:rFonts w:ascii="Times New Roman" w:hAnsi="Times New Roman" w:cs="Times New Roman"/>
          <w:sz w:val="24"/>
        </w:rPr>
        <w:t xml:space="preserve">represent scalar aggregator functions that are non-decreasing, non-negative, linear, and homogeneous. </w:t>
      </w:r>
      <m:oMath>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it</m:t>
            </m:r>
          </m:sub>
        </m:sSub>
      </m:oMath>
      <w:r w:rsidRPr="00AE44FE">
        <w:rPr>
          <w:rFonts w:ascii="Times New Roman" w:hAnsi="Times New Roman" w:cs="Times New Roman"/>
          <w:sz w:val="24"/>
        </w:rPr>
        <w:t xml:space="preserve"> refers to the vector of </w:t>
      </w:r>
      <m:oMath>
        <m:r>
          <w:rPr>
            <w:rFonts w:ascii="Cambria Math" w:hAnsi="Cambria Math" w:cs="Times New Roman"/>
            <w:sz w:val="24"/>
          </w:rPr>
          <m:t>L</m:t>
        </m:r>
      </m:oMath>
      <w:r w:rsidRPr="00AE44FE">
        <w:rPr>
          <w:rFonts w:ascii="Times New Roman" w:hAnsi="Times New Roman" w:cs="Times New Roman"/>
          <w:sz w:val="24"/>
        </w:rPr>
        <w:t xml:space="preserve"> outputs, while </w:t>
      </w: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it</m:t>
            </m:r>
          </m:sub>
        </m:sSub>
      </m:oMath>
      <w:r w:rsidRPr="00AE44FE">
        <w:rPr>
          <w:rFonts w:ascii="Times New Roman" w:hAnsi="Times New Roman" w:cs="Times New Roman"/>
          <w:sz w:val="24"/>
        </w:rPr>
        <w:t xml:space="preserve"> represents the vector of </w:t>
      </w:r>
      <m:oMath>
        <m:r>
          <w:rPr>
            <w:rFonts w:ascii="Cambria Math" w:hAnsi="Cambria Math" w:cs="Times New Roman"/>
            <w:sz w:val="24"/>
          </w:rPr>
          <m:t>M</m:t>
        </m:r>
      </m:oMath>
      <w:r w:rsidRPr="00AE44FE">
        <w:rPr>
          <w:rFonts w:ascii="Times New Roman" w:hAnsi="Times New Roman" w:cs="Times New Roman"/>
          <w:sz w:val="24"/>
        </w:rPr>
        <w:t xml:space="preserve"> inputs. We define the output distance function specific to a given period and environment, as well as the input distance function.</w:t>
      </w:r>
    </w:p>
    <w:p w:rsidR="007E51DC" w:rsidRPr="00AE44FE" w:rsidRDefault="007E51DC" w:rsidP="007E51DC">
      <w:pPr>
        <w:spacing w:line="360" w:lineRule="auto"/>
        <w:ind w:firstLine="630"/>
        <w:jc w:val="both"/>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O</m:t>
            </m:r>
          </m:sub>
          <m:sup>
            <m:r>
              <w:rPr>
                <w:rFonts w:ascii="Cambria Math" w:hAnsi="Cambria Math" w:cs="Times New Roman"/>
                <w:sz w:val="24"/>
                <w:szCs w:val="24"/>
              </w:rPr>
              <m:t>t</m:t>
            </m:r>
          </m:sup>
        </m:sSubSup>
        <m:r>
          <w:rPr>
            <w:rFonts w:ascii="Cambria Math" w:hAnsi="Cambria Math" w:cs="Times New Roman"/>
            <w:sz w:val="24"/>
            <w:szCs w:val="24"/>
          </w:rPr>
          <m:t xml:space="preserve">(x, q, z) ≡ inf [p&gt;0: (x, q/p) </m:t>
        </m:r>
        <m:r>
          <w:rPr>
            <w:rFonts w:ascii="Cambria Math" w:hAnsi="Cambria Math" w:cs="Cambria Math"/>
            <w:sz w:val="24"/>
            <w:szCs w:val="24"/>
          </w:rPr>
          <m:t>∈</m:t>
        </m:r>
      </m:oMath>
      <w:r w:rsidRPr="00AE44FE">
        <w:rPr>
          <w:rFonts w:ascii="Times New Roman" w:hAnsi="Times New Roman" w:cs="Times New Roman"/>
          <w:sz w:val="24"/>
          <w:szCs w:val="24"/>
        </w:rPr>
        <w:t xml:space="preserve"> T</w:t>
      </w:r>
      <w:r w:rsidRPr="00AE44FE">
        <w:rPr>
          <w:rFonts w:ascii="Times New Roman" w:hAnsi="Times New Roman" w:cs="Times New Roman"/>
          <w:sz w:val="24"/>
          <w:szCs w:val="24"/>
          <w:vertAlign w:val="superscript"/>
        </w:rPr>
        <w:t>t</w:t>
      </w:r>
      <m:oMath>
        <m:r>
          <w:rPr>
            <w:rFonts w:ascii="Cambria Math" w:hAnsi="Cambria Math" w:cs="Times New Roman"/>
            <w:sz w:val="24"/>
            <w:szCs w:val="24"/>
          </w:rPr>
          <m:t>(z)]</m:t>
        </m:r>
      </m:oMath>
      <w:r w:rsidRPr="00AE44FE">
        <w:rPr>
          <w:rFonts w:ascii="Times New Roman" w:hAnsi="Times New Roman" w:cs="Times New Roman"/>
          <w:sz w:val="24"/>
          <w:szCs w:val="24"/>
        </w:rPr>
        <w:t xml:space="preserve"> and </w:t>
      </w:r>
      <w:r w:rsidRPr="00AE44FE">
        <w:rPr>
          <w:rFonts w:ascii="Times New Roman" w:hAnsi="Times New Roman" w:cs="Times New Roman"/>
          <w:sz w:val="24"/>
          <w:szCs w:val="24"/>
        </w:rPr>
        <w:tab/>
      </w:r>
      <w:r w:rsidRPr="00AE44FE">
        <w:rPr>
          <w:rFonts w:ascii="Times New Roman" w:hAnsi="Times New Roman" w:cs="Times New Roman"/>
          <w:sz w:val="24"/>
          <w:szCs w:val="24"/>
        </w:rPr>
        <w:tab/>
      </w:r>
      <w:r w:rsidRPr="00AE44FE">
        <w:rPr>
          <w:rFonts w:ascii="Times New Roman" w:hAnsi="Times New Roman" w:cs="Times New Roman"/>
          <w:sz w:val="24"/>
          <w:szCs w:val="24"/>
        </w:rPr>
        <w:tab/>
      </w:r>
      <w:r w:rsidRPr="00AE44FE">
        <w:rPr>
          <w:rFonts w:ascii="Times New Roman" w:hAnsi="Times New Roman" w:cs="Times New Roman"/>
          <w:sz w:val="24"/>
          <w:szCs w:val="24"/>
        </w:rPr>
        <w:tab/>
      </w:r>
      <w:r w:rsidRPr="00AE44FE">
        <w:rPr>
          <w:rFonts w:ascii="Times New Roman" w:hAnsi="Times New Roman" w:cs="Times New Roman"/>
          <w:sz w:val="24"/>
          <w:szCs w:val="24"/>
        </w:rPr>
        <w:tab/>
        <w:t xml:space="preserve">      (b)</w:t>
      </w:r>
    </w:p>
    <w:p w:rsidR="007E51DC" w:rsidRPr="00AE44FE" w:rsidRDefault="007E51DC" w:rsidP="007E51DC">
      <w:pPr>
        <w:spacing w:after="240" w:line="360" w:lineRule="auto"/>
        <w:ind w:firstLine="634"/>
        <w:jc w:val="both"/>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I</m:t>
            </m:r>
          </m:sub>
          <m:sup>
            <m:r>
              <w:rPr>
                <w:rFonts w:ascii="Cambria Math" w:hAnsi="Cambria Math" w:cs="Times New Roman"/>
                <w:sz w:val="24"/>
                <w:szCs w:val="24"/>
              </w:rPr>
              <m:t>t</m:t>
            </m:r>
          </m:sup>
        </m:sSubSup>
        <m:r>
          <w:rPr>
            <w:rFonts w:ascii="Cambria Math" w:hAnsi="Cambria Math" w:cs="Times New Roman"/>
            <w:sz w:val="24"/>
            <w:szCs w:val="24"/>
          </w:rPr>
          <m:t xml:space="preserve">(x, q, z) ≡ sup [θ&gt;0: (x/θ, q) </m:t>
        </m:r>
        <m:r>
          <w:rPr>
            <w:rFonts w:ascii="Cambria Math" w:hAnsi="Cambria Math" w:cs="Cambria Math"/>
            <w:sz w:val="24"/>
            <w:szCs w:val="24"/>
          </w:rPr>
          <m:t>∈</m:t>
        </m:r>
        <m:r>
          <w:rPr>
            <w:rFonts w:ascii="Cambria Math" w:hAnsi="Cambria Math" w:cs="Times New Roman"/>
            <w:sz w:val="24"/>
            <w:szCs w:val="24"/>
          </w:rPr>
          <m:t xml:space="preserve"> </m:t>
        </m:r>
      </m:oMath>
      <w:r w:rsidRPr="00AE44FE">
        <w:rPr>
          <w:rFonts w:ascii="Times New Roman" w:hAnsi="Times New Roman" w:cs="Times New Roman"/>
          <w:sz w:val="24"/>
          <w:szCs w:val="24"/>
        </w:rPr>
        <w:t>T</w:t>
      </w:r>
      <w:r w:rsidRPr="00AE44FE">
        <w:rPr>
          <w:rFonts w:ascii="Times New Roman" w:hAnsi="Times New Roman" w:cs="Times New Roman"/>
          <w:sz w:val="24"/>
          <w:szCs w:val="24"/>
          <w:vertAlign w:val="superscript"/>
        </w:rPr>
        <w:t>t</w:t>
      </w:r>
      <m:oMath>
        <m:r>
          <w:rPr>
            <w:rFonts w:ascii="Cambria Math" w:hAnsi="Cambria Math" w:cs="Times New Roman"/>
            <w:sz w:val="24"/>
            <w:szCs w:val="24"/>
          </w:rPr>
          <m:t>(z)]</m:t>
        </m:r>
      </m:oMath>
      <w:r w:rsidRPr="00AE44FE">
        <w:rPr>
          <w:rFonts w:ascii="Times New Roman" w:hAnsi="Times New Roman" w:cs="Times New Roman"/>
          <w:sz w:val="24"/>
          <w:szCs w:val="24"/>
        </w:rPr>
        <w:t xml:space="preserve"> </w:t>
      </w:r>
    </w:p>
    <w:p w:rsidR="007E51DC" w:rsidRPr="00AE44FE" w:rsidRDefault="007E51DC" w:rsidP="007E51DC">
      <w:pPr>
        <w:spacing w:after="240" w:line="360" w:lineRule="auto"/>
        <w:jc w:val="both"/>
        <w:rPr>
          <w:rFonts w:ascii="Times New Roman" w:hAnsi="Times New Roman" w:cs="Times New Roman"/>
          <w:sz w:val="24"/>
          <w:szCs w:val="24"/>
        </w:rPr>
      </w:pPr>
      <w:r w:rsidRPr="00AE44FE">
        <w:rPr>
          <w:rFonts w:ascii="Times New Roman" w:hAnsi="Times New Roman" w:cs="Times New Roman"/>
          <w:sz w:val="24"/>
          <w:szCs w:val="24"/>
        </w:rPr>
        <w:t>where T</w:t>
      </w:r>
      <w:r w:rsidRPr="00AE44FE">
        <w:rPr>
          <w:rFonts w:ascii="Times New Roman" w:hAnsi="Times New Roman" w:cs="Times New Roman"/>
          <w:sz w:val="24"/>
          <w:szCs w:val="24"/>
          <w:vertAlign w:val="superscript"/>
        </w:rPr>
        <w:t>t</w:t>
      </w:r>
      <w:r w:rsidRPr="00AE44FE">
        <w:rPr>
          <w:rFonts w:ascii="Times New Roman" w:hAnsi="Times New Roman" w:cs="Times New Roman"/>
          <w:sz w:val="24"/>
          <w:szCs w:val="24"/>
        </w:rPr>
        <w:t>(z), = [</w:t>
      </w:r>
      <m:oMath>
        <m:r>
          <w:rPr>
            <w:rFonts w:ascii="Cambria Math" w:hAnsi="Cambria Math" w:cs="Times New Roman"/>
            <w:sz w:val="24"/>
            <w:szCs w:val="24"/>
          </w:rPr>
          <m:t>(x,y)</m:t>
        </m:r>
      </m:oMath>
      <w:r w:rsidRPr="00AE44FE">
        <w:rPr>
          <w:rFonts w:ascii="Times New Roman" w:hAnsi="Times New Roman" w:cs="Times New Roman"/>
          <w:sz w:val="24"/>
          <w:szCs w:val="24"/>
        </w:rPr>
        <w:t xml:space="preserve">: input </w:t>
      </w:r>
      <m:oMath>
        <m:r>
          <w:rPr>
            <w:rFonts w:ascii="Cambria Math" w:hAnsi="Cambria Math" w:cs="Times New Roman"/>
            <w:sz w:val="24"/>
            <w:szCs w:val="24"/>
          </w:rPr>
          <m:t>x</m:t>
        </m:r>
      </m:oMath>
      <w:r w:rsidRPr="00AE44FE">
        <w:rPr>
          <w:rFonts w:ascii="Times New Roman" w:hAnsi="Times New Roman" w:cs="Times New Roman"/>
          <w:sz w:val="24"/>
          <w:szCs w:val="24"/>
        </w:rPr>
        <w:t xml:space="preserve"> can produce output </w:t>
      </w:r>
      <m:oMath>
        <m:r>
          <w:rPr>
            <w:rFonts w:ascii="Cambria Math" w:hAnsi="Cambria Math" w:cs="Times New Roman"/>
            <w:sz w:val="24"/>
            <w:szCs w:val="24"/>
          </w:rPr>
          <m:t>y</m:t>
        </m:r>
      </m:oMath>
      <w:r w:rsidRPr="00AE44FE">
        <w:rPr>
          <w:rFonts w:ascii="Times New Roman" w:hAnsi="Times New Roman" w:cs="Times New Roman"/>
          <w:sz w:val="24"/>
          <w:szCs w:val="24"/>
        </w:rPr>
        <w:t xml:space="preserve"> in period </w:t>
      </w:r>
      <m:oMath>
        <m:r>
          <w:rPr>
            <w:rFonts w:ascii="Cambria Math" w:hAnsi="Cambria Math" w:cs="Times New Roman"/>
            <w:sz w:val="24"/>
            <w:szCs w:val="24"/>
          </w:rPr>
          <m:t>t,</m:t>
        </m:r>
      </m:oMath>
      <w:r w:rsidRPr="00AE44FE">
        <w:rPr>
          <w:rFonts w:ascii="Times New Roman" w:hAnsi="Times New Roman" w:cs="Times New Roman"/>
          <w:sz w:val="24"/>
          <w:szCs w:val="24"/>
        </w:rPr>
        <w:t xml:space="preserve"> and environment </w:t>
      </w:r>
      <m:oMath>
        <m:r>
          <w:rPr>
            <w:rFonts w:ascii="Cambria Math" w:hAnsi="Cambria Math" w:cs="Times New Roman"/>
            <w:sz w:val="24"/>
            <w:szCs w:val="24"/>
          </w:rPr>
          <m:t>z</m:t>
        </m:r>
      </m:oMath>
      <w:r w:rsidRPr="00AE44FE">
        <w:rPr>
          <w:rFonts w:ascii="Times New Roman" w:hAnsi="Times New Roman" w:cs="Times New Roman"/>
          <w:sz w:val="24"/>
          <w:szCs w:val="24"/>
        </w:rPr>
        <w:t xml:space="preserve">] </w:t>
      </w:r>
      <w:r w:rsidRPr="00AE44FE">
        <w:rPr>
          <w:rFonts w:ascii="Times New Roman" w:hAnsi="Times New Roman" w:cs="Times New Roman"/>
          <w:sz w:val="24"/>
        </w:rPr>
        <w:t xml:space="preserve">represents the production possibilities set specific to a particular period and environment. In other words, this set encompasses the combinations of outputs and inputs achievable using the meta-technology for that specific period, within a production environment defined by parameter </w:t>
      </w:r>
      <m:oMath>
        <m:r>
          <w:rPr>
            <w:rFonts w:ascii="Cambria Math" w:hAnsi="Cambria Math" w:cs="Times New Roman"/>
            <w:sz w:val="24"/>
          </w:rPr>
          <m:t>z</m:t>
        </m:r>
      </m:oMath>
      <w:r w:rsidRPr="00AE44FE">
        <w:rPr>
          <w:rFonts w:ascii="Times New Roman" w:hAnsi="Times New Roman" w:cs="Times New Roman"/>
          <w:sz w:val="24"/>
        </w:rPr>
        <w:t>.</w:t>
      </w:r>
      <w:r w:rsidRPr="00AE44FE">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O</m:t>
            </m:r>
          </m:sub>
          <m:sup>
            <m:acc>
              <m:accPr>
                <m:chr m:val="̅"/>
                <m:ctrlPr>
                  <w:rPr>
                    <w:rFonts w:ascii="Cambria Math" w:hAnsi="Cambria Math" w:cs="Times New Roman"/>
                    <w:i/>
                    <w:sz w:val="24"/>
                    <w:szCs w:val="24"/>
                  </w:rPr>
                </m:ctrlPr>
              </m:accPr>
              <m:e>
                <m:r>
                  <w:rPr>
                    <w:rFonts w:ascii="Cambria Math" w:hAnsi="Cambria Math" w:cs="Times New Roman"/>
                    <w:sz w:val="24"/>
                    <w:szCs w:val="24"/>
                  </w:rPr>
                  <m:t>t</m:t>
                </m:r>
              </m:e>
            </m:acc>
          </m:sup>
        </m:sSubSup>
      </m:oMath>
      <w:r w:rsidRPr="00AE44FE">
        <w:rPr>
          <w:rFonts w:ascii="Times New Roman" w:hAnsi="Times New Roman" w:cs="Times New Roman"/>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AE44FE">
        <w:rPr>
          <w:rFonts w:ascii="Times New Roman" w:hAnsi="Times New Roman" w:cs="Times New Roman"/>
          <w:sz w:val="24"/>
          <w:szCs w:val="24"/>
        </w:rPr>
        <w:t>,q,</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z</m:t>
            </m:r>
          </m:e>
        </m:acc>
      </m:oMath>
      <w:r w:rsidRPr="00AE44FE">
        <w:rPr>
          <w:rFonts w:ascii="Times New Roman" w:hAnsi="Times New Roman" w:cs="Times New Roman"/>
          <w:sz w:val="24"/>
          <w:szCs w:val="24"/>
        </w:rPr>
        <w:t xml:space="preserve">) (resp. X(x) =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I</m:t>
            </m:r>
          </m:sub>
          <m:sup>
            <m:acc>
              <m:accPr>
                <m:chr m:val="̅"/>
                <m:ctrlPr>
                  <w:rPr>
                    <w:rFonts w:ascii="Cambria Math" w:hAnsi="Cambria Math" w:cs="Times New Roman"/>
                    <w:i/>
                    <w:sz w:val="24"/>
                    <w:szCs w:val="24"/>
                  </w:rPr>
                </m:ctrlPr>
              </m:accPr>
              <m:e>
                <m:r>
                  <w:rPr>
                    <w:rFonts w:ascii="Cambria Math" w:hAnsi="Cambria Math" w:cs="Times New Roman"/>
                    <w:sz w:val="24"/>
                    <w:szCs w:val="24"/>
                  </w:rPr>
                  <m:t>t</m:t>
                </m:r>
              </m:e>
            </m:acc>
          </m:sup>
        </m:sSubSup>
      </m:oMath>
      <w:r w:rsidRPr="00AE44FE">
        <w:rPr>
          <w:rFonts w:ascii="Times New Roman" w:hAnsi="Times New Roman" w:cs="Times New Roman"/>
          <w:sz w:val="24"/>
          <w:szCs w:val="24"/>
        </w:rPr>
        <w:t>(</w:t>
      </w:r>
      <w:r w:rsidRPr="00AE44FE">
        <w:rPr>
          <w:rFonts w:ascii="Times New Roman" w:eastAsiaTheme="minorEastAsia" w:hAnsi="Times New Roman" w:cs="Times New Roman"/>
          <w:sz w:val="24"/>
          <w:szCs w:val="24"/>
        </w:rPr>
        <w:t>x,</w:t>
      </w:r>
      <m:oMath>
        <m:acc>
          <m:accPr>
            <m:chr m:val="̅"/>
            <m:ctrlPr>
              <w:rPr>
                <w:rFonts w:ascii="Cambria Math" w:hAnsi="Cambria Math" w:cs="Times New Roman"/>
                <w:i/>
                <w:sz w:val="24"/>
                <w:szCs w:val="24"/>
              </w:rPr>
            </m:ctrlPr>
          </m:accPr>
          <m:e>
            <m:r>
              <w:rPr>
                <w:rFonts w:ascii="Cambria Math" w:hAnsi="Cambria Math" w:cs="Times New Roman"/>
                <w:sz w:val="24"/>
                <w:szCs w:val="24"/>
              </w:rPr>
              <m:t>q</m:t>
            </m:r>
          </m:e>
        </m:acc>
      </m:oMath>
      <w:r w:rsidRPr="00AE44FE">
        <w:rPr>
          <w:rFonts w:ascii="Times New Roman" w:hAnsi="Times New Roman" w:cs="Times New Roman"/>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z</m:t>
            </m:r>
          </m:e>
        </m:acc>
      </m:oMath>
      <w:r w:rsidRPr="00AE44FE">
        <w:rPr>
          <w:rFonts w:ascii="Times New Roman" w:hAnsi="Times New Roman" w:cs="Times New Roman"/>
          <w:sz w:val="24"/>
          <w:szCs w:val="24"/>
        </w:rPr>
        <w:t xml:space="preserve">), where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AE44FE">
        <w:rPr>
          <w:rFonts w:ascii="Times New Roman" w:hAnsi="Times New Roman" w:cs="Times New Roman"/>
          <w:sz w:val="24"/>
          <w:szCs w:val="24"/>
        </w:rPr>
        <w:t>,</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q</m:t>
            </m:r>
          </m:e>
        </m:acc>
      </m:oMath>
      <w:r w:rsidRPr="00AE44FE">
        <w:rPr>
          <w:rFonts w:ascii="Times New Roman" w:hAnsi="Times New Roman" w:cs="Times New Roman"/>
          <w:sz w:val="24"/>
          <w:szCs w:val="24"/>
        </w:rPr>
        <w:t xml:space="preserve">, and </w:t>
      </w:r>
      <m:oMath>
        <m:acc>
          <m:accPr>
            <m:chr m:val="̅"/>
            <m:ctrlPr>
              <w:rPr>
                <w:rFonts w:ascii="Cambria Math" w:hAnsi="Cambria Math" w:cs="Times New Roman"/>
                <w:i/>
                <w:sz w:val="24"/>
                <w:szCs w:val="24"/>
              </w:rPr>
            </m:ctrlPr>
          </m:accPr>
          <m:e>
            <m:r>
              <w:rPr>
                <w:rFonts w:ascii="Cambria Math" w:hAnsi="Cambria Math" w:cs="Times New Roman"/>
                <w:sz w:val="24"/>
                <w:szCs w:val="24"/>
              </w:rPr>
              <m:t>z</m:t>
            </m:r>
          </m:e>
        </m:acc>
      </m:oMath>
      <w:r w:rsidRPr="00AE44FE">
        <w:rPr>
          <w:rFonts w:ascii="Times New Roman" w:hAnsi="Times New Roman" w:cs="Times New Roman"/>
          <w:sz w:val="24"/>
          <w:szCs w:val="24"/>
        </w:rPr>
        <w:t xml:space="preserve"> are vectors of representative inputs, outputs, and environmental variables in the representative time period </w:t>
      </w:r>
      <m:oMath>
        <m:acc>
          <m:accPr>
            <m:chr m:val="̅"/>
            <m:ctrlPr>
              <w:rPr>
                <w:rFonts w:ascii="Cambria Math" w:hAnsi="Cambria Math" w:cs="Times New Roman"/>
                <w:i/>
                <w:sz w:val="24"/>
                <w:szCs w:val="24"/>
              </w:rPr>
            </m:ctrlPr>
          </m:accPr>
          <m:e>
            <m:r>
              <w:rPr>
                <w:rFonts w:ascii="Cambria Math" w:hAnsi="Cambria Math" w:cs="Times New Roman"/>
                <w:sz w:val="24"/>
                <w:szCs w:val="24"/>
              </w:rPr>
              <m:t>t</m:t>
            </m:r>
          </m:e>
        </m:acc>
      </m:oMath>
      <w:r w:rsidRPr="00AE44FE">
        <w:rPr>
          <w:rFonts w:ascii="Times New Roman" w:hAnsi="Times New Roman" w:cs="Times New Roman"/>
          <w:sz w:val="24"/>
          <w:szCs w:val="24"/>
        </w:rPr>
        <w:t xml:space="preserve">. Through its design, the output/input distance specific to a given period and environment exhibits two fundamental properties: it is both non-negative and linearly homogeneous concerning outputs (or inputs). The resulting index for comparing the total factor productivity (TFP) of province </w:t>
      </w:r>
      <m:oMath>
        <m:r>
          <w:rPr>
            <w:rFonts w:ascii="Cambria Math" w:hAnsi="Cambria Math" w:cs="Times New Roman"/>
            <w:sz w:val="24"/>
            <w:szCs w:val="24"/>
          </w:rPr>
          <m:t>i</m:t>
        </m:r>
      </m:oMath>
      <w:r w:rsidRPr="00AE44FE">
        <w:rPr>
          <w:rFonts w:ascii="Times New Roman" w:hAnsi="Times New Roman" w:cs="Times New Roman"/>
          <w:sz w:val="24"/>
          <w:szCs w:val="24"/>
        </w:rPr>
        <w:t xml:space="preserve"> in year </w:t>
      </w:r>
      <m:oMath>
        <m:r>
          <w:rPr>
            <w:rFonts w:ascii="Cambria Math" w:hAnsi="Cambria Math" w:cs="Times New Roman"/>
            <w:sz w:val="24"/>
            <w:szCs w:val="24"/>
          </w:rPr>
          <m:t>t</m:t>
        </m:r>
      </m:oMath>
      <w:r w:rsidRPr="00AE44FE">
        <w:rPr>
          <w:rFonts w:ascii="Times New Roman" w:hAnsi="Times New Roman" w:cs="Times New Roman"/>
          <w:sz w:val="24"/>
          <w:szCs w:val="24"/>
        </w:rPr>
        <w:t xml:space="preserve"> with that of province </w:t>
      </w:r>
      <m:oMath>
        <m:r>
          <w:rPr>
            <w:rFonts w:ascii="Cambria Math" w:hAnsi="Cambria Math" w:cs="Times New Roman"/>
            <w:sz w:val="24"/>
            <w:szCs w:val="24"/>
          </w:rPr>
          <m:t>k</m:t>
        </m:r>
      </m:oMath>
      <w:r w:rsidRPr="00AE44FE">
        <w:rPr>
          <w:rFonts w:ascii="Times New Roman" w:hAnsi="Times New Roman" w:cs="Times New Roman"/>
          <w:sz w:val="24"/>
          <w:szCs w:val="24"/>
        </w:rPr>
        <w:t xml:space="preserve"> in year </w:t>
      </w:r>
      <m:oMath>
        <m:r>
          <w:rPr>
            <w:rFonts w:ascii="Cambria Math" w:hAnsi="Cambria Math" w:cs="Times New Roman"/>
            <w:sz w:val="24"/>
            <w:szCs w:val="24"/>
          </w:rPr>
          <m:t>s</m:t>
        </m:r>
      </m:oMath>
      <w:r w:rsidRPr="00AE44FE">
        <w:rPr>
          <w:rFonts w:ascii="Times New Roman" w:hAnsi="Times New Roman" w:cs="Times New Roman"/>
          <w:sz w:val="24"/>
          <w:szCs w:val="24"/>
        </w:rPr>
        <w:t xml:space="preserve"> can be calculated as the ratio of </w:t>
      </w:r>
      <m:oMath>
        <m:r>
          <w:rPr>
            <w:rFonts w:ascii="Cambria Math" w:hAnsi="Cambria Math" w:cs="Times New Roman"/>
            <w:sz w:val="24"/>
            <w:szCs w:val="24"/>
          </w:rPr>
          <m:t>TF</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it</m:t>
            </m:r>
          </m:sub>
        </m:sSub>
      </m:oMath>
      <w:r w:rsidRPr="00AE44FE">
        <w:rPr>
          <w:rFonts w:ascii="Times New Roman" w:hAnsi="Times New Roman" w:cs="Times New Roman"/>
          <w:sz w:val="24"/>
          <w:szCs w:val="24"/>
        </w:rPr>
        <w:t xml:space="preserve"> to </w:t>
      </w:r>
      <m:oMath>
        <m:r>
          <w:rPr>
            <w:rFonts w:ascii="Cambria Math" w:hAnsi="Cambria Math" w:cs="Times New Roman"/>
            <w:sz w:val="24"/>
            <w:szCs w:val="24"/>
          </w:rPr>
          <m:t>TF</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ks</m:t>
            </m:r>
          </m:sub>
        </m:sSub>
      </m:oMath>
      <w:r w:rsidRPr="00AE44FE">
        <w:rPr>
          <w:rFonts w:ascii="Times New Roman" w:hAnsi="Times New Roman" w:cs="Times New Roman"/>
          <w:sz w:val="24"/>
          <w:szCs w:val="24"/>
        </w:rPr>
        <w:t>, expressed as:</w:t>
      </w:r>
    </w:p>
    <w:p w:rsidR="007E51DC" w:rsidRPr="00AE44FE" w:rsidRDefault="007E51DC" w:rsidP="007E51DC">
      <w:pPr>
        <w:spacing w:after="24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TFPI</m:t>
            </m:r>
          </m:e>
          <m:sub>
            <m:r>
              <w:rPr>
                <w:rFonts w:ascii="Cambria Math" w:hAnsi="Cambria Math" w:cs="Times New Roman"/>
                <w:sz w:val="24"/>
                <w:szCs w:val="24"/>
              </w:rPr>
              <m:t>ksit</m:t>
            </m:r>
          </m:sub>
        </m:sSub>
      </m:oMath>
      <w:r w:rsidRPr="00AE44FE">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O</m:t>
                </m:r>
              </m:sub>
              <m:sup>
                <m:acc>
                  <m:accPr>
                    <m:chr m:val="̅"/>
                    <m:ctrlPr>
                      <w:rPr>
                        <w:rFonts w:ascii="Cambria Math" w:hAnsi="Cambria Math" w:cs="Times New Roman"/>
                        <w:i/>
                        <w:sz w:val="24"/>
                        <w:szCs w:val="24"/>
                      </w:rPr>
                    </m:ctrlPr>
                  </m:accPr>
                  <m:e>
                    <m:r>
                      <w:rPr>
                        <w:rFonts w:ascii="Cambria Math" w:hAnsi="Cambria Math" w:cs="Times New Roman"/>
                        <w:sz w:val="24"/>
                        <w:szCs w:val="24"/>
                      </w:rPr>
                      <m:t>t</m:t>
                    </m:r>
                  </m:e>
                </m:acc>
              </m:sup>
            </m:sSubSup>
            <m:r>
              <m:rPr>
                <m:sty m:val="p"/>
              </m:rP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it</m:t>
                </m:r>
              </m:sub>
            </m:sSub>
            <m:r>
              <m:rPr>
                <m:sty m:val="p"/>
              </m:rPr>
              <w:rPr>
                <w:rFonts w:ascii="Cambria Math" w:hAnsi="Cambria Math" w:cs="Times New Roman"/>
                <w:sz w:val="24"/>
                <w:szCs w:val="24"/>
              </w:rPr>
              <m:t>,</m:t>
            </m:r>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z</m:t>
                </m:r>
              </m:e>
            </m:acc>
            <m:r>
              <m:rPr>
                <m:sty m:val="p"/>
              </m:rPr>
              <w:rPr>
                <w:rFonts w:ascii="Cambria Math" w:hAnsi="Cambria Math" w:cs="Times New Roman"/>
                <w:sz w:val="24"/>
                <w:szCs w:val="24"/>
              </w:rPr>
              <m:t xml:space="preserve">) </m:t>
            </m:r>
          </m:num>
          <m:den>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O</m:t>
                </m:r>
              </m:sub>
              <m:sup>
                <m:acc>
                  <m:accPr>
                    <m:chr m:val="̅"/>
                    <m:ctrlPr>
                      <w:rPr>
                        <w:rFonts w:ascii="Cambria Math" w:hAnsi="Cambria Math" w:cs="Times New Roman"/>
                        <w:i/>
                        <w:sz w:val="24"/>
                        <w:szCs w:val="24"/>
                      </w:rPr>
                    </m:ctrlPr>
                  </m:accPr>
                  <m:e>
                    <m:r>
                      <w:rPr>
                        <w:rFonts w:ascii="Cambria Math" w:hAnsi="Cambria Math" w:cs="Times New Roman"/>
                        <w:sz w:val="24"/>
                        <w:szCs w:val="24"/>
                      </w:rPr>
                      <m:t>t</m:t>
                    </m:r>
                  </m:e>
                </m:acc>
              </m:sup>
            </m:sSubSup>
            <m:r>
              <m:rPr>
                <m:sty m:val="p"/>
              </m:rP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ks</m:t>
                </m:r>
              </m:sub>
            </m:sSub>
            <m:r>
              <m:rPr>
                <m:sty m:val="p"/>
              </m:rPr>
              <w:rPr>
                <w:rFonts w:ascii="Cambria Math" w:hAnsi="Cambria Math" w:cs="Times New Roman"/>
                <w:sz w:val="24"/>
                <w:szCs w:val="24"/>
              </w:rPr>
              <m:t>,</m:t>
            </m:r>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z</m:t>
                </m:r>
              </m:e>
            </m:acc>
            <m:r>
              <m:rPr>
                <m:sty m:val="p"/>
              </m:rPr>
              <w:rPr>
                <w:rFonts w:ascii="Cambria Math" w:hAnsi="Cambria Math" w:cs="Times New Roman"/>
                <w:sz w:val="24"/>
                <w:szCs w:val="24"/>
              </w:rPr>
              <m:t xml:space="preserve">) </m:t>
            </m:r>
          </m:den>
        </m:f>
        <m:f>
          <m:fPr>
            <m:ctrlPr>
              <w:rPr>
                <w:rFonts w:ascii="Cambria Math" w:eastAsiaTheme="minorEastAsia"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I</m:t>
                </m:r>
              </m:sub>
              <m:sup>
                <m:acc>
                  <m:accPr>
                    <m:chr m:val="̅"/>
                    <m:ctrlPr>
                      <w:rPr>
                        <w:rFonts w:ascii="Cambria Math" w:hAnsi="Cambria Math" w:cs="Times New Roman"/>
                        <w:i/>
                        <w:sz w:val="24"/>
                        <w:szCs w:val="24"/>
                      </w:rPr>
                    </m:ctrlPr>
                  </m:accPr>
                  <m:e>
                    <m:r>
                      <w:rPr>
                        <w:rFonts w:ascii="Cambria Math" w:hAnsi="Cambria Math" w:cs="Times New Roman"/>
                        <w:sz w:val="24"/>
                        <w:szCs w:val="24"/>
                      </w:rPr>
                      <m:t>t</m:t>
                    </m:r>
                  </m:e>
                </m:acc>
              </m:sup>
            </m:sSubSup>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ks</m:t>
                </m:r>
              </m:sub>
            </m:sSub>
            <m:r>
              <m:rPr>
                <m:sty m:val="p"/>
              </m:rPr>
              <w:rPr>
                <w:rFonts w:ascii="Cambria Math" w:eastAsiaTheme="minorEastAsia"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q</m:t>
                </m:r>
              </m:e>
            </m:acc>
            <m:r>
              <m:rPr>
                <m:sty m:val="p"/>
              </m:rP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z</m:t>
                </m:r>
              </m:e>
            </m:acc>
            <m:r>
              <m:rPr>
                <m:sty m:val="p"/>
              </m:rPr>
              <w:rPr>
                <w:rFonts w:ascii="Cambria Math" w:hAnsi="Cambria Math" w:cs="Times New Roman"/>
                <w:sz w:val="24"/>
                <w:szCs w:val="24"/>
              </w:rPr>
              <m:t>)</m:t>
            </m:r>
          </m:num>
          <m:den>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I</m:t>
                </m:r>
              </m:sub>
              <m:sup>
                <m:acc>
                  <m:accPr>
                    <m:chr m:val="̅"/>
                    <m:ctrlPr>
                      <w:rPr>
                        <w:rFonts w:ascii="Cambria Math" w:hAnsi="Cambria Math" w:cs="Times New Roman"/>
                        <w:i/>
                        <w:sz w:val="24"/>
                        <w:szCs w:val="24"/>
                      </w:rPr>
                    </m:ctrlPr>
                  </m:accPr>
                  <m:e>
                    <m:r>
                      <w:rPr>
                        <w:rFonts w:ascii="Cambria Math" w:hAnsi="Cambria Math" w:cs="Times New Roman"/>
                        <w:sz w:val="24"/>
                        <w:szCs w:val="24"/>
                      </w:rPr>
                      <m:t>t</m:t>
                    </m:r>
                  </m:e>
                </m:acc>
              </m:sup>
            </m:sSubSup>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it</m:t>
                </m:r>
              </m:sub>
            </m:sSub>
            <m:r>
              <m:rPr>
                <m:sty m:val="p"/>
              </m:rPr>
              <w:rPr>
                <w:rFonts w:ascii="Cambria Math" w:eastAsiaTheme="minorEastAsia"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q</m:t>
                </m:r>
              </m:e>
            </m:acc>
            <m:r>
              <m:rPr>
                <m:sty m:val="p"/>
              </m:rP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z</m:t>
                </m:r>
              </m:e>
            </m:acc>
            <m:r>
              <m:rPr>
                <m:sty m:val="p"/>
              </m:rPr>
              <w:rPr>
                <w:rFonts w:ascii="Cambria Math" w:hAnsi="Cambria Math" w:cs="Times New Roman"/>
                <w:sz w:val="24"/>
                <w:szCs w:val="24"/>
              </w:rPr>
              <m:t>)</m:t>
            </m:r>
          </m:den>
        </m:f>
      </m:oMath>
      <w:r w:rsidRPr="00AE44FE">
        <w:rPr>
          <w:rFonts w:ascii="Times New Roman" w:eastAsiaTheme="minorEastAsia" w:hAnsi="Times New Roman" w:cs="Times New Roman"/>
          <w:sz w:val="24"/>
          <w:szCs w:val="24"/>
        </w:rPr>
        <w:tab/>
        <w:t xml:space="preserve"> </w:t>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t xml:space="preserve">       </w:t>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t xml:space="preserve">      (c)</w:t>
      </w:r>
    </w:p>
    <w:p w:rsidR="007E51DC" w:rsidRPr="00AE44FE" w:rsidRDefault="007E51DC" w:rsidP="007E51DC">
      <w:pPr>
        <w:spacing w:after="240" w:line="360" w:lineRule="auto"/>
        <w:ind w:firstLine="634"/>
        <w:jc w:val="both"/>
      </w:pPr>
      <w:r w:rsidRPr="00AE44FE">
        <w:rPr>
          <w:rFonts w:ascii="Times New Roman" w:hAnsi="Times New Roman" w:cs="Times New Roman"/>
          <w:sz w:val="24"/>
          <w:szCs w:val="24"/>
        </w:rPr>
        <w:t xml:space="preserve">In theoretical terms, as mentioned by O’Donnell </w:t>
      </w:r>
      <w:r w:rsidRPr="00AE44FE">
        <w:rPr>
          <w:rFonts w:ascii="Times New Roman" w:hAnsi="Times New Roman" w:cs="Times New Roman"/>
          <w:noProof/>
          <w:sz w:val="24"/>
          <w:szCs w:val="24"/>
        </w:rPr>
        <w:t>(2018)</w:t>
      </w:r>
      <w:r w:rsidRPr="00AE44FE">
        <w:rPr>
          <w:rFonts w:ascii="Times New Roman" w:hAnsi="Times New Roman" w:cs="Times New Roman"/>
          <w:sz w:val="24"/>
          <w:szCs w:val="24"/>
        </w:rPr>
        <w:t xml:space="preserve">, the selection of a suitable distance function can be guided by opting for the Cobb-Douglas log-distance function. This mathematical </w:t>
      </w:r>
      <w:r w:rsidRPr="00AE44FE">
        <w:rPr>
          <w:rFonts w:ascii="Times New Roman" w:hAnsi="Times New Roman" w:cs="Times New Roman"/>
          <w:sz w:val="24"/>
          <w:szCs w:val="24"/>
        </w:rPr>
        <w:lastRenderedPageBreak/>
        <w:t xml:space="preserve">model has also found application in recent empirical studies such as </w:t>
      </w:r>
      <w:r w:rsidRPr="00AE44FE">
        <w:rPr>
          <w:rFonts w:ascii="Times New Roman" w:hAnsi="Times New Roman" w:cs="Times New Roman"/>
          <w:noProof/>
          <w:sz w:val="24"/>
          <w:szCs w:val="24"/>
        </w:rPr>
        <w:t>(Njuki et al., 2018; Van et al., 2023)</w:t>
      </w:r>
      <w:r w:rsidRPr="00AE44FE">
        <w:rPr>
          <w:rFonts w:ascii="Times New Roman" w:hAnsi="Times New Roman" w:cs="Times New Roman"/>
          <w:sz w:val="24"/>
          <w:szCs w:val="24"/>
        </w:rPr>
        <w:t>:</w:t>
      </w:r>
    </w:p>
    <w:p w:rsidR="007E51DC" w:rsidRPr="00AE44FE" w:rsidRDefault="007E51DC" w:rsidP="007E51DC">
      <w:pPr>
        <w:spacing w:line="360" w:lineRule="auto"/>
        <w:ind w:firstLine="630"/>
        <w:jc w:val="both"/>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LnD</m:t>
            </m:r>
          </m:e>
          <m:sub>
            <m:r>
              <w:rPr>
                <w:rFonts w:ascii="Cambria Math" w:hAnsi="Cambria Math" w:cs="Times New Roman"/>
                <w:sz w:val="24"/>
                <w:szCs w:val="24"/>
              </w:rPr>
              <m:t>O</m:t>
            </m:r>
          </m:sub>
          <m:sup>
            <m:r>
              <w:rPr>
                <w:rFonts w:ascii="Cambria Math" w:hAnsi="Cambria Math" w:cs="Times New Roman"/>
                <w:sz w:val="24"/>
                <w:szCs w:val="24"/>
              </w:rPr>
              <m:t>t</m:t>
            </m:r>
          </m:sup>
        </m:sSubSup>
      </m:oMath>
      <w:r w:rsidRPr="00AE44FE">
        <w:rPr>
          <w:rFonts w:ascii="Times New Roman" w:eastAsiaTheme="minorEastAsia"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it</m:t>
            </m:r>
          </m:sub>
        </m:sSub>
      </m:oMath>
      <w:r w:rsidRPr="00AE44FE">
        <w:rPr>
          <w:rFonts w:ascii="Times New Roman" w:eastAsiaTheme="minorEastAsia" w:hAnsi="Times New Roman" w:cs="Times New Roman"/>
          <w:sz w:val="24"/>
          <w:szCs w:val="24"/>
        </w:rPr>
        <w:t xml:space="preserve">) = </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l=1</m:t>
            </m:r>
          </m:sub>
          <m:sup>
            <m:r>
              <w:rPr>
                <w:rFonts w:ascii="Cambria Math" w:eastAsiaTheme="minorEastAsia" w:hAnsi="Cambria Math" w:cs="Times New Roman"/>
                <w:sz w:val="24"/>
                <w:szCs w:val="24"/>
              </w:rPr>
              <m:t>L</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l</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lnq</m:t>
                </m:r>
              </m:e>
              <m:sub>
                <m:r>
                  <w:rPr>
                    <w:rFonts w:ascii="Cambria Math" w:eastAsiaTheme="minorEastAsia" w:hAnsi="Cambria Math" w:cs="Times New Roman"/>
                    <w:sz w:val="24"/>
                    <w:szCs w:val="24"/>
                  </w:rPr>
                  <m:t>ilt</m:t>
                </m:r>
              </m:sub>
            </m:sSub>
          </m:e>
        </m:nary>
      </m:oMath>
      <w:r w:rsidRPr="00AE44FE">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λt</m:t>
        </m:r>
      </m:oMath>
      <w:r w:rsidRPr="00AE44FE">
        <w:rPr>
          <w:rFonts w:ascii="Times New Roman" w:eastAsiaTheme="minorEastAsia" w:hAnsi="Times New Roman" w:cs="Times New Roman"/>
          <w:sz w:val="24"/>
          <w:szCs w:val="24"/>
        </w:rPr>
        <w:t xml:space="preserve"> </w:t>
      </w:r>
      <m:oMath>
        <m:r>
          <w:rPr>
            <w:rFonts w:ascii="Cambria Math"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J</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j</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lnz</m:t>
                </m:r>
              </m:e>
              <m:sub>
                <m:r>
                  <w:rPr>
                    <w:rFonts w:ascii="Cambria Math" w:eastAsiaTheme="minorEastAsia" w:hAnsi="Cambria Math" w:cs="Times New Roman"/>
                    <w:sz w:val="24"/>
                    <w:szCs w:val="24"/>
                  </w:rPr>
                  <m:t>ijt</m:t>
                </m:r>
              </m:sub>
            </m:sSub>
          </m:e>
        </m:nary>
        <m:r>
          <w:rPr>
            <w:rFonts w:ascii="Cambria Math" w:eastAsiaTheme="minorEastAsia" w:hAnsi="Cambria Math" w:cs="Times New Roman"/>
            <w:sz w:val="24"/>
            <w:szCs w:val="24"/>
          </w:rPr>
          <m:t>-</m:t>
        </m:r>
      </m:oMath>
      <w:r w:rsidRPr="00AE44FE">
        <w:rPr>
          <w:rFonts w:ascii="Times New Roman" w:eastAsiaTheme="minorEastAsia" w:hAnsi="Times New Roman" w:cs="Times New Roman"/>
          <w:sz w:val="24"/>
          <w:szCs w:val="24"/>
        </w:rPr>
        <w:t xml:space="preserve"> </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m=1</m:t>
            </m:r>
          </m:sub>
          <m:sup>
            <m:r>
              <w:rPr>
                <w:rFonts w:ascii="Cambria Math" w:eastAsiaTheme="minorEastAsia" w:hAnsi="Cambria Math" w:cs="Times New Roman"/>
                <w:sz w:val="24"/>
                <w:szCs w:val="24"/>
              </w:rPr>
              <m:t>M</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m</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lnx</m:t>
                </m:r>
              </m:e>
              <m:sub>
                <m:r>
                  <w:rPr>
                    <w:rFonts w:ascii="Cambria Math" w:eastAsiaTheme="minorEastAsia" w:hAnsi="Cambria Math" w:cs="Times New Roman"/>
                    <w:sz w:val="24"/>
                    <w:szCs w:val="24"/>
                  </w:rPr>
                  <m:t>imt</m:t>
                </m:r>
              </m:sub>
            </m:sSub>
          </m:e>
        </m:nary>
      </m:oMath>
      <w:r w:rsidRPr="00AE44FE">
        <w:rPr>
          <w:rFonts w:ascii="Times New Roman" w:eastAsiaTheme="minorEastAsia" w:hAnsi="Times New Roman" w:cs="Times New Roman"/>
          <w:sz w:val="24"/>
          <w:szCs w:val="24"/>
        </w:rPr>
        <w:tab/>
        <w:t xml:space="preserve">       (d)</w:t>
      </w:r>
    </w:p>
    <w:p w:rsidR="007E51DC" w:rsidRPr="00AE44FE" w:rsidRDefault="007E51DC" w:rsidP="007E51DC">
      <w:pPr>
        <w:spacing w:after="240" w:line="360" w:lineRule="auto"/>
        <w:jc w:val="both"/>
        <w:rPr>
          <w:rFonts w:ascii="Times New Roman" w:hAnsi="Times New Roman" w:cs="Times New Roman"/>
          <w:sz w:val="24"/>
          <w:szCs w:val="24"/>
        </w:rPr>
      </w:pPr>
      <w:r w:rsidRPr="00AE44FE">
        <w:rPr>
          <w:rFonts w:ascii="Times New Roman"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i</m:t>
            </m:r>
          </m:sub>
        </m:sSub>
      </m:oMath>
      <w:r w:rsidRPr="00AE44FE">
        <w:rPr>
          <w:rFonts w:ascii="Times New Roman" w:hAnsi="Times New Roman" w:cs="Times New Roman"/>
          <w:sz w:val="24"/>
          <w:szCs w:val="24"/>
        </w:rPr>
        <w:t xml:space="preserve"> represents a fixed effect that accounts for unobservable invariant factors, such as topography, </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l=1</m:t>
            </m:r>
          </m:sub>
          <m:sup>
            <m:r>
              <w:rPr>
                <w:rFonts w:ascii="Cambria Math" w:eastAsiaTheme="minorEastAsia" w:hAnsi="Cambria Math" w:cs="Times New Roman"/>
                <w:sz w:val="24"/>
                <w:szCs w:val="24"/>
              </w:rPr>
              <m:t>L</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l</m:t>
                </m:r>
              </m:sub>
            </m:sSub>
          </m:e>
        </m:nary>
      </m:oMath>
      <w:r w:rsidRPr="00AE44FE">
        <w:rPr>
          <w:rFonts w:ascii="Times New Roman" w:eastAsiaTheme="minorEastAsia" w:hAnsi="Times New Roman" w:cs="Times New Roman"/>
          <w:sz w:val="24"/>
          <w:szCs w:val="24"/>
        </w:rPr>
        <w:t xml:space="preserve"> = 1</w:t>
      </w:r>
      <w:r w:rsidRPr="00AE44FE">
        <w:rPr>
          <w:rFonts w:ascii="Times New Roman" w:hAnsi="Times New Roman" w:cs="Times New Roman"/>
          <w:sz w:val="24"/>
          <w:szCs w:val="24"/>
        </w:rPr>
        <w:t xml:space="preserve">, and </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m=1</m:t>
            </m:r>
          </m:sub>
          <m:sup>
            <m:r>
              <w:rPr>
                <w:rFonts w:ascii="Cambria Math" w:eastAsiaTheme="minorEastAsia" w:hAnsi="Cambria Math" w:cs="Times New Roman"/>
                <w:sz w:val="24"/>
                <w:szCs w:val="24"/>
              </w:rPr>
              <m:t>M</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m</m:t>
                </m:r>
              </m:sub>
            </m:sSub>
          </m:e>
        </m:nary>
      </m:oMath>
      <w:r w:rsidRPr="00AE44FE">
        <w:rPr>
          <w:rFonts w:ascii="Times New Roman" w:eastAsiaTheme="minorEastAsia" w:hAnsi="Times New Roman" w:cs="Times New Roman"/>
          <w:sz w:val="24"/>
          <w:szCs w:val="24"/>
        </w:rPr>
        <w:t xml:space="preserve"> = r</w:t>
      </w:r>
      <w:r w:rsidRPr="00AE44FE">
        <w:rPr>
          <w:rFonts w:ascii="Times New Roman" w:hAnsi="Times New Roman" w:cs="Times New Roman"/>
          <w:sz w:val="24"/>
          <w:szCs w:val="24"/>
        </w:rPr>
        <w:t xml:space="preserve">. In empirical studies where the production process has one goal, such as profit or total output, when substituting Equation (d) into (c), we have the total factor productivity index (TFPI), taking the form employed by </w:t>
      </w:r>
      <w:r w:rsidRPr="00AE44FE">
        <w:rPr>
          <w:rFonts w:ascii="Times New Roman" w:hAnsi="Times New Roman" w:cs="Times New Roman"/>
          <w:noProof/>
          <w:sz w:val="24"/>
          <w:szCs w:val="24"/>
        </w:rPr>
        <w:t>O’Donnell (2016)</w:t>
      </w:r>
      <w:r w:rsidRPr="00AE44FE">
        <w:rPr>
          <w:rFonts w:ascii="Times New Roman" w:hAnsi="Times New Roman" w:cs="Times New Roman"/>
          <w:sz w:val="24"/>
          <w:szCs w:val="24"/>
        </w:rPr>
        <w:t>:</w:t>
      </w:r>
    </w:p>
    <w:p w:rsidR="007E51DC" w:rsidRPr="00AE44FE" w:rsidRDefault="007E51DC" w:rsidP="007E51DC">
      <w:pPr>
        <w:spacing w:after="240" w:line="36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TFPI</m:t>
            </m:r>
          </m:e>
          <m:sub>
            <m:r>
              <w:rPr>
                <w:rFonts w:ascii="Cambria Math" w:hAnsi="Cambria Math" w:cs="Times New Roman"/>
                <w:sz w:val="24"/>
                <w:szCs w:val="24"/>
              </w:rPr>
              <m:t>ksit</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lit</m:t>
                </m:r>
              </m:sub>
            </m:sSub>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lks</m:t>
                </m:r>
              </m:sub>
            </m:sSub>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m=1</m:t>
            </m:r>
          </m:sub>
          <m:sup>
            <m:r>
              <w:rPr>
                <w:rFonts w:ascii="Cambria Math" w:hAnsi="Cambria Math" w:cs="Times New Roman"/>
                <w:sz w:val="24"/>
                <w:szCs w:val="24"/>
              </w:rPr>
              <m:t>M</m:t>
            </m:r>
          </m:sup>
          <m:e>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mks</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mit</m:t>
                    </m:r>
                  </m:sub>
                </m:sSub>
              </m:den>
            </m:f>
          </m:e>
        </m:nary>
        <m:sSup>
          <m:sSupPr>
            <m:ctrlPr>
              <w:rPr>
                <w:rFonts w:ascii="Cambria Math" w:hAnsi="Cambria Math" w:cs="Times New Roman"/>
                <w:i/>
                <w:sz w:val="24"/>
                <w:szCs w:val="24"/>
              </w:rPr>
            </m:ctrlPr>
          </m:sSupPr>
          <m:e>
            <m:r>
              <w:rPr>
                <w:rFonts w:ascii="Cambria Math" w:hAnsi="Cambria Math" w:cs="Times New Roman"/>
                <w:sz w:val="24"/>
                <w:szCs w:val="24"/>
              </w:rPr>
              <m:t>)</m:t>
            </m:r>
          </m:e>
          <m:sup>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m</m:t>
                    </m:r>
                  </m:sub>
                </m:sSub>
              </m:num>
              <m:den>
                <m:r>
                  <w:rPr>
                    <w:rFonts w:ascii="Cambria Math" w:hAnsi="Cambria Math" w:cs="Times New Roman"/>
                    <w:sz w:val="24"/>
                    <w:szCs w:val="24"/>
                  </w:rPr>
                  <m:t>r</m:t>
                </m:r>
              </m:den>
            </m:f>
          </m:sup>
        </m:sSup>
      </m:oMath>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t xml:space="preserve">       (e)</w:t>
      </w:r>
    </w:p>
    <w:p w:rsidR="007E51DC" w:rsidRPr="00AE44FE" w:rsidRDefault="007E51DC" w:rsidP="007E51DC">
      <w:pPr>
        <w:spacing w:line="360" w:lineRule="auto"/>
        <w:jc w:val="both"/>
        <w:rPr>
          <w:rFonts w:ascii="Times New Roman" w:hAnsi="Times New Roman" w:cs="Times New Roman"/>
          <w:sz w:val="24"/>
          <w:szCs w:val="24"/>
        </w:rPr>
      </w:pPr>
      <w:r w:rsidRPr="00AE44FE">
        <w:rPr>
          <w:rFonts w:ascii="Times New Roman" w:hAnsi="Times New Roman" w:cs="Times New Roman"/>
          <w:sz w:val="24"/>
          <w:szCs w:val="24"/>
        </w:rPr>
        <w:t xml:space="preserve">The estimation of the parameters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M</m:t>
            </m:r>
          </m:sub>
        </m:sSub>
      </m:oMath>
      <w:r w:rsidRPr="00AE44FE">
        <w:rPr>
          <w:rFonts w:ascii="Times New Roman" w:hAnsi="Times New Roman" w:cs="Times New Roman"/>
          <w:sz w:val="24"/>
          <w:szCs w:val="24"/>
        </w:rPr>
        <w:t xml:space="preserve"> in Equation (d) can be achieved through the utilization of stochastic frontier analysis (SFA) methods, as per the estimator suggested by Greene’s “true fixed effect” computation </w:t>
      </w:r>
      <w:r w:rsidRPr="00AE44FE">
        <w:rPr>
          <w:rFonts w:ascii="Times New Roman" w:hAnsi="Times New Roman" w:cs="Times New Roman"/>
          <w:noProof/>
          <w:sz w:val="24"/>
          <w:szCs w:val="24"/>
        </w:rPr>
        <w:t>(Greene, 2005a, 2005b)</w:t>
      </w:r>
      <w:r w:rsidRPr="00AE44FE">
        <w:rPr>
          <w:rFonts w:ascii="Times New Roman" w:hAnsi="Times New Roman" w:cs="Times New Roman"/>
          <w:sz w:val="24"/>
          <w:szCs w:val="24"/>
        </w:rPr>
        <w:t>. Following this method, the distance function is defined as follows:</w:t>
      </w:r>
    </w:p>
    <w:p w:rsidR="007E51DC" w:rsidRPr="00AE44FE" w:rsidRDefault="007E51DC" w:rsidP="007E51DC">
      <w:pPr>
        <w:spacing w:after="240" w:line="360" w:lineRule="auto"/>
        <w:ind w:firstLine="63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lnq</m:t>
            </m:r>
          </m:e>
          <m:sub>
            <m:r>
              <w:rPr>
                <w:rFonts w:ascii="Cambria Math" w:hAnsi="Cambria Math" w:cs="Times New Roman"/>
                <w:sz w:val="24"/>
                <w:szCs w:val="24"/>
              </w:rPr>
              <m:t>it</m:t>
            </m:r>
          </m:sub>
        </m:sSub>
      </m:oMath>
      <w:r w:rsidRPr="00AE44FE">
        <w:rPr>
          <w:rFonts w:ascii="Times New Roman" w:eastAsiaTheme="minorEastAsia" w:hAnsi="Times New Roman" w:cs="Times New Roman"/>
          <w:sz w:val="24"/>
          <w:szCs w:val="24"/>
        </w:rPr>
        <w:t xml:space="preserve"> =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λt</m:t>
        </m:r>
      </m:oMath>
      <w:r w:rsidRPr="00AE44FE">
        <w:rPr>
          <w:rFonts w:ascii="Times New Roman" w:hAnsi="Times New Roman" w:cs="Times New Roman"/>
          <w:sz w:val="24"/>
          <w:szCs w:val="24"/>
        </w:rPr>
        <w:t xml:space="preserve">  </w:t>
      </w:r>
      <m:oMath>
        <m:r>
          <w:rPr>
            <w:rFonts w:ascii="Cambria Math"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J</m:t>
                </m:r>
              </m:e>
              <m:sup>
                <m:r>
                  <w:rPr>
                    <w:rFonts w:ascii="Cambria Math" w:eastAsiaTheme="minorEastAsia" w:hAnsi="Cambria Math" w:cs="Times New Roman"/>
                    <w:sz w:val="24"/>
                    <w:szCs w:val="24"/>
                  </w:rPr>
                  <m:t>*</m:t>
                </m:r>
              </m:sup>
            </m:sSup>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j</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lnz</m:t>
                </m:r>
              </m:e>
              <m:sub>
                <m:r>
                  <w:rPr>
                    <w:rFonts w:ascii="Cambria Math" w:eastAsiaTheme="minorEastAsia" w:hAnsi="Cambria Math" w:cs="Times New Roman"/>
                    <w:sz w:val="24"/>
                    <w:szCs w:val="24"/>
                  </w:rPr>
                  <m:t>ijt</m:t>
                </m:r>
              </m:sub>
            </m:sSub>
          </m:e>
        </m:nary>
        <m:r>
          <w:rPr>
            <w:rFonts w:ascii="Cambria Math" w:eastAsiaTheme="minorEastAsia" w:hAnsi="Cambria Math" w:cs="Times New Roman"/>
            <w:sz w:val="24"/>
            <w:szCs w:val="24"/>
          </w:rPr>
          <m:t>+</m:t>
        </m:r>
      </m:oMath>
      <w:r w:rsidRPr="00AE44FE">
        <w:rPr>
          <w:rFonts w:ascii="Times New Roman" w:eastAsiaTheme="minorEastAsia" w:hAnsi="Times New Roman" w:cs="Times New Roman"/>
          <w:sz w:val="24"/>
          <w:szCs w:val="24"/>
        </w:rPr>
        <w:t xml:space="preserve"> </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m=1</m:t>
            </m:r>
          </m:sub>
          <m:sup>
            <m:r>
              <w:rPr>
                <w:rFonts w:ascii="Cambria Math" w:eastAsiaTheme="minorEastAsia" w:hAnsi="Cambria Math" w:cs="Times New Roman"/>
                <w:sz w:val="24"/>
                <w:szCs w:val="24"/>
              </w:rPr>
              <m:t>M</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m</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lnx</m:t>
                </m:r>
              </m:e>
              <m:sub>
                <m:r>
                  <w:rPr>
                    <w:rFonts w:ascii="Cambria Math" w:eastAsiaTheme="minorEastAsia" w:hAnsi="Cambria Math" w:cs="Times New Roman"/>
                    <w:sz w:val="24"/>
                    <w:szCs w:val="24"/>
                  </w:rPr>
                  <m:t>imt</m:t>
                </m:r>
              </m:sub>
            </m:sSub>
            <m:r>
              <w:rPr>
                <w:rFonts w:ascii="Cambria Math" w:eastAsiaTheme="minorEastAsia" w:hAnsi="Cambria Math" w:cs="Times New Roman"/>
                <w:sz w:val="24"/>
                <w:szCs w:val="24"/>
              </w:rPr>
              <m:t>+</m:t>
            </m:r>
          </m:e>
        </m:nary>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m:t>
        </m:r>
      </m:oMath>
      <w:r w:rsidRPr="00AE44FE">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it</m:t>
            </m:r>
          </m:sub>
        </m:sSub>
      </m:oMath>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r>
      <w:r w:rsidRPr="00AE44FE">
        <w:rPr>
          <w:rFonts w:ascii="Times New Roman" w:eastAsiaTheme="minorEastAsia" w:hAnsi="Times New Roman" w:cs="Times New Roman"/>
          <w:sz w:val="24"/>
          <w:szCs w:val="24"/>
        </w:rPr>
        <w:tab/>
        <w:t xml:space="preserve">     (f)</w:t>
      </w:r>
    </w:p>
    <w:p w:rsidR="007E51DC" w:rsidRPr="00AE44FE" w:rsidRDefault="007E51DC" w:rsidP="007E51DC">
      <w:pPr>
        <w:spacing w:line="360" w:lineRule="auto"/>
        <w:jc w:val="both"/>
        <w:rPr>
          <w:rFonts w:ascii="Times New Roman" w:hAnsi="Times New Roman" w:cs="Times New Roman"/>
          <w:sz w:val="24"/>
          <w:szCs w:val="24"/>
        </w:rPr>
      </w:pPr>
      <w:r w:rsidRPr="00AE44FE">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it</m:t>
            </m:r>
          </m:sub>
        </m:sSub>
        <m:r>
          <w:rPr>
            <w:rFonts w:ascii="Cambria Math" w:hAnsi="Cambria Math" w:cs="Times New Roman"/>
            <w:sz w:val="24"/>
            <w:szCs w:val="24"/>
          </w:rPr>
          <m:t>,</m:t>
        </m:r>
      </m:oMath>
      <w:r w:rsidRPr="00AE44FE">
        <w:rPr>
          <w:rFonts w:ascii="Times New Roman" w:hAnsi="Times New Roman" w:cs="Times New Roman"/>
          <w:sz w:val="24"/>
          <w:szCs w:val="24"/>
        </w:rPr>
        <w:t xml:space="preserve"> = </w:t>
      </w:r>
      <m:oMath>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LnD</m:t>
            </m:r>
          </m:e>
          <m:sub>
            <m:r>
              <w:rPr>
                <w:rFonts w:ascii="Cambria Math" w:hAnsi="Cambria Math" w:cs="Times New Roman"/>
                <w:sz w:val="24"/>
                <w:szCs w:val="24"/>
              </w:rPr>
              <m:t>O</m:t>
            </m:r>
          </m:sub>
          <m:sup>
            <m:r>
              <w:rPr>
                <w:rFonts w:ascii="Cambria Math" w:hAnsi="Cambria Math" w:cs="Times New Roman"/>
                <w:sz w:val="24"/>
                <w:szCs w:val="24"/>
              </w:rPr>
              <m:t>t</m:t>
            </m:r>
          </m:sup>
        </m:sSubSup>
      </m:oMath>
      <w:r w:rsidRPr="00AE44FE">
        <w:rPr>
          <w:rFonts w:ascii="Times New Roman" w:eastAsiaTheme="minorEastAsia"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it</m:t>
            </m:r>
          </m:sub>
        </m:sSub>
      </m:oMath>
      <w:r w:rsidRPr="00AE44FE">
        <w:rPr>
          <w:rFonts w:ascii="Times New Roman" w:eastAsiaTheme="minorEastAsia" w:hAnsi="Times New Roman" w:cs="Times New Roman"/>
          <w:sz w:val="24"/>
          <w:szCs w:val="24"/>
        </w:rPr>
        <w:t>)</w:t>
      </w:r>
      <w:r w:rsidRPr="00AE44FE">
        <w:rPr>
          <w:rFonts w:ascii="Times New Roman" w:hAnsi="Times New Roman" w:cs="Times New Roman"/>
          <w:sz w:val="24"/>
          <w:szCs w:val="24"/>
        </w:rPr>
        <w:t xml:space="preserve"> is commonly known as a non-negative technical efficiency </w:t>
      </w:r>
      <w:r w:rsidRPr="00AE44FE">
        <w:rPr>
          <w:rFonts w:ascii="Times New Roman" w:hAnsi="Times New Roman" w:cs="Times New Roman"/>
          <w:noProof/>
          <w:sz w:val="24"/>
          <w:szCs w:val="24"/>
        </w:rPr>
        <w:t>(Farrell, 1957)</w:t>
      </w:r>
      <w:r w:rsidRPr="00AE44FE">
        <w:rPr>
          <w:rFonts w:ascii="Times New Roman" w:hAnsi="Times New Roman" w:cs="Times New Roman"/>
          <w:sz w:val="24"/>
          <w:szCs w:val="24"/>
        </w:rPr>
        <w:t xml:space="preserve">. Economically, it reflects the learning-by-doing ability of provinces/cities in sharing their achievements with each other. The error component denoted as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it</m:t>
            </m:r>
          </m:sub>
        </m:sSub>
      </m:oMath>
      <w:r w:rsidRPr="00AE44FE">
        <w:rPr>
          <w:rFonts w:ascii="Times New Roman" w:hAnsi="Times New Roman" w:cs="Times New Roman"/>
          <w:sz w:val="24"/>
          <w:szCs w:val="24"/>
        </w:rPr>
        <w:t xml:space="preserve"> accommodates functional error (which may arise from the distance function deviating from the Cobb-Douglas form) and unobservable variables. </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m=1</m:t>
            </m:r>
          </m:sub>
          <m:sup>
            <m:r>
              <w:rPr>
                <w:rFonts w:ascii="Cambria Math" w:eastAsiaTheme="minorEastAsia" w:hAnsi="Cambria Math" w:cs="Times New Roman"/>
                <w:sz w:val="24"/>
                <w:szCs w:val="24"/>
              </w:rPr>
              <m:t>M</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lnx</m:t>
                </m:r>
              </m:e>
              <m:sub>
                <m:r>
                  <w:rPr>
                    <w:rFonts w:ascii="Cambria Math" w:eastAsiaTheme="minorEastAsia" w:hAnsi="Cambria Math" w:cs="Times New Roman"/>
                    <w:sz w:val="24"/>
                    <w:szCs w:val="24"/>
                  </w:rPr>
                  <m:t>imt</m:t>
                </m:r>
              </m:sub>
            </m:sSub>
          </m:e>
        </m:nary>
      </m:oMath>
      <w:r w:rsidRPr="00AE44FE">
        <w:rPr>
          <w:rFonts w:ascii="Times New Roman" w:hAnsi="Times New Roman" w:cs="Times New Roman"/>
          <w:sz w:val="24"/>
          <w:szCs w:val="24"/>
        </w:rPr>
        <w:t xml:space="preserve"> and </w:t>
      </w: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J</m:t>
                </m:r>
              </m:e>
              <m:sup>
                <m:r>
                  <w:rPr>
                    <w:rFonts w:ascii="Cambria Math" w:eastAsiaTheme="minorEastAsia" w:hAnsi="Cambria Math" w:cs="Times New Roman"/>
                    <w:sz w:val="24"/>
                    <w:szCs w:val="24"/>
                  </w:rPr>
                  <m:t>*</m:t>
                </m:r>
              </m:sup>
            </m:sSup>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lnz</m:t>
                </m:r>
              </m:e>
              <m:sub>
                <m:r>
                  <w:rPr>
                    <w:rFonts w:ascii="Cambria Math" w:eastAsiaTheme="minorEastAsia" w:hAnsi="Cambria Math" w:cs="Times New Roman"/>
                    <w:sz w:val="24"/>
                    <w:szCs w:val="24"/>
                  </w:rPr>
                  <m:t>ijt</m:t>
                </m:r>
              </m:sub>
            </m:sSub>
          </m:e>
        </m:nary>
      </m:oMath>
      <w:r w:rsidRPr="00AE44FE">
        <w:rPr>
          <w:rFonts w:ascii="Times New Roman" w:hAnsi="Times New Roman" w:cs="Times New Roman"/>
          <w:sz w:val="24"/>
          <w:szCs w:val="24"/>
        </w:rPr>
        <w:t xml:space="preserve"> denote conventional input variables and environmental factors, respectively, while </w:t>
      </w:r>
      <m:oMath>
        <m:r>
          <w:rPr>
            <w:rFonts w:ascii="Cambria Math" w:hAnsi="Cambria Math" w:cs="Times New Roman"/>
            <w:sz w:val="24"/>
            <w:szCs w:val="24"/>
          </w:rPr>
          <m:t>λ</m:t>
        </m:r>
      </m:oMath>
      <w:r w:rsidRPr="00AE44FE">
        <w:rPr>
          <w:rFonts w:ascii="Times New Roman" w:hAnsi="Times New Roman" w:cs="Times New Roman"/>
          <w:sz w:val="24"/>
          <w:szCs w:val="24"/>
        </w:rPr>
        <w:t xml:space="preserve"> represents a binary variable that facilitates the assessment of the pace of technological advancement. Consequently Equation (f), offers a means of decomposing total factor productivity changes into components attributable to (i) technological advancement, (ii) environmental shifts, (iii) and change in efficiency (see Table [1]), or</w:t>
      </w:r>
    </w:p>
    <w:p w:rsidR="007E51DC" w:rsidRPr="00AE44FE" w:rsidRDefault="007E51DC" w:rsidP="007E51DC">
      <w:pPr>
        <w:spacing w:line="360" w:lineRule="auto"/>
        <w:ind w:firstLine="630"/>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TFPI</m:t>
            </m:r>
          </m:e>
          <m:sub>
            <m:r>
              <w:rPr>
                <w:rFonts w:ascii="Cambria Math" w:hAnsi="Cambria Math" w:cs="Times New Roman"/>
                <w:sz w:val="24"/>
                <w:szCs w:val="24"/>
              </w:rPr>
              <m:t>ksit</m:t>
            </m:r>
          </m:sub>
        </m:sSub>
        <m:r>
          <w:rPr>
            <w:rFonts w:ascii="Cambria Math" w:hAnsi="Cambria Math" w:cs="Times New Roman"/>
            <w:sz w:val="24"/>
            <w:szCs w:val="24"/>
          </w:rPr>
          <m:t xml:space="preserve">= </m:t>
        </m:r>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f>
                  <m:fPr>
                    <m:ctrlPr>
                      <w:rPr>
                        <w:rFonts w:ascii="Cambria Math" w:hAnsi="Cambria Math" w:cs="Times New Roman"/>
                        <w:sz w:val="24"/>
                        <w:szCs w:val="24"/>
                      </w:rPr>
                    </m:ctrlPr>
                  </m:fPr>
                  <m:num>
                    <m:r>
                      <m:rPr>
                        <m:sty m:val="p"/>
                      </m:rPr>
                      <w:rPr>
                        <w:rFonts w:ascii="Cambria Math" w:hAnsi="Cambria Math" w:cs="Times New Roman"/>
                        <w:sz w:val="24"/>
                        <w:szCs w:val="24"/>
                      </w:rPr>
                      <m:t>exp⁡</m:t>
                    </m:r>
                    <m:r>
                      <w:rPr>
                        <w:rFonts w:ascii="Cambria Math" w:hAnsi="Cambria Math" w:cs="Times New Roman"/>
                        <w:sz w:val="24"/>
                        <w:szCs w:val="24"/>
                      </w:rPr>
                      <m:t>(λt)</m:t>
                    </m:r>
                  </m:num>
                  <m:den>
                    <m:r>
                      <m:rPr>
                        <m:sty m:val="p"/>
                      </m:rPr>
                      <w:rPr>
                        <w:rFonts w:ascii="Cambria Math" w:hAnsi="Cambria Math" w:cs="Times New Roman"/>
                        <w:sz w:val="24"/>
                        <w:szCs w:val="24"/>
                      </w:rPr>
                      <m:t>exp⁡</m:t>
                    </m:r>
                    <m:r>
                      <w:rPr>
                        <w:rFonts w:ascii="Cambria Math" w:hAnsi="Cambria Math" w:cs="Times New Roman"/>
                        <w:sz w:val="24"/>
                        <w:szCs w:val="24"/>
                      </w:rPr>
                      <m:t>(λs)</m:t>
                    </m:r>
                  </m:den>
                </m:f>
              </m:e>
            </m:groupChr>
          </m:e>
          <m:lim>
            <m:r>
              <w:rPr>
                <w:rFonts w:ascii="Cambria Math" w:hAnsi="Cambria Math" w:cs="Times New Roman"/>
                <w:sz w:val="24"/>
                <w:szCs w:val="24"/>
              </w:rPr>
              <m:t>OTI</m:t>
            </m:r>
          </m:lim>
        </m:limLow>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exp⁡</m:t>
                        </m:r>
                        <m:r>
                          <w:rPr>
                            <w:rFonts w:ascii="Cambria Math" w:hAnsi="Cambria Math" w:cs="Times New Roman"/>
                            <w:sz w:val="24"/>
                            <w:szCs w:val="24"/>
                          </w:rPr>
                          <m:t>(∅</m:t>
                        </m:r>
                      </m:e>
                      <m:sub>
                        <m:r>
                          <w:rPr>
                            <w:rFonts w:ascii="Cambria Math" w:hAnsi="Cambria Math" w:cs="Times New Roman"/>
                            <w:sz w:val="24"/>
                            <w:szCs w:val="24"/>
                          </w:rPr>
                          <m:t>i</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m:rPr>
                            <m:sty m:val="p"/>
                          </m:rPr>
                          <w:rPr>
                            <w:rFonts w:ascii="Cambria Math" w:hAnsi="Cambria Math" w:cs="Times New Roman"/>
                            <w:sz w:val="24"/>
                            <w:szCs w:val="24"/>
                          </w:rPr>
                          <m:t>exp⁡</m:t>
                        </m:r>
                        <m:r>
                          <w:rPr>
                            <w:rFonts w:ascii="Cambria Math" w:hAnsi="Cambria Math" w:cs="Times New Roman"/>
                            <w:sz w:val="24"/>
                            <w:szCs w:val="24"/>
                          </w:rPr>
                          <m:t>(∅</m:t>
                        </m:r>
                      </m:e>
                      <m:sub>
                        <m:r>
                          <w:rPr>
                            <w:rFonts w:ascii="Cambria Math" w:hAnsi="Cambria Math" w:cs="Times New Roman"/>
                            <w:sz w:val="24"/>
                            <w:szCs w:val="24"/>
                          </w:rPr>
                          <m:t>k</m:t>
                        </m:r>
                      </m:sub>
                    </m:sSub>
                    <m:r>
                      <w:rPr>
                        <w:rFonts w:ascii="Cambria Math" w:hAnsi="Cambria Math" w:cs="Times New Roman"/>
                        <w:sz w:val="24"/>
                        <w:szCs w:val="24"/>
                      </w:rPr>
                      <m:t>)</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sSup>
                      <m:sSupPr>
                        <m:ctrlPr>
                          <w:rPr>
                            <w:rFonts w:ascii="Cambria Math" w:hAnsi="Cambria Math" w:cs="Times New Roman"/>
                            <w:i/>
                            <w:sz w:val="24"/>
                            <w:szCs w:val="24"/>
                          </w:rPr>
                        </m:ctrlPr>
                      </m:sSupPr>
                      <m:e>
                        <m:r>
                          <w:rPr>
                            <w:rFonts w:ascii="Cambria Math" w:hAnsi="Cambria Math" w:cs="Times New Roman"/>
                            <w:sz w:val="24"/>
                            <w:szCs w:val="24"/>
                          </w:rPr>
                          <m:t>J</m:t>
                        </m:r>
                      </m:e>
                      <m:sup>
                        <m:r>
                          <w:rPr>
                            <w:rFonts w:ascii="Cambria Math" w:hAnsi="Cambria Math" w:cs="Times New Roman"/>
                            <w:sz w:val="24"/>
                            <w:szCs w:val="24"/>
                          </w:rPr>
                          <m:t>*</m:t>
                        </m:r>
                      </m:sup>
                    </m:sSup>
                  </m:sup>
                  <m:e>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jit</m:t>
                            </m:r>
                          </m:sub>
                        </m:sSub>
                      </m:num>
                      <m:den>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jks</m:t>
                            </m:r>
                          </m:sub>
                        </m:sSub>
                      </m:den>
                    </m:f>
                  </m:e>
                </m:nary>
                <m:sSup>
                  <m:sSupPr>
                    <m:ctrlPr>
                      <w:rPr>
                        <w:rFonts w:ascii="Cambria Math" w:hAnsi="Cambria Math" w:cs="Times New Roman"/>
                        <w:i/>
                        <w:sz w:val="24"/>
                        <w:szCs w:val="24"/>
                      </w:rPr>
                    </m:ctrlPr>
                  </m:sSupPr>
                  <m:e>
                    <m: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j</m:t>
                        </m:r>
                      </m:sub>
                    </m:sSub>
                  </m:sup>
                </m:sSup>
              </m:e>
            </m:groupChr>
          </m:e>
          <m:lim>
            <m:r>
              <w:rPr>
                <w:rFonts w:ascii="Cambria Math" w:hAnsi="Cambria Math" w:cs="Times New Roman"/>
                <w:sz w:val="24"/>
                <w:szCs w:val="24"/>
              </w:rPr>
              <m:t>OEI</m:t>
            </m:r>
          </m:lim>
        </m:limLow>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m=1</m:t>
                    </m:r>
                  </m:sub>
                  <m:sup>
                    <m:r>
                      <w:rPr>
                        <w:rFonts w:ascii="Cambria Math" w:hAnsi="Cambria Math" w:cs="Times New Roman"/>
                        <w:sz w:val="24"/>
                        <w:szCs w:val="24"/>
                      </w:rPr>
                      <m:t>M</m:t>
                    </m:r>
                  </m:sup>
                  <m:e>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mit</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mks</m:t>
                            </m:r>
                          </m:sub>
                        </m:sSub>
                      </m:den>
                    </m:f>
                  </m:e>
                </m:nary>
                <m:sSup>
                  <m:sSupPr>
                    <m:ctrlPr>
                      <w:rPr>
                        <w:rFonts w:ascii="Cambria Math" w:hAnsi="Cambria Math" w:cs="Times New Roman"/>
                        <w:i/>
                        <w:sz w:val="24"/>
                        <w:szCs w:val="24"/>
                      </w:rPr>
                    </m:ctrlPr>
                  </m:sSupPr>
                  <m:e>
                    <m: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m</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r-1</m:t>
                        </m:r>
                      </m:num>
                      <m:den>
                        <m:r>
                          <w:rPr>
                            <w:rFonts w:ascii="Cambria Math" w:hAnsi="Cambria Math" w:cs="Times New Roman"/>
                            <w:sz w:val="24"/>
                            <w:szCs w:val="24"/>
                          </w:rPr>
                          <m:t>r</m:t>
                        </m:r>
                      </m:den>
                    </m:f>
                    <m:r>
                      <w:rPr>
                        <w:rFonts w:ascii="Cambria Math" w:hAnsi="Cambria Math" w:cs="Times New Roman"/>
                        <w:sz w:val="24"/>
                        <w:szCs w:val="24"/>
                      </w:rPr>
                      <m:t>)</m:t>
                    </m:r>
                  </m:sup>
                </m:sSup>
              </m:e>
            </m:groupChr>
          </m:e>
          <m:lim>
            <m:r>
              <w:rPr>
                <w:rFonts w:ascii="Cambria Math" w:hAnsi="Cambria Math" w:cs="Times New Roman"/>
                <w:sz w:val="24"/>
                <w:szCs w:val="24"/>
              </w:rPr>
              <m:t>OSEI</m:t>
            </m:r>
          </m:lim>
        </m:limLow>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f>
                  <m:fPr>
                    <m:ctrlPr>
                      <w:rPr>
                        <w:rFonts w:ascii="Cambria Math" w:hAnsi="Cambria Math" w:cs="Times New Roman"/>
                        <w:i/>
                        <w:sz w:val="24"/>
                        <w:szCs w:val="24"/>
                      </w:rPr>
                    </m:ctrlPr>
                  </m:fPr>
                  <m:num>
                    <m:r>
                      <m:rPr>
                        <m:sty m:val="p"/>
                      </m:rPr>
                      <w:rPr>
                        <w:rFonts w:ascii="Cambria Math" w:hAnsi="Cambria Math" w:cs="Times New Roman"/>
                        <w:sz w:val="24"/>
                        <w:szCs w:val="24"/>
                      </w:rPr>
                      <m:t>exp⁡</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it</m:t>
                        </m:r>
                      </m:sub>
                    </m:sSub>
                    <m:r>
                      <w:rPr>
                        <w:rFonts w:ascii="Cambria Math" w:hAnsi="Cambria Math" w:cs="Times New Roman"/>
                        <w:sz w:val="24"/>
                        <w:szCs w:val="24"/>
                      </w:rPr>
                      <m:t>)</m:t>
                    </m:r>
                  </m:num>
                  <m:den>
                    <m:r>
                      <m:rPr>
                        <m:sty m:val="p"/>
                      </m:rPr>
                      <w:rPr>
                        <w:rFonts w:ascii="Cambria Math" w:hAnsi="Cambria Math" w:cs="Times New Roman"/>
                        <w:sz w:val="24"/>
                        <w:szCs w:val="24"/>
                      </w:rPr>
                      <m:t>exp⁡</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ks</m:t>
                        </m:r>
                      </m:sub>
                    </m:sSub>
                    <m:r>
                      <w:rPr>
                        <w:rFonts w:ascii="Cambria Math" w:hAnsi="Cambria Math" w:cs="Times New Roman"/>
                        <w:sz w:val="24"/>
                        <w:szCs w:val="24"/>
                      </w:rPr>
                      <m:t>)</m:t>
                    </m:r>
                  </m:den>
                </m:f>
              </m:e>
            </m:groupChr>
          </m:e>
          <m:lim>
            <m:r>
              <w:rPr>
                <w:rFonts w:ascii="Cambria Math" w:hAnsi="Cambria Math" w:cs="Times New Roman"/>
                <w:sz w:val="24"/>
                <w:szCs w:val="24"/>
              </w:rPr>
              <m:t>OTE</m:t>
            </m:r>
          </m:lim>
        </m:limLow>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f>
                  <m:fPr>
                    <m:ctrlPr>
                      <w:rPr>
                        <w:rFonts w:ascii="Cambria Math" w:hAnsi="Cambria Math" w:cs="Times New Roman"/>
                        <w:i/>
                        <w:sz w:val="24"/>
                        <w:szCs w:val="24"/>
                      </w:rPr>
                    </m:ctrlPr>
                  </m:fPr>
                  <m:num>
                    <m:r>
                      <m:rPr>
                        <m:sty m:val="p"/>
                      </m:rPr>
                      <w:rPr>
                        <w:rFonts w:ascii="Cambria Math" w:hAnsi="Cambria Math" w:cs="Times New Roman"/>
                        <w:sz w:val="24"/>
                        <w:szCs w:val="24"/>
                      </w:rPr>
                      <m:t>exp⁡</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it</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m:rPr>
                            <m:sty m:val="p"/>
                          </m:rPr>
                          <w:rPr>
                            <w:rFonts w:ascii="Cambria Math" w:hAnsi="Cambria Math" w:cs="Times New Roman"/>
                            <w:sz w:val="24"/>
                            <w:szCs w:val="24"/>
                          </w:rPr>
                          <m:t>exp⁡</m:t>
                        </m:r>
                        <m:r>
                          <w:rPr>
                            <w:rFonts w:ascii="Cambria Math" w:hAnsi="Cambria Math" w:cs="Times New Roman"/>
                            <w:sz w:val="24"/>
                            <w:szCs w:val="24"/>
                          </w:rPr>
                          <m:t>(v</m:t>
                        </m:r>
                      </m:e>
                      <m:sub>
                        <m:r>
                          <w:rPr>
                            <w:rFonts w:ascii="Cambria Math" w:hAnsi="Cambria Math" w:cs="Times New Roman"/>
                            <w:sz w:val="24"/>
                            <w:szCs w:val="24"/>
                          </w:rPr>
                          <m:t>ks</m:t>
                        </m:r>
                      </m:sub>
                    </m:sSub>
                    <m:r>
                      <w:rPr>
                        <w:rFonts w:ascii="Cambria Math" w:hAnsi="Cambria Math" w:cs="Times New Roman"/>
                        <w:sz w:val="24"/>
                        <w:szCs w:val="24"/>
                      </w:rPr>
                      <m:t>)</m:t>
                    </m:r>
                  </m:den>
                </m:f>
              </m:e>
            </m:groupChr>
          </m:e>
          <m:lim>
            <m:r>
              <w:rPr>
                <w:rFonts w:ascii="Cambria Math" w:hAnsi="Cambria Math" w:cs="Times New Roman"/>
                <w:sz w:val="24"/>
                <w:szCs w:val="24"/>
              </w:rPr>
              <m:t>SNI</m:t>
            </m:r>
          </m:lim>
        </m:limLow>
      </m:oMath>
      <w:r w:rsidRPr="00AE44FE">
        <w:rPr>
          <w:rFonts w:ascii="Times New Roman" w:eastAsiaTheme="minorEastAsia" w:hAnsi="Times New Roman" w:cs="Times New Roman"/>
          <w:sz w:val="24"/>
          <w:szCs w:val="24"/>
        </w:rPr>
        <w:tab/>
        <w:t xml:space="preserve">     (g)</w:t>
      </w:r>
    </w:p>
    <w:p w:rsidR="007E51DC" w:rsidRDefault="007E51DC" w:rsidP="007E51DC">
      <w:pPr>
        <w:pStyle w:val="Caption"/>
        <w:rPr>
          <w:rFonts w:ascii="Times New Roman" w:hAnsi="Times New Roman" w:cs="Times New Roman"/>
          <w:b/>
          <w:i w:val="0"/>
          <w:color w:val="000000" w:themeColor="text1"/>
          <w:sz w:val="20"/>
        </w:rPr>
      </w:pPr>
      <w:bookmarkStart w:id="0" w:name="OLE_LINK44"/>
      <w:bookmarkStart w:id="1" w:name="OLE_LINK45"/>
    </w:p>
    <w:p w:rsidR="007E51DC" w:rsidRPr="00AE44FE" w:rsidRDefault="007E51DC" w:rsidP="007E51DC">
      <w:pPr>
        <w:pStyle w:val="Caption"/>
        <w:rPr>
          <w:rFonts w:ascii="Times New Roman" w:hAnsi="Times New Roman" w:cs="Times New Roman"/>
          <w:b/>
          <w:i w:val="0"/>
          <w:color w:val="000000" w:themeColor="text1"/>
          <w:sz w:val="28"/>
          <w:szCs w:val="24"/>
        </w:rPr>
      </w:pPr>
      <w:r>
        <w:rPr>
          <w:rFonts w:ascii="Times New Roman" w:hAnsi="Times New Roman" w:cs="Times New Roman"/>
          <w:b/>
          <w:i w:val="0"/>
          <w:color w:val="000000" w:themeColor="text1"/>
          <w:sz w:val="20"/>
        </w:rPr>
        <w:lastRenderedPageBreak/>
        <w:t>Appendix</w:t>
      </w:r>
      <w:r w:rsidRPr="00AE44FE">
        <w:rPr>
          <w:rFonts w:ascii="Times New Roman" w:hAnsi="Times New Roman" w:cs="Times New Roman"/>
          <w:b/>
          <w:i w:val="0"/>
          <w:color w:val="000000" w:themeColor="text1"/>
          <w:sz w:val="20"/>
        </w:rPr>
        <w:t xml:space="preserve"> </w:t>
      </w:r>
      <w:r w:rsidRPr="00AE44FE">
        <w:rPr>
          <w:rFonts w:ascii="Times New Roman" w:hAnsi="Times New Roman" w:cs="Times New Roman"/>
          <w:b/>
          <w:i w:val="0"/>
          <w:noProof/>
          <w:color w:val="000000" w:themeColor="text1"/>
          <w:sz w:val="20"/>
        </w:rPr>
        <w:t>2</w:t>
      </w:r>
      <w:r w:rsidRPr="00AE44FE">
        <w:rPr>
          <w:rFonts w:ascii="Times New Roman" w:hAnsi="Times New Roman" w:cs="Times New Roman"/>
          <w:b/>
          <w:i w:val="0"/>
          <w:color w:val="000000" w:themeColor="text1"/>
          <w:sz w:val="20"/>
        </w:rPr>
        <w:t>. Descriptive statistic: Variables, Units, and References</w:t>
      </w:r>
    </w:p>
    <w:tbl>
      <w:tblPr>
        <w:tblW w:w="10186" w:type="dxa"/>
        <w:tblInd w:w="-450" w:type="dxa"/>
        <w:tblLook w:val="04A0" w:firstRow="1" w:lastRow="0" w:firstColumn="1" w:lastColumn="0" w:noHBand="0" w:noVBand="1"/>
      </w:tblPr>
      <w:tblGrid>
        <w:gridCol w:w="2520"/>
        <w:gridCol w:w="1250"/>
        <w:gridCol w:w="1703"/>
        <w:gridCol w:w="805"/>
        <w:gridCol w:w="766"/>
        <w:gridCol w:w="805"/>
        <w:gridCol w:w="766"/>
        <w:gridCol w:w="805"/>
        <w:gridCol w:w="766"/>
      </w:tblGrid>
      <w:tr w:rsidR="007E51DC" w:rsidRPr="00AE44FE" w:rsidTr="00456AEA">
        <w:trPr>
          <w:trHeight w:val="290"/>
        </w:trPr>
        <w:tc>
          <w:tcPr>
            <w:tcW w:w="2520" w:type="dxa"/>
            <w:tcBorders>
              <w:top w:val="single" w:sz="4" w:space="0" w:color="auto"/>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 </w:t>
            </w:r>
          </w:p>
        </w:tc>
        <w:tc>
          <w:tcPr>
            <w:tcW w:w="0" w:type="auto"/>
            <w:tcBorders>
              <w:top w:val="single" w:sz="4" w:space="0" w:color="auto"/>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single" w:sz="4" w:space="0" w:color="auto"/>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gridSpan w:val="2"/>
            <w:tcBorders>
              <w:top w:val="single" w:sz="4" w:space="0" w:color="auto"/>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2012</w:t>
            </w:r>
          </w:p>
        </w:tc>
        <w:tc>
          <w:tcPr>
            <w:tcW w:w="0" w:type="auto"/>
            <w:gridSpan w:val="2"/>
            <w:tcBorders>
              <w:top w:val="single" w:sz="4" w:space="0" w:color="auto"/>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2016</w:t>
            </w:r>
          </w:p>
        </w:tc>
        <w:tc>
          <w:tcPr>
            <w:tcW w:w="0" w:type="auto"/>
            <w:gridSpan w:val="2"/>
            <w:tcBorders>
              <w:top w:val="single" w:sz="4" w:space="0" w:color="auto"/>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2019</w:t>
            </w:r>
          </w:p>
        </w:tc>
      </w:tr>
      <w:tr w:rsidR="007E51DC" w:rsidRPr="00AE44FE" w:rsidTr="00456AEA">
        <w:trPr>
          <w:trHeight w:val="290"/>
        </w:trPr>
        <w:tc>
          <w:tcPr>
            <w:tcW w:w="2520" w:type="dxa"/>
            <w:tcBorders>
              <w:top w:val="nil"/>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Units</w:t>
            </w:r>
          </w:p>
        </w:tc>
        <w:tc>
          <w:tcPr>
            <w:tcW w:w="0" w:type="auto"/>
            <w:tcBorders>
              <w:top w:val="nil"/>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References</w:t>
            </w:r>
          </w:p>
        </w:tc>
        <w:tc>
          <w:tcPr>
            <w:tcW w:w="0" w:type="auto"/>
            <w:tcBorders>
              <w:top w:val="nil"/>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MEAN</w:t>
            </w:r>
          </w:p>
        </w:tc>
        <w:tc>
          <w:tcPr>
            <w:tcW w:w="0" w:type="auto"/>
            <w:tcBorders>
              <w:top w:val="nil"/>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SD</w:t>
            </w:r>
          </w:p>
        </w:tc>
        <w:tc>
          <w:tcPr>
            <w:tcW w:w="0" w:type="auto"/>
            <w:tcBorders>
              <w:top w:val="nil"/>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MEAN</w:t>
            </w:r>
          </w:p>
        </w:tc>
        <w:tc>
          <w:tcPr>
            <w:tcW w:w="0" w:type="auto"/>
            <w:tcBorders>
              <w:top w:val="nil"/>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SD</w:t>
            </w:r>
          </w:p>
        </w:tc>
        <w:tc>
          <w:tcPr>
            <w:tcW w:w="0" w:type="auto"/>
            <w:tcBorders>
              <w:top w:val="nil"/>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MEAN</w:t>
            </w:r>
          </w:p>
        </w:tc>
        <w:tc>
          <w:tcPr>
            <w:tcW w:w="0" w:type="auto"/>
            <w:tcBorders>
              <w:top w:val="nil"/>
              <w:left w:val="nil"/>
              <w:bottom w:val="single" w:sz="4" w:space="0" w:color="auto"/>
              <w:right w:val="nil"/>
            </w:tcBorders>
            <w:shd w:val="clear" w:color="auto" w:fill="auto"/>
            <w:vAlign w:val="center"/>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SD</w:t>
            </w:r>
          </w:p>
        </w:tc>
      </w:tr>
      <w:tr w:rsidR="007E51DC" w:rsidRPr="00AE44FE" w:rsidTr="00456AEA">
        <w:trPr>
          <w:trHeight w:val="290"/>
        </w:trPr>
        <w:tc>
          <w:tcPr>
            <w:tcW w:w="10186" w:type="dxa"/>
            <w:gridSpan w:val="9"/>
            <w:tcBorders>
              <w:top w:val="single" w:sz="4" w:space="0" w:color="auto"/>
              <w:left w:val="nil"/>
              <w:bottom w:val="single" w:sz="4" w:space="0" w:color="auto"/>
              <w:right w:val="nil"/>
            </w:tcBorders>
            <w:shd w:val="clear" w:color="auto" w:fill="E7E6E6" w:themeFill="background2"/>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The first step: Data for calculating TFPI and its components</w:t>
            </w:r>
          </w:p>
        </w:tc>
      </w:tr>
      <w:tr w:rsidR="007E51DC" w:rsidRPr="00AE44FE" w:rsidTr="00456AEA">
        <w:trPr>
          <w:trHeight w:val="53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Gross Regional Domestic Product (GRDP)</w:t>
            </w:r>
          </w:p>
        </w:tc>
        <w:tc>
          <w:tcPr>
            <w:tcW w:w="0" w:type="auto"/>
            <w:vMerge w:val="restart"/>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Thousand bill VND</w:t>
            </w:r>
          </w:p>
        </w:tc>
        <w:tc>
          <w:tcPr>
            <w:tcW w:w="0" w:type="auto"/>
            <w:vMerge w:val="restart"/>
            <w:tcBorders>
              <w:top w:val="nil"/>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Njuki et al. (2018); Thanh et al. (2019)</w:t>
            </w:r>
            <w:r w:rsidRPr="00AE44FE">
              <w:rPr>
                <w:rFonts w:ascii="Times New Roman" w:eastAsia="Times New Roman" w:hAnsi="Times New Roman" w:cs="Times New Roman"/>
                <w:color w:val="000000"/>
                <w:sz w:val="20"/>
                <w:szCs w:val="20"/>
              </w:rPr>
              <w:t xml:space="preserve"> </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47.45</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85.01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64.58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114.27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81.50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142.29</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jc w:val="both"/>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Capital stock</w:t>
            </w:r>
          </w:p>
        </w:tc>
        <w:tc>
          <w:tcPr>
            <w:tcW w:w="0" w:type="auto"/>
            <w:vMerge/>
            <w:tcBorders>
              <w:top w:val="nil"/>
              <w:left w:val="nil"/>
              <w:bottom w:val="nil"/>
              <w:right w:val="nil"/>
            </w:tcBorders>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p>
        </w:tc>
        <w:tc>
          <w:tcPr>
            <w:tcW w:w="0" w:type="auto"/>
            <w:vMerge/>
            <w:tcBorders>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136.85</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220.81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210.86</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331.51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289.31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454.93</w:t>
            </w:r>
          </w:p>
        </w:tc>
      </w:tr>
      <w:tr w:rsidR="007E51DC" w:rsidRPr="00AE44FE" w:rsidTr="00456AEA">
        <w:trPr>
          <w:trHeight w:val="52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jc w:val="both"/>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Labor</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Thousand people</w:t>
            </w:r>
          </w:p>
        </w:tc>
        <w:tc>
          <w:tcPr>
            <w:tcW w:w="0" w:type="auto"/>
            <w:vMerge/>
            <w:tcBorders>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812.48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648.34</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849.36</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682.07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874.21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719.93</w:t>
            </w:r>
          </w:p>
        </w:tc>
      </w:tr>
      <w:tr w:rsidR="007E51DC" w:rsidRPr="00AE44FE" w:rsidTr="00456AEA">
        <w:trPr>
          <w:trHeight w:val="52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jc w:val="both"/>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Total land</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Thousand hectares</w:t>
            </w:r>
          </w:p>
        </w:tc>
        <w:tc>
          <w:tcPr>
            <w:tcW w:w="0" w:type="auto"/>
            <w:vMerge/>
            <w:tcBorders>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525.34</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368.32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525.98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367.77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525.33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367.44</w:t>
            </w:r>
          </w:p>
        </w:tc>
      </w:tr>
      <w:tr w:rsidR="007E51DC" w:rsidRPr="00AE44FE" w:rsidTr="00456AEA">
        <w:trPr>
          <w:trHeight w:val="52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jc w:val="both"/>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Temperature</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3C4043"/>
                <w:sz w:val="20"/>
                <w:szCs w:val="20"/>
              </w:rPr>
            </w:pPr>
            <w:r w:rsidRPr="00AE44FE">
              <w:rPr>
                <w:rFonts w:ascii="Times New Roman" w:eastAsia="Times New Roman" w:hAnsi="Times New Roman" w:cs="Times New Roman"/>
                <w:color w:val="3C4043"/>
                <w:sz w:val="20"/>
                <w:szCs w:val="20"/>
              </w:rPr>
              <w:t>Degrees Celsius</w:t>
            </w:r>
          </w:p>
        </w:tc>
        <w:tc>
          <w:tcPr>
            <w:tcW w:w="0" w:type="auto"/>
            <w:vMerge/>
            <w:tcBorders>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3C4043"/>
                <w:sz w:val="20"/>
                <w:szCs w:val="20"/>
              </w:rPr>
            </w:pP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25.23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2.19</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25.50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2.06</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25.92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1.89</w:t>
            </w:r>
          </w:p>
        </w:tc>
      </w:tr>
      <w:tr w:rsidR="007E51DC" w:rsidRPr="00AE44FE" w:rsidTr="00456AEA">
        <w:trPr>
          <w:trHeight w:val="290"/>
        </w:trPr>
        <w:tc>
          <w:tcPr>
            <w:tcW w:w="2520" w:type="dxa"/>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both"/>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Rain</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mm</w:t>
            </w:r>
          </w:p>
        </w:tc>
        <w:tc>
          <w:tcPr>
            <w:tcW w:w="0" w:type="auto"/>
            <w:vMerge/>
            <w:tcBorders>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1767</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408</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1978</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569</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1684</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575</w:t>
            </w:r>
          </w:p>
        </w:tc>
      </w:tr>
      <w:tr w:rsidR="007E51DC" w:rsidRPr="00AE44FE" w:rsidTr="00456AEA">
        <w:trPr>
          <w:trHeight w:val="290"/>
        </w:trPr>
        <w:tc>
          <w:tcPr>
            <w:tcW w:w="10186" w:type="dxa"/>
            <w:gridSpan w:val="9"/>
            <w:tcBorders>
              <w:top w:val="single" w:sz="4" w:space="0" w:color="auto"/>
              <w:left w:val="nil"/>
              <w:bottom w:val="single" w:sz="4" w:space="0" w:color="auto"/>
              <w:right w:val="nil"/>
            </w:tcBorders>
            <w:shd w:val="clear" w:color="auto" w:fill="E7E6E6" w:themeFill="background2"/>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Dependent variables: TFPI and its components</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TFPI</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w:t>
            </w:r>
          </w:p>
        </w:tc>
        <w:tc>
          <w:tcPr>
            <w:tcW w:w="0" w:type="auto"/>
            <w:vMerge w:val="restart"/>
            <w:tcBorders>
              <w:top w:val="nil"/>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Author’s calculations, see Appendix [1]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156.80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29.41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178.10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39.51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197.7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45.66</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 xml:space="preserve">OSEI </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w:t>
            </w:r>
          </w:p>
        </w:tc>
        <w:tc>
          <w:tcPr>
            <w:tcW w:w="0" w:type="auto"/>
            <w:vMerge/>
            <w:tcBorders>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84.49</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4.05</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79.93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5.21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76.89</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5.74</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OTEI</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w:t>
            </w:r>
          </w:p>
        </w:tc>
        <w:tc>
          <w:tcPr>
            <w:tcW w:w="0" w:type="auto"/>
            <w:vMerge/>
            <w:tcBorders>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111.20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20.90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108.70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23.73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107.8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24.52</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OTI</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w:t>
            </w:r>
          </w:p>
        </w:tc>
        <w:tc>
          <w:tcPr>
            <w:tcW w:w="0" w:type="auto"/>
            <w:vMerge/>
            <w:tcBorders>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167.10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205.20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239.4</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0.00</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OEI</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w:t>
            </w:r>
          </w:p>
        </w:tc>
        <w:tc>
          <w:tcPr>
            <w:tcW w:w="0" w:type="auto"/>
            <w:vMerge/>
            <w:tcBorders>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99.96</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0.19</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99.99</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99.83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0.19</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SNI</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w:t>
            </w:r>
          </w:p>
        </w:tc>
        <w:tc>
          <w:tcPr>
            <w:tcW w:w="0" w:type="auto"/>
            <w:vMerge/>
            <w:tcBorders>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100.00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100.00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100.00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0.00</w:t>
            </w:r>
          </w:p>
        </w:tc>
      </w:tr>
      <w:tr w:rsidR="007E51DC" w:rsidRPr="00AE44FE" w:rsidTr="00456AEA">
        <w:trPr>
          <w:trHeight w:val="290"/>
        </w:trPr>
        <w:tc>
          <w:tcPr>
            <w:tcW w:w="2520" w:type="dxa"/>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TECH</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w:t>
            </w:r>
          </w:p>
        </w:tc>
        <w:tc>
          <w:tcPr>
            <w:tcW w:w="0" w:type="auto"/>
            <w:vMerge/>
            <w:tcBorders>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141.20</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6.76</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164.00</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10.69</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184.1</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13.73</w:t>
            </w:r>
          </w:p>
        </w:tc>
      </w:tr>
      <w:tr w:rsidR="007E51DC" w:rsidRPr="00AE44FE" w:rsidTr="00456AEA">
        <w:trPr>
          <w:trHeight w:val="290"/>
        </w:trPr>
        <w:tc>
          <w:tcPr>
            <w:tcW w:w="10186" w:type="dxa"/>
            <w:gridSpan w:val="9"/>
            <w:tcBorders>
              <w:top w:val="single" w:sz="4" w:space="0" w:color="auto"/>
              <w:left w:val="nil"/>
              <w:bottom w:val="single" w:sz="4" w:space="0" w:color="auto"/>
              <w:right w:val="nil"/>
            </w:tcBorders>
            <w:shd w:val="clear" w:color="auto" w:fill="E7E6E6" w:themeFill="background2"/>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The second step: Retention rate on TFPI and its components</w:t>
            </w:r>
          </w:p>
        </w:tc>
      </w:tr>
      <w:tr w:rsidR="007E51DC" w:rsidRPr="00AE44FE" w:rsidTr="00456AEA">
        <w:trPr>
          <w:trHeight w:val="290"/>
        </w:trPr>
        <w:tc>
          <w:tcPr>
            <w:tcW w:w="2520" w:type="dxa"/>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bookmarkStart w:id="2" w:name="_Hlk144903821"/>
            <w:r w:rsidRPr="00AE44FE">
              <w:rPr>
                <w:rFonts w:ascii="Times New Roman" w:eastAsia="Times New Roman" w:hAnsi="Times New Roman" w:cs="Times New Roman"/>
                <w:color w:val="000000"/>
                <w:sz w:val="20"/>
                <w:szCs w:val="20"/>
              </w:rPr>
              <w:t>Retention rate</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[0,100] %</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 Suggested by the authors</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92.46</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17.91</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92.46</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17.91</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91.73</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18.51</w:t>
            </w:r>
          </w:p>
        </w:tc>
      </w:tr>
      <w:bookmarkEnd w:id="2"/>
      <w:tr w:rsidR="007E51DC" w:rsidRPr="00AE44FE" w:rsidTr="00456AEA">
        <w:trPr>
          <w:trHeight w:val="290"/>
        </w:trPr>
        <w:tc>
          <w:tcPr>
            <w:tcW w:w="10186" w:type="dxa"/>
            <w:gridSpan w:val="9"/>
            <w:tcBorders>
              <w:top w:val="single" w:sz="4" w:space="0" w:color="auto"/>
              <w:left w:val="nil"/>
              <w:bottom w:val="single" w:sz="4" w:space="0" w:color="auto"/>
              <w:right w:val="nil"/>
            </w:tcBorders>
            <w:shd w:val="clear" w:color="auto" w:fill="E7E6E6" w:themeFill="background2"/>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Covariates 1: List of control variables</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Implemented FDI on log</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Mill USD</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Liu et al. (2016)</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2.93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2.30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3.35</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2.47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3.41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2.55</w:t>
            </w:r>
          </w:p>
        </w:tc>
      </w:tr>
      <w:tr w:rsidR="007E51DC" w:rsidRPr="00AE44FE" w:rsidTr="00456AEA">
        <w:trPr>
          <w:trHeight w:val="52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Industry index</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GSO calculation</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Kim (2002)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110.64</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12.63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110.97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22.60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110.34</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10.66</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Multidimensional poverty</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[0,100] %</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Ivanic and Martin (2018)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19.77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15.43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12.93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12.00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8.52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9.07</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High-quality labor rate</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[0,100] %</w:t>
            </w:r>
          </w:p>
        </w:tc>
        <w:tc>
          <w:tcPr>
            <w:tcW w:w="0" w:type="auto"/>
            <w:vMerge w:val="restart"/>
            <w:tcBorders>
              <w:top w:val="nil"/>
              <w:left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Griliches (2000)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14.79</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6.29</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18.12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7.19</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19.64</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7.79</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literacy</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w:t>
            </w:r>
          </w:p>
        </w:tc>
        <w:tc>
          <w:tcPr>
            <w:tcW w:w="0" w:type="auto"/>
            <w:vMerge/>
            <w:tcBorders>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0.93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0.93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0.94</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0.07</w:t>
            </w:r>
          </w:p>
        </w:tc>
      </w:tr>
      <w:tr w:rsidR="007E51DC" w:rsidRPr="00AE44FE" w:rsidTr="00456AEA">
        <w:trPr>
          <w:trHeight w:val="29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Urbanization rate</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Andersson, Burgess, and Lane (2007)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0.27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0.29</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0.30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0.18</w:t>
            </w:r>
          </w:p>
        </w:tc>
      </w:tr>
      <w:tr w:rsidR="007E51DC" w:rsidRPr="00AE44FE" w:rsidTr="00456AEA">
        <w:trPr>
          <w:trHeight w:val="78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Provincial competitiveness index (PCI)</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[0,100]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Hiep and Trung (2022)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57.02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4.15</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58.89</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2.93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65.66</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2.60</w:t>
            </w:r>
          </w:p>
        </w:tc>
      </w:tr>
      <w:tr w:rsidR="007E51DC" w:rsidRPr="00AE44FE" w:rsidTr="00456AEA">
        <w:trPr>
          <w:trHeight w:val="52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Private sector development</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Andersson et al. (2007)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0.87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0.91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0.94</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0.07</w:t>
            </w:r>
          </w:p>
        </w:tc>
      </w:tr>
      <w:tr w:rsidR="007E51DC" w:rsidRPr="00AE44FE" w:rsidTr="00456AEA">
        <w:trPr>
          <w:trHeight w:val="520"/>
        </w:trPr>
        <w:tc>
          <w:tcPr>
            <w:tcW w:w="2520" w:type="dxa"/>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Number of teachers</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Thousand people</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 </w:t>
            </w:r>
            <w:r w:rsidRPr="00AE44FE">
              <w:rPr>
                <w:rFonts w:ascii="Times New Roman" w:eastAsia="Times New Roman" w:hAnsi="Times New Roman" w:cs="Times New Roman"/>
                <w:noProof/>
                <w:color w:val="000000"/>
                <w:sz w:val="20"/>
                <w:szCs w:val="20"/>
              </w:rPr>
              <w:t>Griliches (2000)</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13453</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8490</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13631</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8988</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12888</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8733</w:t>
            </w:r>
          </w:p>
        </w:tc>
      </w:tr>
      <w:tr w:rsidR="007E51DC" w:rsidRPr="00AE44FE" w:rsidTr="00456AEA">
        <w:trPr>
          <w:trHeight w:val="290"/>
        </w:trPr>
        <w:tc>
          <w:tcPr>
            <w:tcW w:w="10186" w:type="dxa"/>
            <w:gridSpan w:val="9"/>
            <w:tcBorders>
              <w:top w:val="single" w:sz="4" w:space="0" w:color="auto"/>
              <w:left w:val="nil"/>
              <w:bottom w:val="single" w:sz="4" w:space="0" w:color="auto"/>
              <w:right w:val="nil"/>
            </w:tcBorders>
            <w:shd w:val="clear" w:color="auto" w:fill="E7E6E6" w:themeFill="background2"/>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Covariates 2: List of control variables</w:t>
            </w:r>
          </w:p>
        </w:tc>
      </w:tr>
      <w:tr w:rsidR="007E51DC" w:rsidRPr="00AE44FE" w:rsidTr="00456AEA">
        <w:trPr>
          <w:trHeight w:val="2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Labor rate</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Andersson et al. (2007)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0.58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0.62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0.28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0.62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0.28</w:t>
            </w:r>
          </w:p>
        </w:tc>
      </w:tr>
      <w:tr w:rsidR="007E51DC" w:rsidRPr="00AE44FE" w:rsidTr="00456AEA">
        <w:trPr>
          <w:trHeight w:val="2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lastRenderedPageBreak/>
              <w:t>Government spending for socio-economic development activities on log</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Bill. VND</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Fan et al. (2000)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5.58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0.72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6.02</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0.80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6.18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0.84</w:t>
            </w:r>
          </w:p>
        </w:tc>
      </w:tr>
      <w:tr w:rsidR="007E51DC" w:rsidRPr="00AE44FE" w:rsidTr="00456AEA">
        <w:trPr>
          <w:trHeight w:val="2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GRDP per capita on log</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Mill VND</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Van Biesebroeck (2005)</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3.17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0.50</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3.47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0.51</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3.68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0.50</w:t>
            </w:r>
          </w:p>
        </w:tc>
      </w:tr>
      <w:tr w:rsidR="007E51DC" w:rsidRPr="00AE44FE" w:rsidTr="00456AEA">
        <w:trPr>
          <w:trHeight w:val="20"/>
        </w:trPr>
        <w:tc>
          <w:tcPr>
            <w:tcW w:w="2520" w:type="dxa"/>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Agriculture land</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Thousand hectares</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noProof/>
                <w:color w:val="000000"/>
                <w:sz w:val="20"/>
                <w:szCs w:val="20"/>
              </w:rPr>
              <w:t>Ruttan (2002)</w:t>
            </w:r>
            <w:r w:rsidRPr="00AE44FE">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4.93</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0.78</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4.93</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0.78</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4.93</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0.78</w:t>
            </w:r>
          </w:p>
        </w:tc>
      </w:tr>
      <w:tr w:rsidR="007E51DC" w:rsidRPr="00AE44FE" w:rsidTr="00456AEA">
        <w:trPr>
          <w:trHeight w:val="290"/>
        </w:trPr>
        <w:tc>
          <w:tcPr>
            <w:tcW w:w="10186" w:type="dxa"/>
            <w:gridSpan w:val="9"/>
            <w:tcBorders>
              <w:top w:val="nil"/>
              <w:left w:val="nil"/>
              <w:bottom w:val="single" w:sz="4" w:space="0" w:color="auto"/>
              <w:right w:val="nil"/>
            </w:tcBorders>
            <w:shd w:val="clear" w:color="auto" w:fill="E7E6E6" w:themeFill="background2"/>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Instrumental variable</w:t>
            </w:r>
          </w:p>
        </w:tc>
      </w:tr>
      <w:tr w:rsidR="007E51DC" w:rsidRPr="00AE44FE" w:rsidTr="00456AEA">
        <w:trPr>
          <w:trHeight w:val="290"/>
        </w:trPr>
        <w:tc>
          <w:tcPr>
            <w:tcW w:w="2520" w:type="dxa"/>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Regional retention rate</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[0,100] %</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 Suggested by the authors</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92.46</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9.36</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92.46</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9.36</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91.73</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9.76</w:t>
            </w:r>
          </w:p>
        </w:tc>
      </w:tr>
      <w:tr w:rsidR="007E51DC" w:rsidRPr="00AE44FE" w:rsidTr="00456AEA">
        <w:trPr>
          <w:trHeight w:val="290"/>
        </w:trPr>
        <w:tc>
          <w:tcPr>
            <w:tcW w:w="10186" w:type="dxa"/>
            <w:gridSpan w:val="9"/>
            <w:tcBorders>
              <w:top w:val="single" w:sz="4" w:space="0" w:color="auto"/>
              <w:left w:val="nil"/>
              <w:bottom w:val="single" w:sz="4" w:space="0" w:color="auto"/>
              <w:right w:val="nil"/>
            </w:tcBorders>
            <w:shd w:val="clear" w:color="auto" w:fill="E7E6E6" w:themeFill="background2"/>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Mechanism test</w:t>
            </w:r>
          </w:p>
        </w:tc>
      </w:tr>
      <w:tr w:rsidR="007E51DC" w:rsidRPr="00AE44FE" w:rsidTr="00456AEA">
        <w:trPr>
          <w:trHeight w:val="520"/>
        </w:trPr>
        <w:tc>
          <w:tcPr>
            <w:tcW w:w="2520" w:type="dxa"/>
            <w:tcBorders>
              <w:top w:val="nil"/>
              <w:left w:val="nil"/>
              <w:bottom w:val="nil"/>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GRDP/capital stock</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 million times</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 Suggested by the authors</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12.67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0.38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12.57</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0.38</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12.53</w:t>
            </w:r>
          </w:p>
        </w:tc>
        <w:tc>
          <w:tcPr>
            <w:tcW w:w="0" w:type="auto"/>
            <w:tcBorders>
              <w:top w:val="nil"/>
              <w:left w:val="nil"/>
              <w:bottom w:val="nil"/>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0.38</w:t>
            </w:r>
          </w:p>
        </w:tc>
      </w:tr>
      <w:tr w:rsidR="007E51DC" w:rsidRPr="00AE44FE" w:rsidTr="00456AEA">
        <w:trPr>
          <w:trHeight w:val="520"/>
        </w:trPr>
        <w:tc>
          <w:tcPr>
            <w:tcW w:w="2520" w:type="dxa"/>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Budget spending</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Million VND</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 Suggested by the authors</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15.36</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0.58</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15.71</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0.61</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w:t>
            </w:r>
          </w:p>
        </w:tc>
        <w:tc>
          <w:tcPr>
            <w:tcW w:w="0" w:type="auto"/>
            <w:tcBorders>
              <w:top w:val="nil"/>
              <w:left w:val="nil"/>
              <w:bottom w:val="single" w:sz="4" w:space="0" w:color="auto"/>
              <w:right w:val="nil"/>
            </w:tcBorders>
            <w:shd w:val="clear" w:color="auto" w:fill="auto"/>
            <w:vAlign w:val="center"/>
            <w:hideMark/>
          </w:tcPr>
          <w:p w:rsidR="007E51DC" w:rsidRPr="00AE44FE" w:rsidRDefault="007E51DC" w:rsidP="00456AEA">
            <w:pPr>
              <w:spacing w:after="0" w:line="240" w:lineRule="auto"/>
              <w:jc w:val="center"/>
              <w:rPr>
                <w:rFonts w:ascii="Times New Roman" w:eastAsia="Times New Roman" w:hAnsi="Times New Roman" w:cs="Times New Roman"/>
                <w:color w:val="000000"/>
                <w:sz w:val="20"/>
                <w:szCs w:val="20"/>
              </w:rPr>
            </w:pPr>
            <w:r w:rsidRPr="00AE44FE">
              <w:rPr>
                <w:rFonts w:ascii="Times New Roman" w:eastAsia="Times New Roman" w:hAnsi="Times New Roman" w:cs="Times New Roman"/>
                <w:color w:val="000000"/>
                <w:sz w:val="20"/>
                <w:szCs w:val="20"/>
              </w:rPr>
              <w:t>.</w:t>
            </w:r>
          </w:p>
        </w:tc>
      </w:tr>
    </w:tbl>
    <w:p w:rsidR="007E51DC" w:rsidRPr="00AE44FE" w:rsidRDefault="007E51DC" w:rsidP="007E51DC">
      <w:pPr>
        <w:spacing w:line="360" w:lineRule="auto"/>
        <w:jc w:val="both"/>
        <w:rPr>
          <w:rFonts w:ascii="Times New Roman" w:hAnsi="Times New Roman" w:cs="Times New Roman"/>
          <w:color w:val="000000" w:themeColor="text1"/>
          <w:sz w:val="24"/>
          <w:szCs w:val="24"/>
        </w:rPr>
      </w:pPr>
      <w:r w:rsidRPr="00AE44FE">
        <w:rPr>
          <w:rFonts w:ascii="Times New Roman" w:hAnsi="Times New Roman" w:cs="Times New Roman"/>
          <w:color w:val="000000" w:themeColor="text1"/>
          <w:sz w:val="24"/>
          <w:szCs w:val="24"/>
        </w:rPr>
        <w:t xml:space="preserve">Source: Authors. </w:t>
      </w:r>
      <w:r w:rsidRPr="00AE44FE">
        <w:rPr>
          <w:rFonts w:ascii="Times New Roman" w:hAnsi="Times New Roman" w:cs="Times New Roman"/>
          <w:i/>
          <w:color w:val="000000" w:themeColor="text1"/>
          <w:sz w:val="20"/>
          <w:szCs w:val="24"/>
        </w:rPr>
        <w:t>Note: “.” represents unavailable data.</w:t>
      </w:r>
    </w:p>
    <w:bookmarkEnd w:id="0"/>
    <w:bookmarkEnd w:id="1"/>
    <w:p w:rsidR="007E51DC" w:rsidRDefault="007E51DC" w:rsidP="007E51DC">
      <w:pPr>
        <w:keepNext/>
        <w:rPr>
          <w:rFonts w:ascii="Times New Roman" w:hAnsi="Times New Roman" w:cs="Times New Roman"/>
          <w:b/>
          <w:color w:val="000000" w:themeColor="text1"/>
          <w:sz w:val="20"/>
          <w:szCs w:val="20"/>
        </w:rPr>
      </w:pPr>
    </w:p>
    <w:p w:rsidR="007E51DC" w:rsidRDefault="007E51DC" w:rsidP="007E51DC">
      <w:pPr>
        <w:keepNext/>
        <w:rPr>
          <w:rFonts w:ascii="Times New Roman" w:hAnsi="Times New Roman" w:cs="Times New Roman"/>
          <w:b/>
          <w:color w:val="000000" w:themeColor="text1"/>
          <w:sz w:val="20"/>
          <w:szCs w:val="20"/>
        </w:rPr>
      </w:pPr>
    </w:p>
    <w:p w:rsidR="007E51DC" w:rsidRDefault="007E51DC" w:rsidP="007E51DC">
      <w:pPr>
        <w:keepNext/>
        <w:rPr>
          <w:rFonts w:ascii="Times New Roman" w:hAnsi="Times New Roman" w:cs="Times New Roman"/>
          <w:b/>
          <w:color w:val="000000" w:themeColor="text1"/>
          <w:sz w:val="20"/>
          <w:szCs w:val="20"/>
        </w:rPr>
      </w:pPr>
    </w:p>
    <w:p w:rsidR="007E51DC" w:rsidRDefault="007E51DC" w:rsidP="007E51DC">
      <w:pPr>
        <w:keepNext/>
        <w:rPr>
          <w:rFonts w:ascii="Times New Roman" w:hAnsi="Times New Roman" w:cs="Times New Roman"/>
          <w:b/>
          <w:color w:val="000000" w:themeColor="text1"/>
          <w:sz w:val="20"/>
          <w:szCs w:val="20"/>
        </w:rPr>
      </w:pPr>
    </w:p>
    <w:p w:rsidR="007E51DC" w:rsidRPr="00AE44FE" w:rsidRDefault="007E51DC" w:rsidP="007E51DC">
      <w:pPr>
        <w:keepNext/>
        <w:rPr>
          <w:rFonts w:ascii="Times New Roman" w:hAnsi="Times New Roman" w:cs="Times New Roman"/>
          <w:b/>
          <w:color w:val="000000" w:themeColor="text1"/>
          <w:sz w:val="20"/>
          <w:szCs w:val="20"/>
        </w:rPr>
      </w:pPr>
      <w:r w:rsidRPr="00AE44FE">
        <w:rPr>
          <w:rFonts w:ascii="Times New Roman" w:hAnsi="Times New Roman" w:cs="Times New Roman"/>
          <w:b/>
          <w:color w:val="000000" w:themeColor="text1"/>
          <w:sz w:val="20"/>
          <w:szCs w:val="20"/>
        </w:rPr>
        <w:t xml:space="preserve">Appendix </w:t>
      </w:r>
      <w:r>
        <w:rPr>
          <w:rFonts w:ascii="Times New Roman" w:hAnsi="Times New Roman" w:cs="Times New Roman"/>
          <w:b/>
          <w:color w:val="000000" w:themeColor="text1"/>
          <w:sz w:val="20"/>
          <w:szCs w:val="20"/>
        </w:rPr>
        <w:t>3</w:t>
      </w:r>
      <w:r w:rsidRPr="00AE44FE">
        <w:rPr>
          <w:rFonts w:ascii="Times New Roman" w:hAnsi="Times New Roman" w:cs="Times New Roman"/>
          <w:b/>
          <w:color w:val="000000" w:themeColor="text1"/>
          <w:sz w:val="20"/>
          <w:szCs w:val="20"/>
        </w:rPr>
        <w:t>. Evolution of TFPI and its components</w:t>
      </w:r>
    </w:p>
    <w:p w:rsidR="007E51DC" w:rsidRPr="00AE44FE" w:rsidRDefault="007E51DC" w:rsidP="007E51DC">
      <w:pPr>
        <w:spacing w:after="0" w:line="240" w:lineRule="auto"/>
        <w:rPr>
          <w:rFonts w:ascii="Times New Roman" w:hAnsi="Times New Roman" w:cs="Times New Roman"/>
          <w:sz w:val="24"/>
          <w:szCs w:val="24"/>
        </w:rPr>
      </w:pPr>
      <w:r w:rsidRPr="00AE44FE">
        <w:rPr>
          <w:rFonts w:ascii="Times New Roman" w:hAnsi="Times New Roman" w:cs="Times New Roman"/>
          <w:noProof/>
          <w:sz w:val="24"/>
          <w:szCs w:val="24"/>
        </w:rPr>
        <w:drawing>
          <wp:inline distT="0" distB="0" distL="0" distR="0" wp14:anchorId="51C6F34F" wp14:editId="58710C4B">
            <wp:extent cx="5943600" cy="2787650"/>
            <wp:effectExtent l="19050" t="19050" r="1905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3.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787650"/>
                    </a:xfrm>
                    <a:prstGeom prst="rect">
                      <a:avLst/>
                    </a:prstGeom>
                    <a:ln w="9525">
                      <a:solidFill>
                        <a:schemeClr val="tx1"/>
                      </a:solidFill>
                    </a:ln>
                  </pic:spPr>
                </pic:pic>
              </a:graphicData>
            </a:graphic>
          </wp:inline>
        </w:drawing>
      </w:r>
    </w:p>
    <w:p w:rsidR="007E51DC" w:rsidRPr="00AE44FE" w:rsidRDefault="007E51DC" w:rsidP="007E51DC">
      <w:pPr>
        <w:spacing w:after="0" w:line="240" w:lineRule="auto"/>
        <w:rPr>
          <w:rFonts w:ascii="Times New Roman" w:hAnsi="Times New Roman" w:cs="Times New Roman"/>
          <w:sz w:val="24"/>
          <w:szCs w:val="24"/>
        </w:rPr>
      </w:pPr>
      <w:r w:rsidRPr="00AE44FE">
        <w:rPr>
          <w:rFonts w:ascii="Times New Roman" w:hAnsi="Times New Roman" w:cs="Times New Roman"/>
          <w:noProof/>
          <w:sz w:val="24"/>
          <w:szCs w:val="24"/>
        </w:rPr>
        <w:lastRenderedPageBreak/>
        <w:drawing>
          <wp:inline distT="0" distB="0" distL="0" distR="0" wp14:anchorId="03F176FC" wp14:editId="616E5DF0">
            <wp:extent cx="5943600" cy="2692400"/>
            <wp:effectExtent l="19050" t="19050" r="19050"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692400"/>
                    </a:xfrm>
                    <a:prstGeom prst="rect">
                      <a:avLst/>
                    </a:prstGeom>
                    <a:ln w="9525">
                      <a:solidFill>
                        <a:schemeClr val="tx1"/>
                      </a:solidFill>
                    </a:ln>
                  </pic:spPr>
                </pic:pic>
              </a:graphicData>
            </a:graphic>
          </wp:inline>
        </w:drawing>
      </w:r>
    </w:p>
    <w:p w:rsidR="007E51DC" w:rsidRPr="00AE44FE" w:rsidRDefault="007E51DC" w:rsidP="007E51DC">
      <w:pPr>
        <w:rPr>
          <w:rFonts w:ascii="Times New Roman" w:hAnsi="Times New Roman" w:cs="Times New Roman"/>
          <w:sz w:val="24"/>
          <w:szCs w:val="24"/>
        </w:rPr>
      </w:pPr>
      <w:r w:rsidRPr="00AE44FE">
        <w:rPr>
          <w:rFonts w:ascii="Times New Roman" w:hAnsi="Times New Roman" w:cs="Times New Roman"/>
          <w:noProof/>
          <w:sz w:val="24"/>
          <w:szCs w:val="24"/>
        </w:rPr>
        <w:drawing>
          <wp:inline distT="0" distB="0" distL="0" distR="0" wp14:anchorId="6216A976" wp14:editId="1A6FF594">
            <wp:extent cx="5943600" cy="2654300"/>
            <wp:effectExtent l="19050" t="19050" r="19050"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654300"/>
                    </a:xfrm>
                    <a:prstGeom prst="rect">
                      <a:avLst/>
                    </a:prstGeom>
                    <a:ln w="9525">
                      <a:solidFill>
                        <a:schemeClr val="tx1"/>
                      </a:solidFill>
                    </a:ln>
                  </pic:spPr>
                </pic:pic>
              </a:graphicData>
            </a:graphic>
          </wp:inline>
        </w:drawing>
      </w:r>
    </w:p>
    <w:p w:rsidR="007E51DC" w:rsidRPr="00AE44FE" w:rsidRDefault="007E51DC" w:rsidP="007E51DC">
      <w:pPr>
        <w:rPr>
          <w:rFonts w:ascii="Times New Roman" w:hAnsi="Times New Roman" w:cs="Times New Roman"/>
          <w:sz w:val="24"/>
          <w:szCs w:val="24"/>
        </w:rPr>
      </w:pPr>
      <w:r w:rsidRPr="00AE44FE">
        <w:rPr>
          <w:rFonts w:ascii="Times New Roman" w:hAnsi="Times New Roman" w:cs="Times New Roman"/>
          <w:sz w:val="24"/>
          <w:szCs w:val="24"/>
        </w:rPr>
        <w:t xml:space="preserve">Source: Authors. </w:t>
      </w:r>
    </w:p>
    <w:p w:rsidR="007E51DC" w:rsidRPr="00AE44FE" w:rsidRDefault="007E51DC" w:rsidP="007E51DC">
      <w:pPr>
        <w:rPr>
          <w:rFonts w:ascii="Times New Roman" w:hAnsi="Times New Roman" w:cs="Times New Roman"/>
          <w:b/>
          <w:color w:val="000000" w:themeColor="text1"/>
          <w:sz w:val="20"/>
          <w:szCs w:val="20"/>
        </w:rPr>
      </w:pPr>
      <w:r w:rsidRPr="00AE44FE">
        <w:rPr>
          <w:rFonts w:ascii="Times New Roman" w:hAnsi="Times New Roman" w:cs="Times New Roman"/>
          <w:b/>
          <w:color w:val="000000" w:themeColor="text1"/>
          <w:sz w:val="20"/>
          <w:szCs w:val="20"/>
        </w:rPr>
        <w:t xml:space="preserve">Appendix </w:t>
      </w:r>
      <w:r>
        <w:rPr>
          <w:rFonts w:ascii="Times New Roman" w:hAnsi="Times New Roman" w:cs="Times New Roman"/>
          <w:b/>
          <w:color w:val="000000" w:themeColor="text1"/>
          <w:sz w:val="20"/>
          <w:szCs w:val="20"/>
        </w:rPr>
        <w:t>4</w:t>
      </w:r>
      <w:r w:rsidRPr="00AE44FE">
        <w:rPr>
          <w:rFonts w:ascii="Times New Roman" w:hAnsi="Times New Roman" w:cs="Times New Roman"/>
          <w:b/>
          <w:color w:val="000000" w:themeColor="text1"/>
          <w:sz w:val="20"/>
          <w:szCs w:val="20"/>
        </w:rPr>
        <w:t xml:space="preserve">. Correlation between </w:t>
      </w:r>
      <m:oMath>
        <m:r>
          <m:rPr>
            <m:sty m:val="bi"/>
          </m:rPr>
          <w:rPr>
            <w:rFonts w:ascii="Cambria Math" w:hAnsi="Cambria Math" w:cs="Times New Roman"/>
            <w:color w:val="000000" w:themeColor="text1"/>
            <w:sz w:val="20"/>
            <w:szCs w:val="20"/>
          </w:rPr>
          <m:t>∆RER</m:t>
        </m:r>
      </m:oMath>
      <w:r w:rsidRPr="00AE44FE">
        <w:rPr>
          <w:rFonts w:ascii="Times New Roman" w:hAnsi="Times New Roman" w:cs="Times New Roman"/>
          <w:b/>
          <w:color w:val="000000" w:themeColor="text1"/>
          <w:sz w:val="20"/>
          <w:szCs w:val="20"/>
        </w:rPr>
        <w:t xml:space="preserve"> and TFPI/its components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7E51DC" w:rsidRPr="00AE44FE" w:rsidTr="00456AEA">
        <w:tc>
          <w:tcPr>
            <w:tcW w:w="4675" w:type="dxa"/>
          </w:tcPr>
          <w:p w:rsidR="007E51DC" w:rsidRPr="00AE44FE" w:rsidRDefault="007E51DC" w:rsidP="00456AEA">
            <w:pPr>
              <w:rPr>
                <w:rFonts w:ascii="Times New Roman" w:hAnsi="Times New Roman" w:cs="Times New Roman"/>
                <w:sz w:val="24"/>
                <w:szCs w:val="24"/>
              </w:rPr>
            </w:pPr>
            <w:r w:rsidRPr="00AE44FE">
              <w:rPr>
                <w:noProof/>
              </w:rPr>
              <w:drawing>
                <wp:inline distT="0" distB="0" distL="0" distR="0" wp14:anchorId="542CDCD8" wp14:editId="58213F81">
                  <wp:extent cx="2691994" cy="19051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08227" cy="1916591"/>
                          </a:xfrm>
                          <a:prstGeom prst="rect">
                            <a:avLst/>
                          </a:prstGeom>
                        </pic:spPr>
                      </pic:pic>
                    </a:graphicData>
                  </a:graphic>
                </wp:inline>
              </w:drawing>
            </w:r>
          </w:p>
        </w:tc>
        <w:tc>
          <w:tcPr>
            <w:tcW w:w="4675" w:type="dxa"/>
          </w:tcPr>
          <w:p w:rsidR="007E51DC" w:rsidRPr="00AE44FE" w:rsidRDefault="007E51DC" w:rsidP="00456AEA">
            <w:pPr>
              <w:rPr>
                <w:rFonts w:ascii="Times New Roman" w:hAnsi="Times New Roman" w:cs="Times New Roman"/>
                <w:sz w:val="24"/>
                <w:szCs w:val="24"/>
              </w:rPr>
            </w:pPr>
            <w:r w:rsidRPr="00AE44FE">
              <w:rPr>
                <w:noProof/>
              </w:rPr>
              <w:drawing>
                <wp:inline distT="0" distB="0" distL="0" distR="0" wp14:anchorId="0E8E2D6E" wp14:editId="7F718835">
                  <wp:extent cx="2677363" cy="1910481"/>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07955" cy="1932311"/>
                          </a:xfrm>
                          <a:prstGeom prst="rect">
                            <a:avLst/>
                          </a:prstGeom>
                        </pic:spPr>
                      </pic:pic>
                    </a:graphicData>
                  </a:graphic>
                </wp:inline>
              </w:drawing>
            </w:r>
          </w:p>
        </w:tc>
      </w:tr>
      <w:tr w:rsidR="007E51DC" w:rsidRPr="00AE44FE" w:rsidTr="00456AEA">
        <w:tc>
          <w:tcPr>
            <w:tcW w:w="4675" w:type="dxa"/>
          </w:tcPr>
          <w:p w:rsidR="007E51DC" w:rsidRPr="00AE44FE" w:rsidRDefault="007E51DC" w:rsidP="00456AEA">
            <w:pPr>
              <w:rPr>
                <w:rFonts w:ascii="Times New Roman" w:hAnsi="Times New Roman" w:cs="Times New Roman"/>
                <w:sz w:val="24"/>
                <w:szCs w:val="24"/>
              </w:rPr>
            </w:pPr>
            <w:r w:rsidRPr="00AE44FE">
              <w:rPr>
                <w:noProof/>
              </w:rPr>
              <w:lastRenderedPageBreak/>
              <w:drawing>
                <wp:inline distT="0" distB="0" distL="0" distR="0" wp14:anchorId="418362BF" wp14:editId="68701F36">
                  <wp:extent cx="2721254" cy="1922322"/>
                  <wp:effectExtent l="0" t="0" r="317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40600" cy="1935988"/>
                          </a:xfrm>
                          <a:prstGeom prst="rect">
                            <a:avLst/>
                          </a:prstGeom>
                        </pic:spPr>
                      </pic:pic>
                    </a:graphicData>
                  </a:graphic>
                </wp:inline>
              </w:drawing>
            </w:r>
          </w:p>
        </w:tc>
        <w:tc>
          <w:tcPr>
            <w:tcW w:w="4675" w:type="dxa"/>
          </w:tcPr>
          <w:p w:rsidR="007E51DC" w:rsidRPr="00AE44FE" w:rsidRDefault="007E51DC" w:rsidP="00456AEA">
            <w:pPr>
              <w:rPr>
                <w:rFonts w:ascii="Times New Roman" w:hAnsi="Times New Roman" w:cs="Times New Roman"/>
                <w:sz w:val="24"/>
                <w:szCs w:val="24"/>
              </w:rPr>
            </w:pPr>
            <w:r w:rsidRPr="00AE44FE">
              <w:rPr>
                <w:noProof/>
              </w:rPr>
              <w:drawing>
                <wp:inline distT="0" distB="0" distL="0" distR="0" wp14:anchorId="306A550D" wp14:editId="7A4DA5EA">
                  <wp:extent cx="2750515" cy="19691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74644" cy="1986420"/>
                          </a:xfrm>
                          <a:prstGeom prst="rect">
                            <a:avLst/>
                          </a:prstGeom>
                        </pic:spPr>
                      </pic:pic>
                    </a:graphicData>
                  </a:graphic>
                </wp:inline>
              </w:drawing>
            </w:r>
          </w:p>
        </w:tc>
      </w:tr>
    </w:tbl>
    <w:p w:rsidR="007E51DC" w:rsidRPr="00AE44FE" w:rsidRDefault="007E51DC" w:rsidP="007E51DC">
      <w:pPr>
        <w:rPr>
          <w:rFonts w:ascii="Times New Roman" w:hAnsi="Times New Roman" w:cs="Times New Roman"/>
          <w:sz w:val="24"/>
          <w:szCs w:val="24"/>
        </w:rPr>
      </w:pPr>
    </w:p>
    <w:p w:rsidR="007E51DC" w:rsidRDefault="007E51DC" w:rsidP="007E51DC">
      <w:pPr>
        <w:rPr>
          <w:rFonts w:ascii="Times New Roman" w:hAnsi="Times New Roman" w:cs="Times New Roman"/>
          <w:i/>
          <w:sz w:val="20"/>
          <w:szCs w:val="24"/>
        </w:rPr>
      </w:pPr>
      <w:r w:rsidRPr="00AE44FE">
        <w:rPr>
          <w:rFonts w:ascii="Times New Roman" w:hAnsi="Times New Roman" w:cs="Times New Roman"/>
          <w:sz w:val="24"/>
          <w:szCs w:val="24"/>
        </w:rPr>
        <w:t xml:space="preserve">Source: Authors. </w:t>
      </w:r>
      <w:r w:rsidRPr="00AE44FE">
        <w:rPr>
          <w:rFonts w:ascii="Times New Roman" w:hAnsi="Times New Roman" w:cs="Times New Roman"/>
          <w:i/>
          <w:sz w:val="20"/>
          <w:szCs w:val="24"/>
        </w:rPr>
        <w:t>Note: we have eliminated all provinces/cities that showed no change in retention rate during the period from 2012 to 2019. These provinces/cities are mainly located in the northern mountainous areas and the Central Highlands (see figure [2]).</w:t>
      </w:r>
    </w:p>
    <w:p w:rsidR="007E51DC" w:rsidRPr="00AE44FE" w:rsidRDefault="007E51DC" w:rsidP="007E51DC">
      <w:pPr>
        <w:pStyle w:val="Caption"/>
        <w:rPr>
          <w:rFonts w:ascii="Times New Roman" w:hAnsi="Times New Roman" w:cs="Times New Roman"/>
          <w:b/>
          <w:i w:val="0"/>
          <w:color w:val="000000" w:themeColor="text1"/>
          <w:sz w:val="28"/>
          <w:szCs w:val="24"/>
        </w:rPr>
      </w:pPr>
      <w:r>
        <w:rPr>
          <w:rFonts w:ascii="Times New Roman" w:hAnsi="Times New Roman" w:cs="Times New Roman"/>
          <w:b/>
          <w:i w:val="0"/>
          <w:color w:val="000000" w:themeColor="text1"/>
          <w:sz w:val="20"/>
        </w:rPr>
        <w:t>Appendix 5</w:t>
      </w:r>
      <w:r w:rsidRPr="00AE44FE">
        <w:rPr>
          <w:rFonts w:ascii="Times New Roman" w:hAnsi="Times New Roman" w:cs="Times New Roman"/>
          <w:b/>
          <w:i w:val="0"/>
          <w:color w:val="000000" w:themeColor="text1"/>
          <w:sz w:val="20"/>
        </w:rPr>
        <w:t xml:space="preserve">. </w:t>
      </w:r>
      <m:oMath>
        <m:r>
          <m:rPr>
            <m:sty m:val="bi"/>
          </m:rPr>
          <w:rPr>
            <w:rFonts w:ascii="Cambria Math" w:hAnsi="Cambria Math" w:cs="Times New Roman"/>
            <w:color w:val="000000" w:themeColor="text1"/>
            <w:sz w:val="20"/>
          </w:rPr>
          <m:t>∆</m:t>
        </m:r>
      </m:oMath>
      <w:r w:rsidRPr="00AE44FE">
        <w:rPr>
          <w:rFonts w:ascii="Times New Roman" w:hAnsi="Times New Roman" w:cs="Times New Roman"/>
          <w:b/>
          <w:i w:val="0"/>
          <w:color w:val="000000" w:themeColor="text1"/>
          <w:sz w:val="20"/>
        </w:rPr>
        <w:t>Retention rate on TFPI and its components</w:t>
      </w:r>
    </w:p>
    <w:tbl>
      <w:tblPr>
        <w:tblW w:w="10874" w:type="dxa"/>
        <w:jc w:val="center"/>
        <w:tblLayout w:type="fixed"/>
        <w:tblCellMar>
          <w:left w:w="75" w:type="dxa"/>
          <w:right w:w="75" w:type="dxa"/>
        </w:tblCellMar>
        <w:tblLook w:val="0000" w:firstRow="0" w:lastRow="0" w:firstColumn="0" w:lastColumn="0" w:noHBand="0" w:noVBand="0"/>
      </w:tblPr>
      <w:tblGrid>
        <w:gridCol w:w="2430"/>
        <w:gridCol w:w="1016"/>
        <w:gridCol w:w="1048"/>
        <w:gridCol w:w="1154"/>
        <w:gridCol w:w="1048"/>
        <w:gridCol w:w="1108"/>
        <w:gridCol w:w="932"/>
        <w:gridCol w:w="1127"/>
        <w:gridCol w:w="1011"/>
      </w:tblGrid>
      <w:tr w:rsidR="007E51DC" w:rsidRPr="00AE44FE" w:rsidTr="00456AEA">
        <w:trPr>
          <w:jc w:val="center"/>
        </w:trPr>
        <w:tc>
          <w:tcPr>
            <w:tcW w:w="2430" w:type="dxa"/>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Dependent variables:</w:t>
            </w:r>
          </w:p>
        </w:tc>
        <w:tc>
          <w:tcPr>
            <w:tcW w:w="2064"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TFPI</w:t>
            </w:r>
          </w:p>
        </w:tc>
        <w:tc>
          <w:tcPr>
            <w:tcW w:w="2202"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OSEI</w:t>
            </w:r>
          </w:p>
        </w:tc>
        <w:tc>
          <w:tcPr>
            <w:tcW w:w="2040"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OTEI</w:t>
            </w:r>
          </w:p>
        </w:tc>
        <w:tc>
          <w:tcPr>
            <w:tcW w:w="2138"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m:oMathPara>
              <m:oMath>
                <m:r>
                  <w:rPr>
                    <w:rFonts w:ascii="Cambria Math" w:hAnsi="Cambria Math" w:cs="Times New Roman"/>
                    <w:sz w:val="20"/>
                    <w:szCs w:val="20"/>
                  </w:rPr>
                  <m:t>TECH=OSEI×</m:t>
                </m:r>
                <m:r>
                  <w:rPr>
                    <w:rFonts w:ascii="Cambria Math" w:eastAsiaTheme="minorEastAsia" w:hAnsi="Cambria Math" w:cs="Times New Roman"/>
                    <w:sz w:val="20"/>
                    <w:szCs w:val="20"/>
                  </w:rPr>
                  <m:t>OTEI</m:t>
                </m:r>
              </m:oMath>
            </m:oMathPara>
          </w:p>
        </w:tc>
      </w:tr>
      <w:tr w:rsidR="007E51DC" w:rsidRPr="00AE44FE" w:rsidTr="00456AEA">
        <w:trPr>
          <w:jc w:val="center"/>
        </w:trPr>
        <w:tc>
          <w:tcPr>
            <w:tcW w:w="2430" w:type="dxa"/>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Meaning:</w:t>
            </w:r>
          </w:p>
        </w:tc>
        <w:tc>
          <w:tcPr>
            <w:tcW w:w="2064"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Total factor productivity</w:t>
            </w:r>
          </w:p>
        </w:tc>
        <w:tc>
          <w:tcPr>
            <w:tcW w:w="2202"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Allocative efficiency and scale efficiency in the use of inputs (i.e., labor, capital, land)</w:t>
            </w:r>
          </w:p>
        </w:tc>
        <w:tc>
          <w:tcPr>
            <w:tcW w:w="2040"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Technical efficiency, known as learning-by-doing, denotes the effective dissemination of achievements between provinces/cities</w:t>
            </w:r>
          </w:p>
        </w:tc>
        <w:tc>
          <w:tcPr>
            <w:tcW w:w="2138"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AE44FE">
              <w:rPr>
                <w:rFonts w:ascii="Times New Roman" w:eastAsia="Calibri" w:hAnsi="Times New Roman" w:cs="Times New Roman"/>
                <w:sz w:val="20"/>
                <w:szCs w:val="20"/>
              </w:rPr>
              <w:t>Effective after ruling out all environmental shocks and other stochastic factors</w:t>
            </w:r>
          </w:p>
        </w:tc>
      </w:tr>
      <w:tr w:rsidR="007E51DC" w:rsidRPr="00AE44FE" w:rsidTr="00456AEA">
        <w:trPr>
          <w:jc w:val="center"/>
        </w:trPr>
        <w:tc>
          <w:tcPr>
            <w:tcW w:w="2430"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Estimators:</w:t>
            </w:r>
          </w:p>
        </w:tc>
        <w:tc>
          <w:tcPr>
            <w:tcW w:w="1016"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OLS</w:t>
            </w:r>
          </w:p>
        </w:tc>
        <w:tc>
          <w:tcPr>
            <w:tcW w:w="1048"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1154"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OLS</w:t>
            </w:r>
          </w:p>
        </w:tc>
        <w:tc>
          <w:tcPr>
            <w:tcW w:w="1048"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1108"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OLS</w:t>
            </w:r>
          </w:p>
        </w:tc>
        <w:tc>
          <w:tcPr>
            <w:tcW w:w="932"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1127"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OLS</w:t>
            </w:r>
          </w:p>
        </w:tc>
        <w:tc>
          <w:tcPr>
            <w:tcW w:w="1011"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r>
      <w:tr w:rsidR="007E51DC" w:rsidRPr="00AE44FE" w:rsidTr="00456AEA">
        <w:trPr>
          <w:jc w:val="center"/>
        </w:trPr>
        <w:tc>
          <w:tcPr>
            <w:tcW w:w="2430"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w:t>
            </w:r>
          </w:p>
        </w:tc>
        <w:tc>
          <w:tcPr>
            <w:tcW w:w="1048"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w:t>
            </w:r>
          </w:p>
        </w:tc>
        <w:tc>
          <w:tcPr>
            <w:tcW w:w="1154"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w:t>
            </w:r>
          </w:p>
        </w:tc>
        <w:tc>
          <w:tcPr>
            <w:tcW w:w="1048"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w:t>
            </w:r>
          </w:p>
        </w:tc>
        <w:tc>
          <w:tcPr>
            <w:tcW w:w="1108"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w:t>
            </w:r>
          </w:p>
        </w:tc>
        <w:tc>
          <w:tcPr>
            <w:tcW w:w="932"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w:t>
            </w:r>
          </w:p>
        </w:tc>
        <w:tc>
          <w:tcPr>
            <w:tcW w:w="1127"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(7)</w:t>
            </w:r>
          </w:p>
        </w:tc>
        <w:tc>
          <w:tcPr>
            <w:tcW w:w="1011"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w:t>
            </w:r>
          </w:p>
        </w:tc>
      </w:tr>
      <w:tr w:rsidR="007E51DC" w:rsidRPr="00AE44FE" w:rsidTr="00456AEA">
        <w:trPr>
          <w:jc w:val="center"/>
        </w:trPr>
        <w:tc>
          <w:tcPr>
            <w:tcW w:w="2430"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48"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154"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48"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108"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32"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127"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1"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m:oMath>
              <m:r>
                <w:rPr>
                  <w:rFonts w:ascii="Cambria Math" w:hAnsi="Cambria Math" w:cs="Times New Roman"/>
                  <w:sz w:val="20"/>
                  <w:szCs w:val="20"/>
                </w:rPr>
                <m:t>∆</m:t>
              </m:r>
            </m:oMath>
            <w:r w:rsidRPr="00AE44FE">
              <w:rPr>
                <w:rFonts w:ascii="Times New Roman" w:hAnsi="Times New Roman" w:cs="Times New Roman"/>
                <w:sz w:val="20"/>
                <w:szCs w:val="20"/>
              </w:rPr>
              <w:t>Retention Rate (RER)</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-0.786</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-0.093</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0.292</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b/>
                <w:sz w:val="20"/>
                <w:szCs w:val="20"/>
              </w:rPr>
            </w:pPr>
            <w:r w:rsidRPr="00AE44FE">
              <w:rPr>
                <w:rFonts w:ascii="Times New Roman" w:hAnsi="Times New Roman" w:cs="Times New Roman"/>
                <w:b/>
                <w:sz w:val="20"/>
                <w:szCs w:val="20"/>
              </w:rPr>
              <w:t>0.076**</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-0.697</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-0.100</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0.630</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b/>
                <w:sz w:val="20"/>
                <w:szCs w:val="20"/>
              </w:rPr>
            </w:pPr>
            <w:r w:rsidRPr="00AE44FE">
              <w:rPr>
                <w:rFonts w:ascii="Times New Roman" w:hAnsi="Times New Roman" w:cs="Times New Roman"/>
                <w:b/>
                <w:sz w:val="20"/>
                <w:szCs w:val="20"/>
              </w:rPr>
              <w:t>0.185**</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(1.610)</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(0.300)</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(0.189)</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(0.030)</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(1.040)</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(0.161)</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(0.411)</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Implemented FDI</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4.564***</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-0.356</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-0.077</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-0.069</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3.078***</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-0.055</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-0.151</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-0.204</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(1.136)</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(0.609)</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(0.141)</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(0.061)</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(0.694)</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(0.326)</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(0.296)</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(0.161)</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Industry index on log</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-19.786</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-1.895</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-10.666***</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0.102</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2.171</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1.741</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-22.104***</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-0.068</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(18.023)</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(5.354)</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(2.953)</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(0.540)</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(10.965)</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(2.870)</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(6.266)</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(1.420)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Multidimensional poverty</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-0.133</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0.371</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-0.045</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0.023</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-0.081</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0.080</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-0.073</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0.194***</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(0.273)</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(0.266)</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(0.037)</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(0.027)</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(0.170)</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(0.143)</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(0.076)</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(0.071)</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High-quality labor rate</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-0.620*</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0.382</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-0.080*</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-0.060</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-0.313</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0.249</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-0.170*</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-0.154</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(0.375)</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(0.371)</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(0.042)</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(0.037)</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(0.217)</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(0.199)</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(0.089)</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(0.098)</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Literacy</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-73.148*</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132.824**</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10.323*</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16.657**</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-65.943***</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42.926</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23.220*</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35.637**</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(41.633)</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(66.480)</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(6.098)</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(6.700)</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(24.164)</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(35.643)</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(12.702)</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(17.628)</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Urbanization rate</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1.636</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25.902</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0.769</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2.116</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2.178</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-0.049</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1.618</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3.466</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(13.981)</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(17.943)</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(1.714)</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(1.808)</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(8.662)</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(9.620)</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(3.616)</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(4.758)</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PCI on log</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69.889**</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28.483</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-1.206</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4.140**</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40.921**</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10.630</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-1.463</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11.563**</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(32.279)</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(19.343)</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(3.742)</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(1.949)</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(20.284)</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(10.370)</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(7.365)</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(5.129)</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Private sector development</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-20.260</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10.275</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2.565</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3.519</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-17.712*</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-4.867</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5.512</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13.005**</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(17.423)</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(23.011)</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(1.944)</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(2.319)</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(10.568)</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(12.337)</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(4.060)</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(6.102)</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Number of teachers</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Year dummies</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r>
      <w:tr w:rsidR="007E51DC" w:rsidRPr="00AE44FE" w:rsidTr="00456AEA">
        <w:trPr>
          <w:jc w:val="center"/>
        </w:trPr>
        <w:tc>
          <w:tcPr>
            <w:tcW w:w="2430" w:type="dxa"/>
            <w:tcBorders>
              <w:top w:val="nil"/>
              <w:left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48"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154"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48"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108"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32"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127"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1"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Constant</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57.747</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-84.322</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129.475***</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49.544***</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13.891</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30.567</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227.960***</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51.382*</w:t>
            </w:r>
          </w:p>
        </w:tc>
      </w:tr>
      <w:tr w:rsidR="007E51DC" w:rsidRPr="00AE44FE" w:rsidTr="00456AEA">
        <w:trPr>
          <w:jc w:val="center"/>
        </w:trPr>
        <w:tc>
          <w:tcPr>
            <w:tcW w:w="243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016"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(170.410)</w:t>
            </w:r>
          </w:p>
        </w:tc>
        <w:tc>
          <w:tcPr>
            <w:tcW w:w="1048"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(103.170)</w:t>
            </w:r>
          </w:p>
        </w:tc>
        <w:tc>
          <w:tcPr>
            <w:tcW w:w="1154"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(23.415)</w:t>
            </w:r>
          </w:p>
        </w:tc>
        <w:tc>
          <w:tcPr>
            <w:tcW w:w="1048"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(10.397)</w:t>
            </w:r>
          </w:p>
        </w:tc>
        <w:tc>
          <w:tcPr>
            <w:tcW w:w="1108"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(105.983)</w:t>
            </w:r>
          </w:p>
        </w:tc>
        <w:tc>
          <w:tcPr>
            <w:tcW w:w="932"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(55.314)</w:t>
            </w:r>
          </w:p>
        </w:tc>
        <w:tc>
          <w:tcPr>
            <w:tcW w:w="1127"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(47.892)</w:t>
            </w:r>
          </w:p>
        </w:tc>
        <w:tc>
          <w:tcPr>
            <w:tcW w:w="1011"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(27.357)</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Observations</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R-squared</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0.173</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0.589</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0.305</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0.830</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0.097</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0.059</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0.691</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0.957</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Number of years</w:t>
            </w:r>
          </w:p>
        </w:tc>
        <w:tc>
          <w:tcPr>
            <w:tcW w:w="101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w:t>
            </w:r>
          </w:p>
        </w:tc>
        <w:tc>
          <w:tcPr>
            <w:tcW w:w="1154"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w:t>
            </w:r>
          </w:p>
        </w:tc>
        <w:tc>
          <w:tcPr>
            <w:tcW w:w="104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w:t>
            </w:r>
          </w:p>
        </w:tc>
        <w:tc>
          <w:tcPr>
            <w:tcW w:w="110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w:t>
            </w:r>
          </w:p>
        </w:tc>
        <w:tc>
          <w:tcPr>
            <w:tcW w:w="93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w:t>
            </w:r>
          </w:p>
        </w:tc>
        <w:tc>
          <w:tcPr>
            <w:tcW w:w="1127"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w:t>
            </w:r>
          </w:p>
        </w:tc>
        <w:tc>
          <w:tcPr>
            <w:tcW w:w="101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w:t>
            </w:r>
          </w:p>
        </w:tc>
      </w:tr>
      <w:tr w:rsidR="007E51DC" w:rsidRPr="00AE44FE" w:rsidTr="00456AEA">
        <w:tblPrEx>
          <w:tblBorders>
            <w:bottom w:val="single" w:sz="6" w:space="0" w:color="auto"/>
          </w:tblBorders>
        </w:tblPrEx>
        <w:trPr>
          <w:jc w:val="center"/>
        </w:trPr>
        <w:tc>
          <w:tcPr>
            <w:tcW w:w="243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Number of provinces/cities</w:t>
            </w:r>
          </w:p>
        </w:tc>
        <w:tc>
          <w:tcPr>
            <w:tcW w:w="1016"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48"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154"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48"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108"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32"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127"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1"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r>
    </w:tbl>
    <w:p w:rsidR="007E51DC" w:rsidRPr="00AE44FE" w:rsidRDefault="007E51DC" w:rsidP="007E51DC">
      <w:pPr>
        <w:widowControl w:val="0"/>
        <w:autoSpaceDE w:val="0"/>
        <w:autoSpaceDN w:val="0"/>
        <w:adjustRightInd w:val="0"/>
        <w:spacing w:after="360" w:line="240" w:lineRule="auto"/>
        <w:jc w:val="both"/>
        <w:rPr>
          <w:rFonts w:ascii="Times New Roman" w:hAnsi="Times New Roman" w:cs="Times New Roman"/>
          <w:sz w:val="20"/>
          <w:szCs w:val="20"/>
        </w:rPr>
      </w:pPr>
      <w:r w:rsidRPr="00AE44FE">
        <w:rPr>
          <w:rFonts w:ascii="Times New Roman" w:hAnsi="Times New Roman" w:cs="Times New Roman"/>
          <w:sz w:val="24"/>
          <w:szCs w:val="20"/>
        </w:rPr>
        <w:t xml:space="preserve">Source: Authors. </w:t>
      </w:r>
      <w:r w:rsidRPr="00AE44FE">
        <w:rPr>
          <w:rFonts w:ascii="Times New Roman" w:hAnsi="Times New Roman" w:cs="Times New Roman"/>
          <w:i/>
          <w:sz w:val="20"/>
          <w:szCs w:val="20"/>
        </w:rPr>
        <w:t>Notes: Multidimensional poverty assesses various facets of individuals’ well-being, such as income, access to clean water, healthcare, electricity, and other relevant considerations. Private sector development is computed as the total number of workers in both domestic and foreign-owned private enterprises relative to the total labor force. Data for this analysis was collected across 63 provinces/cities from 2012 to 2019. Robust standard errors are reported in parentheses, with significance levels denoted as *** p&lt;0.01, ** p&lt;0.05, * p&lt;0.1.</w:t>
      </w:r>
    </w:p>
    <w:p w:rsidR="007E51DC" w:rsidRPr="00AE44FE" w:rsidRDefault="007E51DC" w:rsidP="007E51DC">
      <w:pPr>
        <w:pStyle w:val="Caption"/>
        <w:rPr>
          <w:rFonts w:ascii="Times New Roman" w:hAnsi="Times New Roman" w:cs="Times New Roman"/>
          <w:b/>
          <w:i w:val="0"/>
          <w:color w:val="000000" w:themeColor="text1"/>
          <w:sz w:val="20"/>
          <w:szCs w:val="20"/>
        </w:rPr>
      </w:pPr>
      <w:r>
        <w:rPr>
          <w:rFonts w:ascii="Times New Roman" w:hAnsi="Times New Roman" w:cs="Times New Roman"/>
          <w:b/>
          <w:i w:val="0"/>
          <w:color w:val="000000" w:themeColor="text1"/>
          <w:sz w:val="20"/>
        </w:rPr>
        <w:t>Appendix 6</w:t>
      </w:r>
      <w:r w:rsidRPr="00AE44FE">
        <w:rPr>
          <w:rFonts w:ascii="Times New Roman" w:hAnsi="Times New Roman" w:cs="Times New Roman"/>
          <w:b/>
          <w:i w:val="0"/>
          <w:color w:val="000000" w:themeColor="text1"/>
          <w:sz w:val="20"/>
          <w:szCs w:val="20"/>
        </w:rPr>
        <w:t xml:space="preserve">. </w:t>
      </w:r>
      <w:r w:rsidRPr="00AE44FE">
        <w:rPr>
          <w:rFonts w:ascii="Times New Roman" w:eastAsiaTheme="minorEastAsia" w:hAnsi="Times New Roman" w:cs="Times New Roman"/>
          <w:b/>
          <w:i w:val="0"/>
          <w:color w:val="000000" w:themeColor="text1"/>
          <w:sz w:val="20"/>
          <w:szCs w:val="20"/>
        </w:rPr>
        <w:t xml:space="preserve">Lagged effects of </w:t>
      </w:r>
      <m:oMath>
        <m:r>
          <m:rPr>
            <m:sty m:val="bi"/>
          </m:rPr>
          <w:rPr>
            <w:rFonts w:ascii="Cambria Math" w:hAnsi="Cambria Math" w:cs="Times New Roman"/>
            <w:color w:val="000000" w:themeColor="text1"/>
            <w:sz w:val="20"/>
            <w:szCs w:val="20"/>
          </w:rPr>
          <m:t>∆</m:t>
        </m:r>
      </m:oMath>
      <w:r w:rsidRPr="00AE44FE">
        <w:rPr>
          <w:rFonts w:ascii="Times New Roman" w:hAnsi="Times New Roman" w:cs="Times New Roman"/>
          <w:b/>
          <w:i w:val="0"/>
          <w:color w:val="000000" w:themeColor="text1"/>
          <w:sz w:val="20"/>
          <w:szCs w:val="20"/>
        </w:rPr>
        <w:t>Retention rate on TFPI and its components</w:t>
      </w:r>
    </w:p>
    <w:tbl>
      <w:tblPr>
        <w:tblW w:w="10710" w:type="dxa"/>
        <w:jc w:val="center"/>
        <w:tblLayout w:type="fixed"/>
        <w:tblCellMar>
          <w:left w:w="75" w:type="dxa"/>
          <w:right w:w="75" w:type="dxa"/>
        </w:tblCellMar>
        <w:tblLook w:val="0000" w:firstRow="0" w:lastRow="0" w:firstColumn="0" w:lastColumn="0" w:noHBand="0" w:noVBand="0"/>
      </w:tblPr>
      <w:tblGrid>
        <w:gridCol w:w="2430"/>
        <w:gridCol w:w="988"/>
        <w:gridCol w:w="1070"/>
        <w:gridCol w:w="1002"/>
        <w:gridCol w:w="1033"/>
        <w:gridCol w:w="1056"/>
        <w:gridCol w:w="1050"/>
        <w:gridCol w:w="1001"/>
        <w:gridCol w:w="1080"/>
      </w:tblGrid>
      <w:tr w:rsidR="007E51DC" w:rsidRPr="00AE44FE" w:rsidTr="00456AEA">
        <w:trPr>
          <w:jc w:val="center"/>
        </w:trPr>
        <w:tc>
          <w:tcPr>
            <w:tcW w:w="2430" w:type="dxa"/>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Dependent variables:</w:t>
            </w:r>
          </w:p>
        </w:tc>
        <w:tc>
          <w:tcPr>
            <w:tcW w:w="2058"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TFPI</w:t>
            </w:r>
          </w:p>
        </w:tc>
        <w:tc>
          <w:tcPr>
            <w:tcW w:w="2035"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OSEI</w:t>
            </w:r>
          </w:p>
        </w:tc>
        <w:tc>
          <w:tcPr>
            <w:tcW w:w="2106"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OTEI</w:t>
            </w:r>
          </w:p>
        </w:tc>
        <w:tc>
          <w:tcPr>
            <w:tcW w:w="2081"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m:oMathPara>
              <m:oMath>
                <m:r>
                  <w:rPr>
                    <w:rFonts w:ascii="Cambria Math" w:hAnsi="Cambria Math" w:cs="Times New Roman"/>
                    <w:sz w:val="20"/>
                    <w:szCs w:val="20"/>
                  </w:rPr>
                  <m:t>TECH=OSEI×</m:t>
                </m:r>
                <m:r>
                  <w:rPr>
                    <w:rFonts w:ascii="Cambria Math" w:eastAsiaTheme="minorEastAsia" w:hAnsi="Cambria Math" w:cs="Times New Roman"/>
                    <w:sz w:val="20"/>
                    <w:szCs w:val="20"/>
                  </w:rPr>
                  <m:t>OTEI</m:t>
                </m:r>
              </m:oMath>
            </m:oMathPara>
          </w:p>
        </w:tc>
      </w:tr>
      <w:tr w:rsidR="007E51DC" w:rsidRPr="00AE44FE" w:rsidTr="00456AEA">
        <w:trPr>
          <w:jc w:val="center"/>
        </w:trPr>
        <w:tc>
          <w:tcPr>
            <w:tcW w:w="2430" w:type="dxa"/>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Meaning:</w:t>
            </w:r>
          </w:p>
        </w:tc>
        <w:tc>
          <w:tcPr>
            <w:tcW w:w="2058"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Total factor productivity</w:t>
            </w:r>
          </w:p>
        </w:tc>
        <w:tc>
          <w:tcPr>
            <w:tcW w:w="2035"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Allocative efficiency and scale efficiency in the use of inputs (i.e., labor, capital, land)</w:t>
            </w:r>
          </w:p>
        </w:tc>
        <w:tc>
          <w:tcPr>
            <w:tcW w:w="2106"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Technical efficiency, known as learning-by-doing, denotes the effective dissemination of achievements between provinces/cities</w:t>
            </w:r>
          </w:p>
        </w:tc>
        <w:tc>
          <w:tcPr>
            <w:tcW w:w="2081" w:type="dxa"/>
            <w:gridSpan w:val="2"/>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eastAsia="Calibri" w:hAnsi="Times New Roman" w:cs="Times New Roman"/>
                <w:sz w:val="20"/>
                <w:szCs w:val="20"/>
              </w:rPr>
              <w:t>Effective after ruling out all environmental shocks and other stochastic factors</w:t>
            </w:r>
          </w:p>
        </w:tc>
      </w:tr>
      <w:tr w:rsidR="007E51DC" w:rsidRPr="00AE44FE" w:rsidTr="00456AEA">
        <w:trPr>
          <w:jc w:val="center"/>
        </w:trPr>
        <w:tc>
          <w:tcPr>
            <w:tcW w:w="2430"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Estimators:</w:t>
            </w:r>
          </w:p>
        </w:tc>
        <w:tc>
          <w:tcPr>
            <w:tcW w:w="988"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OLS</w:t>
            </w:r>
          </w:p>
        </w:tc>
        <w:tc>
          <w:tcPr>
            <w:tcW w:w="1070"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1002"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OLS</w:t>
            </w:r>
          </w:p>
        </w:tc>
        <w:tc>
          <w:tcPr>
            <w:tcW w:w="1033"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1056"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OLS</w:t>
            </w:r>
          </w:p>
        </w:tc>
        <w:tc>
          <w:tcPr>
            <w:tcW w:w="1050"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1001"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OLS</w:t>
            </w:r>
          </w:p>
        </w:tc>
        <w:tc>
          <w:tcPr>
            <w:tcW w:w="1080"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r>
      <w:tr w:rsidR="007E51DC" w:rsidRPr="00AE44FE" w:rsidTr="00456AEA">
        <w:trPr>
          <w:jc w:val="center"/>
        </w:trPr>
        <w:tc>
          <w:tcPr>
            <w:tcW w:w="2430"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w:t>
            </w:r>
          </w:p>
        </w:tc>
        <w:tc>
          <w:tcPr>
            <w:tcW w:w="1070"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w:t>
            </w:r>
          </w:p>
        </w:tc>
        <w:tc>
          <w:tcPr>
            <w:tcW w:w="1002"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w:t>
            </w:r>
          </w:p>
        </w:tc>
        <w:tc>
          <w:tcPr>
            <w:tcW w:w="1033"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w:t>
            </w:r>
          </w:p>
        </w:tc>
        <w:tc>
          <w:tcPr>
            <w:tcW w:w="1056"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w:t>
            </w:r>
          </w:p>
        </w:tc>
        <w:tc>
          <w:tcPr>
            <w:tcW w:w="1050"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w:t>
            </w:r>
          </w:p>
        </w:tc>
        <w:tc>
          <w:tcPr>
            <w:tcW w:w="1001"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(7)</w:t>
            </w:r>
          </w:p>
        </w:tc>
        <w:tc>
          <w:tcPr>
            <w:tcW w:w="1080"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w:t>
            </w:r>
          </w:p>
        </w:tc>
      </w:tr>
      <w:tr w:rsidR="007E51DC" w:rsidRPr="00AE44FE" w:rsidTr="00456AEA">
        <w:trPr>
          <w:jc w:val="center"/>
        </w:trPr>
        <w:tc>
          <w:tcPr>
            <w:tcW w:w="2430"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70"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02"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33"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56"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50"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01"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80"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 xml:space="preserve">One-year lagged </w:t>
            </w:r>
            <m:oMath>
              <m:r>
                <w:rPr>
                  <w:rFonts w:ascii="Cambria Math" w:hAnsi="Cambria Math" w:cs="Times New Roman"/>
                  <w:sz w:val="20"/>
                  <w:szCs w:val="20"/>
                </w:rPr>
                <m:t>∆</m:t>
              </m:r>
            </m:oMath>
            <w:r w:rsidRPr="00AE44FE">
              <w:rPr>
                <w:rFonts w:ascii="Times New Roman" w:hAnsi="Times New Roman" w:cs="Times New Roman"/>
                <w:sz w:val="20"/>
                <w:szCs w:val="20"/>
              </w:rPr>
              <w:t>RER</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0.230</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0.047**</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0.066</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0.118**</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(0.200)</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(0.020)</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(0.107)</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(0.053)</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 xml:space="preserve">Two-year lagged </w:t>
            </w:r>
            <m:oMath>
              <m:r>
                <w:rPr>
                  <w:rFonts w:ascii="Cambria Math" w:hAnsi="Cambria Math" w:cs="Times New Roman"/>
                  <w:sz w:val="20"/>
                  <w:szCs w:val="20"/>
                </w:rPr>
                <m:t>∆</m:t>
              </m:r>
            </m:oMath>
            <w:r w:rsidRPr="00AE44FE">
              <w:rPr>
                <w:rFonts w:ascii="Times New Roman" w:hAnsi="Times New Roman" w:cs="Times New Roman"/>
                <w:sz w:val="20"/>
                <w:szCs w:val="20"/>
              </w:rPr>
              <w:t>RER</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-0.006</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0.060***</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-0.103</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0.177***</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(0.198)</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(0.020)</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(0.106)</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(0.052)</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Implemented FDI</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-0.377</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-0.350</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-0.079</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-0.082</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-0.057</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-0.035</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-0.227</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-0.238</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(0.608)</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(0.609)</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(0.061)</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(0.061)</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(0.327)</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(0.326)</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(0.162)</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Industry index on log</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-1.955</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-1.895</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0.087</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0.122</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1.726</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1.707</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-0.105</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-0.009</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(5.346)</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(5.355)</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(0.540)</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(0.538)</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(2.870)</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(2.869)</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(1.421)</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(1.410)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Multidimensional poverty</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0.387</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0.373</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0.023</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0.025</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0.087</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0.075</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0.195***</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0.203***</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(0.266)</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(0.267)</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(0.027)</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(0.027)</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(0.143)</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(0.143)</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(0.071)</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High-quality labor rate</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0.381</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0.380</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-0.058</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-0.055</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0.247</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0.242</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-0.149</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-0.141</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(0.370)</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(0.371)</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(0.037)</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(0.037)</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(0.199)</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(0.199)</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(0.098)</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(0.098)</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Literacy</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115.390*</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131.048**</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15.057**</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16.975**</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36.417</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43.016</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31.483*</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35.775**</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(67.466)</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(66.329)</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(6.816)</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(6.662)</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(36.224)</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(35.534)</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(17.926)</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(17.463)</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Urbanization rate</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26.336</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25.818</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2.266</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2.393</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0.028</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-0.507</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3.838</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4.259</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(17.921)</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(17.959)</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(1.811)</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(1.804)</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(9.622)</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(9.621)</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(4.762)</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(4.728)</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PCI on log</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28.219</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28.550</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3.940**</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4.737**</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10.667</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9.552</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11.068**</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13.388***</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(19.313)</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(19.483)</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(1.951)</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(1.957)</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(10.369)</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(10.438)</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(5.132)</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(5.130)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Private sector development</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9.415</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10.416</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3.265</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2.866</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-5.054</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-3.767</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12.371**</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11.109*</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(22.991)</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(23.095)</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(2.323)</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(2.320)</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(12.344)</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(12.373)</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(6.109)</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(6.080)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Number of teachers</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Year dummies</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r>
      <w:tr w:rsidR="007E51DC" w:rsidRPr="00AE44FE" w:rsidTr="00456AEA">
        <w:trPr>
          <w:jc w:val="center"/>
        </w:trPr>
        <w:tc>
          <w:tcPr>
            <w:tcW w:w="2430" w:type="dxa"/>
            <w:tcBorders>
              <w:top w:val="nil"/>
              <w:left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Constant</w:t>
            </w:r>
          </w:p>
        </w:tc>
        <w:tc>
          <w:tcPr>
            <w:tcW w:w="988"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-65.732</w:t>
            </w:r>
          </w:p>
        </w:tc>
        <w:tc>
          <w:tcPr>
            <w:tcW w:w="1070"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-83.323</w:t>
            </w:r>
          </w:p>
        </w:tc>
        <w:tc>
          <w:tcPr>
            <w:tcW w:w="1002"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52.478***</w:t>
            </w:r>
          </w:p>
        </w:tc>
        <w:tc>
          <w:tcPr>
            <w:tcW w:w="1033"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47.314***</w:t>
            </w:r>
          </w:p>
        </w:tc>
        <w:tc>
          <w:tcPr>
            <w:tcW w:w="1056"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36.561</w:t>
            </w:r>
          </w:p>
        </w:tc>
        <w:tc>
          <w:tcPr>
            <w:tcW w:w="1050"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34.136</w:t>
            </w:r>
          </w:p>
        </w:tc>
        <w:tc>
          <w:tcPr>
            <w:tcW w:w="1001"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58.828**</w:t>
            </w:r>
          </w:p>
        </w:tc>
        <w:tc>
          <w:tcPr>
            <w:tcW w:w="1080"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45.139*</w:t>
            </w:r>
          </w:p>
        </w:tc>
      </w:tr>
      <w:tr w:rsidR="007E51DC" w:rsidRPr="00AE44FE" w:rsidTr="00456AEA">
        <w:trPr>
          <w:jc w:val="center"/>
        </w:trPr>
        <w:tc>
          <w:tcPr>
            <w:tcW w:w="243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88"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(104.140)</w:t>
            </w:r>
          </w:p>
        </w:tc>
        <w:tc>
          <w:tcPr>
            <w:tcW w:w="107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(103.274)</w:t>
            </w:r>
          </w:p>
        </w:tc>
        <w:tc>
          <w:tcPr>
            <w:tcW w:w="1002"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(10.522)</w:t>
            </w:r>
          </w:p>
        </w:tc>
        <w:tc>
          <w:tcPr>
            <w:tcW w:w="1033"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(10.373)</w:t>
            </w:r>
          </w:p>
        </w:tc>
        <w:tc>
          <w:tcPr>
            <w:tcW w:w="1056"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(55.915)</w:t>
            </w:r>
          </w:p>
        </w:tc>
        <w:tc>
          <w:tcPr>
            <w:tcW w:w="105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(55.327)</w:t>
            </w:r>
          </w:p>
        </w:tc>
        <w:tc>
          <w:tcPr>
            <w:tcW w:w="1001"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(27.671)</w:t>
            </w:r>
          </w:p>
        </w:tc>
        <w:tc>
          <w:tcPr>
            <w:tcW w:w="108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(27.190)</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Observations</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r>
      <w:tr w:rsidR="007E51DC" w:rsidRPr="00AE44FE" w:rsidTr="00456AEA">
        <w:trPr>
          <w:jc w:val="center"/>
        </w:trPr>
        <w:tc>
          <w:tcPr>
            <w:tcW w:w="243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R-squared</w:t>
            </w:r>
          </w:p>
        </w:tc>
        <w:tc>
          <w:tcPr>
            <w:tcW w:w="98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0.590</w:t>
            </w:r>
          </w:p>
        </w:tc>
        <w:tc>
          <w:tcPr>
            <w:tcW w:w="10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0.589</w:t>
            </w:r>
          </w:p>
        </w:tc>
        <w:tc>
          <w:tcPr>
            <w:tcW w:w="100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0.829</w:t>
            </w:r>
          </w:p>
        </w:tc>
        <w:tc>
          <w:tcPr>
            <w:tcW w:w="1033"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0.831</w:t>
            </w:r>
          </w:p>
        </w:tc>
        <w:tc>
          <w:tcPr>
            <w:tcW w:w="105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0.059</w:t>
            </w:r>
          </w:p>
        </w:tc>
        <w:tc>
          <w:tcPr>
            <w:tcW w:w="105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0.060</w:t>
            </w:r>
          </w:p>
        </w:tc>
        <w:tc>
          <w:tcPr>
            <w:tcW w:w="1001"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0.957</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0.957</w:t>
            </w:r>
          </w:p>
        </w:tc>
      </w:tr>
      <w:tr w:rsidR="007E51DC" w:rsidRPr="00AE44FE" w:rsidTr="00456AEA">
        <w:tblPrEx>
          <w:tblBorders>
            <w:bottom w:val="single" w:sz="6" w:space="0" w:color="auto"/>
          </w:tblBorders>
        </w:tblPrEx>
        <w:trPr>
          <w:jc w:val="center"/>
        </w:trPr>
        <w:tc>
          <w:tcPr>
            <w:tcW w:w="243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Number of provinces/cities</w:t>
            </w:r>
          </w:p>
        </w:tc>
        <w:tc>
          <w:tcPr>
            <w:tcW w:w="988"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07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002"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033"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056"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05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001"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08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r>
    </w:tbl>
    <w:p w:rsidR="007E51DC" w:rsidRPr="00AE44FE" w:rsidRDefault="007E51DC" w:rsidP="007E51DC">
      <w:pPr>
        <w:widowControl w:val="0"/>
        <w:autoSpaceDE w:val="0"/>
        <w:autoSpaceDN w:val="0"/>
        <w:adjustRightInd w:val="0"/>
        <w:spacing w:after="240" w:line="240" w:lineRule="auto"/>
        <w:jc w:val="both"/>
        <w:rPr>
          <w:rFonts w:ascii="Times New Roman" w:hAnsi="Times New Roman" w:cs="Times New Roman"/>
          <w:sz w:val="20"/>
          <w:szCs w:val="20"/>
        </w:rPr>
      </w:pPr>
      <w:r w:rsidRPr="00AE44FE">
        <w:rPr>
          <w:rFonts w:ascii="Times New Roman" w:hAnsi="Times New Roman" w:cs="Times New Roman"/>
          <w:sz w:val="24"/>
          <w:szCs w:val="20"/>
        </w:rPr>
        <w:t xml:space="preserve">Source: Authors. </w:t>
      </w:r>
      <w:r w:rsidRPr="00AE44FE">
        <w:rPr>
          <w:rFonts w:ascii="Times New Roman" w:hAnsi="Times New Roman" w:cs="Times New Roman"/>
          <w:i/>
          <w:sz w:val="20"/>
          <w:szCs w:val="20"/>
        </w:rPr>
        <w:t xml:space="preserve">Notes: Multidimensional poverty assesses various facets of individuals’ well-being, such as income, access to clean water, healthcare, electricity, and other relevant considerations. Private sector development </w:t>
      </w:r>
      <w:r w:rsidRPr="00AE44FE">
        <w:rPr>
          <w:rFonts w:ascii="Times New Roman" w:hAnsi="Times New Roman" w:cs="Times New Roman"/>
          <w:i/>
          <w:sz w:val="20"/>
          <w:szCs w:val="20"/>
        </w:rPr>
        <w:lastRenderedPageBreak/>
        <w:t>is computed as the total number of workers in both domestic and foreign-owned private enterprises relative to the total labor force. Data for this analysis was collected across 63 provinces/cities from 2012 to 2019. Robust standard errors are reported in parentheses, with significance levels denoted as *** p&lt;0.01, ** p&lt;0.05, * p&lt;0.1.</w:t>
      </w:r>
    </w:p>
    <w:p w:rsidR="007E51DC" w:rsidRDefault="007E51DC" w:rsidP="007E51DC">
      <w:pPr>
        <w:rPr>
          <w:rFonts w:ascii="Times New Roman" w:hAnsi="Times New Roman" w:cs="Times New Roman"/>
          <w:i/>
          <w:sz w:val="20"/>
          <w:szCs w:val="24"/>
        </w:rPr>
      </w:pPr>
    </w:p>
    <w:p w:rsidR="007E51DC" w:rsidRPr="00AE44FE" w:rsidRDefault="007E51DC" w:rsidP="007E51DC">
      <w:pPr>
        <w:pStyle w:val="Caption"/>
        <w:rPr>
          <w:rFonts w:ascii="Times New Roman" w:hAnsi="Times New Roman" w:cs="Times New Roman"/>
          <w:b/>
          <w:i w:val="0"/>
          <w:color w:val="000000" w:themeColor="text1"/>
          <w:sz w:val="28"/>
          <w:szCs w:val="24"/>
        </w:rPr>
      </w:pPr>
      <w:r>
        <w:rPr>
          <w:rFonts w:ascii="Times New Roman" w:hAnsi="Times New Roman" w:cs="Times New Roman"/>
          <w:b/>
          <w:i w:val="0"/>
          <w:color w:val="000000" w:themeColor="text1"/>
          <w:sz w:val="20"/>
        </w:rPr>
        <w:t>Appendix 7</w:t>
      </w:r>
      <w:r w:rsidRPr="00AE44FE">
        <w:rPr>
          <w:rFonts w:ascii="Times New Roman" w:hAnsi="Times New Roman" w:cs="Times New Roman"/>
          <w:b/>
          <w:i w:val="0"/>
          <w:color w:val="000000" w:themeColor="text1"/>
          <w:sz w:val="20"/>
        </w:rPr>
        <w:t>. Robustness check: Mechanism tests</w:t>
      </w:r>
    </w:p>
    <w:tbl>
      <w:tblPr>
        <w:tblW w:w="10928" w:type="dxa"/>
        <w:jc w:val="center"/>
        <w:tblLayout w:type="fixed"/>
        <w:tblCellMar>
          <w:left w:w="75" w:type="dxa"/>
          <w:right w:w="75" w:type="dxa"/>
        </w:tblCellMar>
        <w:tblLook w:val="04A0" w:firstRow="1" w:lastRow="0" w:firstColumn="1" w:lastColumn="0" w:noHBand="0" w:noVBand="1"/>
      </w:tblPr>
      <w:tblGrid>
        <w:gridCol w:w="2250"/>
        <w:gridCol w:w="968"/>
        <w:gridCol w:w="1013"/>
        <w:gridCol w:w="967"/>
        <w:gridCol w:w="1012"/>
        <w:gridCol w:w="982"/>
        <w:gridCol w:w="998"/>
        <w:gridCol w:w="900"/>
        <w:gridCol w:w="937"/>
        <w:gridCol w:w="901"/>
      </w:tblGrid>
      <w:tr w:rsidR="007E51DC" w:rsidRPr="00AE44FE" w:rsidTr="00456AEA">
        <w:trPr>
          <w:jc w:val="center"/>
        </w:trPr>
        <w:tc>
          <w:tcPr>
            <w:tcW w:w="2250"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2948" w:type="dxa"/>
            <w:gridSpan w:val="3"/>
            <w:tcBorders>
              <w:top w:val="single" w:sz="6" w:space="0" w:color="auto"/>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GRDP/capital stock</w:t>
            </w:r>
          </w:p>
        </w:tc>
        <w:tc>
          <w:tcPr>
            <w:tcW w:w="2992" w:type="dxa"/>
            <w:gridSpan w:val="3"/>
            <w:tcBorders>
              <w:top w:val="single" w:sz="6" w:space="0" w:color="auto"/>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Budget spending</w:t>
            </w:r>
          </w:p>
        </w:tc>
        <w:tc>
          <w:tcPr>
            <w:tcW w:w="2738" w:type="dxa"/>
            <w:gridSpan w:val="3"/>
            <w:tcBorders>
              <w:top w:val="single" w:sz="6" w:space="0" w:color="auto"/>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Literacy</w:t>
            </w:r>
          </w:p>
        </w:tc>
      </w:tr>
      <w:tr w:rsidR="007E51DC" w:rsidRPr="00AE44FE" w:rsidTr="00456AEA">
        <w:trPr>
          <w:jc w:val="center"/>
        </w:trPr>
        <w:tc>
          <w:tcPr>
            <w:tcW w:w="2250"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2948" w:type="dxa"/>
            <w:gridSpan w:val="3"/>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2992" w:type="dxa"/>
            <w:gridSpan w:val="3"/>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2738" w:type="dxa"/>
            <w:gridSpan w:val="3"/>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r>
      <w:tr w:rsidR="007E51DC" w:rsidRPr="00AE44FE" w:rsidTr="00456AEA">
        <w:trPr>
          <w:jc w:val="center"/>
        </w:trPr>
        <w:tc>
          <w:tcPr>
            <w:tcW w:w="2250"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tcBorders>
              <w:top w:val="single" w:sz="6" w:space="0" w:color="auto"/>
              <w:left w:val="nil"/>
              <w:bottom w:val="single" w:sz="4"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w:t>
            </w:r>
          </w:p>
        </w:tc>
        <w:tc>
          <w:tcPr>
            <w:tcW w:w="1013" w:type="dxa"/>
            <w:tcBorders>
              <w:top w:val="single" w:sz="6" w:space="0" w:color="auto"/>
              <w:left w:val="nil"/>
              <w:bottom w:val="single" w:sz="4"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w:t>
            </w:r>
          </w:p>
        </w:tc>
        <w:tc>
          <w:tcPr>
            <w:tcW w:w="967" w:type="dxa"/>
            <w:tcBorders>
              <w:top w:val="single" w:sz="6" w:space="0" w:color="auto"/>
              <w:left w:val="nil"/>
              <w:bottom w:val="single" w:sz="4"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w:t>
            </w:r>
          </w:p>
        </w:tc>
        <w:tc>
          <w:tcPr>
            <w:tcW w:w="1012" w:type="dxa"/>
            <w:tcBorders>
              <w:top w:val="single" w:sz="6" w:space="0" w:color="auto"/>
              <w:left w:val="nil"/>
              <w:bottom w:val="single" w:sz="4"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w:t>
            </w:r>
          </w:p>
        </w:tc>
        <w:tc>
          <w:tcPr>
            <w:tcW w:w="982" w:type="dxa"/>
            <w:tcBorders>
              <w:top w:val="single" w:sz="6" w:space="0" w:color="auto"/>
              <w:left w:val="nil"/>
              <w:bottom w:val="single" w:sz="4"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w:t>
            </w:r>
          </w:p>
        </w:tc>
        <w:tc>
          <w:tcPr>
            <w:tcW w:w="998" w:type="dxa"/>
            <w:tcBorders>
              <w:top w:val="single" w:sz="6" w:space="0" w:color="auto"/>
              <w:left w:val="nil"/>
              <w:bottom w:val="single" w:sz="4"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w:t>
            </w:r>
          </w:p>
        </w:tc>
        <w:tc>
          <w:tcPr>
            <w:tcW w:w="900" w:type="dxa"/>
            <w:tcBorders>
              <w:top w:val="single" w:sz="6" w:space="0" w:color="auto"/>
              <w:left w:val="nil"/>
              <w:bottom w:val="single" w:sz="4"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(7)</w:t>
            </w:r>
          </w:p>
        </w:tc>
        <w:tc>
          <w:tcPr>
            <w:tcW w:w="937" w:type="dxa"/>
            <w:tcBorders>
              <w:top w:val="single" w:sz="6" w:space="0" w:color="auto"/>
              <w:left w:val="nil"/>
              <w:bottom w:val="single" w:sz="4"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w:t>
            </w:r>
          </w:p>
        </w:tc>
        <w:tc>
          <w:tcPr>
            <w:tcW w:w="901" w:type="dxa"/>
            <w:tcBorders>
              <w:top w:val="single" w:sz="6" w:space="0" w:color="auto"/>
              <w:left w:val="nil"/>
              <w:bottom w:val="single" w:sz="4"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w:t>
            </w:r>
          </w:p>
        </w:tc>
      </w:tr>
      <w:tr w:rsidR="007E51DC" w:rsidRPr="00AE44FE" w:rsidTr="00456AEA">
        <w:trPr>
          <w:jc w:val="center"/>
        </w:trPr>
        <w:tc>
          <w:tcPr>
            <w:tcW w:w="2250"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3"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2"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82"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98"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0"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37"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1" w:type="dxa"/>
            <w:tcBorders>
              <w:top w:val="single" w:sz="4"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m:oMath>
              <m:r>
                <w:rPr>
                  <w:rFonts w:ascii="Cambria Math" w:hAnsi="Cambria Math" w:cs="Times New Roman"/>
                  <w:sz w:val="20"/>
                  <w:szCs w:val="20"/>
                </w:rPr>
                <m:t>∆</m:t>
              </m:r>
            </m:oMath>
            <w:r w:rsidRPr="00AE44FE">
              <w:rPr>
                <w:rFonts w:ascii="Times New Roman" w:hAnsi="Times New Roman" w:cs="Times New Roman"/>
                <w:sz w:val="20"/>
                <w:szCs w:val="20"/>
              </w:rPr>
              <w:t>Retention rate (RER)</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c>
          <w:tcPr>
            <w:tcW w:w="1013"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0.008***</w:t>
            </w:r>
          </w:p>
        </w:tc>
        <w:tc>
          <w:tcPr>
            <w:tcW w:w="98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98"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37"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1"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(0.003)</w:t>
            </w:r>
          </w:p>
        </w:tc>
        <w:tc>
          <w:tcPr>
            <w:tcW w:w="1013"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8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98"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37"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1"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b/>
                <w:sz w:val="20"/>
                <w:szCs w:val="20"/>
              </w:rPr>
            </w:pPr>
            <w:r w:rsidRPr="00AE44FE">
              <w:rPr>
                <w:rFonts w:ascii="Times New Roman" w:eastAsiaTheme="minorEastAsia" w:hAnsi="Times New Roman" w:cs="Times New Roman"/>
                <w:sz w:val="20"/>
                <w:szCs w:val="20"/>
              </w:rPr>
              <w:t>One-year lagged</w:t>
            </w:r>
            <w:r w:rsidRPr="00AE44FE">
              <w:rPr>
                <w:rFonts w:eastAsiaTheme="minorEastAsia"/>
                <w:sz w:val="20"/>
                <w:szCs w:val="20"/>
              </w:rPr>
              <w:t xml:space="preserve"> </w:t>
            </w:r>
            <m:oMath>
              <m:r>
                <w:rPr>
                  <w:rFonts w:ascii="Cambria Math" w:hAnsi="Cambria Math" w:cs="Times New Roman"/>
                  <w:sz w:val="20"/>
                  <w:szCs w:val="20"/>
                </w:rPr>
                <m:t>∆</m:t>
              </m:r>
            </m:oMath>
            <w:r w:rsidRPr="00AE44FE">
              <w:rPr>
                <w:rFonts w:ascii="Times New Roman" w:hAnsi="Times New Roman" w:cs="Times New Roman"/>
                <w:sz w:val="20"/>
                <w:szCs w:val="20"/>
              </w:rPr>
              <w:t>RER</w:t>
            </w:r>
          </w:p>
        </w:tc>
        <w:tc>
          <w:tcPr>
            <w:tcW w:w="968"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c>
          <w:tcPr>
            <w:tcW w:w="967"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998"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0"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901"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67"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998"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0"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01"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eastAsiaTheme="minorEastAsia" w:hAnsi="Times New Roman" w:cs="Times New Roman"/>
                <w:sz w:val="20"/>
                <w:szCs w:val="20"/>
              </w:rPr>
              <w:t>Two-year lagged</w:t>
            </w:r>
            <w:r w:rsidRPr="00AE44FE">
              <w:rPr>
                <w:rFonts w:eastAsiaTheme="minorEastAsia"/>
                <w:sz w:val="20"/>
                <w:szCs w:val="20"/>
              </w:rPr>
              <w:t xml:space="preserve"> </w:t>
            </w:r>
            <m:oMath>
              <m:r>
                <w:rPr>
                  <w:rFonts w:ascii="Cambria Math" w:hAnsi="Cambria Math" w:cs="Times New Roman"/>
                  <w:sz w:val="20"/>
                  <w:szCs w:val="20"/>
                </w:rPr>
                <m:t>∆</m:t>
              </m:r>
            </m:oMath>
            <w:r w:rsidRPr="00AE44FE">
              <w:rPr>
                <w:rFonts w:ascii="Times New Roman" w:hAnsi="Times New Roman" w:cs="Times New Roman"/>
                <w:sz w:val="20"/>
                <w:szCs w:val="20"/>
              </w:rPr>
              <w:t>RER</w:t>
            </w:r>
          </w:p>
        </w:tc>
        <w:tc>
          <w:tcPr>
            <w:tcW w:w="968"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3"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c>
          <w:tcPr>
            <w:tcW w:w="101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8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0.003</w:t>
            </w:r>
          </w:p>
        </w:tc>
        <w:tc>
          <w:tcPr>
            <w:tcW w:w="900"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37"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13"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101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8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00"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37"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Implemented FDI</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-0.014**</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-0.014***</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-0.014***</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(0.005)</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(0.005)</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(0.005)</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(0.005)</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Industry index on log</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-0.012</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-0.013</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-0.011</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-0.007*</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-0.007*</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-0.007*</w:t>
            </w: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(0.048)</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(0.048)</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(0.048)</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(0.039)</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(0.040)</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(0.040)</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Multidimensional poverty</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-0.006***</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-0.006**</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-0.006**</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0.003</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High-quality labor rate</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(0.003)</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(0.003)</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(0.003)</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(0.003)</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(0.003)</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(0.003)</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Literacy</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0.745</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0.577</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0.762</w:t>
            </w:r>
          </w:p>
        </w:tc>
        <w:tc>
          <w:tcPr>
            <w:tcW w:w="101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8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98"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0"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37"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1"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(0.597)</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(0.605)</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(0.595)</w:t>
            </w:r>
          </w:p>
        </w:tc>
        <w:tc>
          <w:tcPr>
            <w:tcW w:w="101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8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98"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0"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37"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901"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Urbanization rate</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0.135</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0.146</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0.152</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-0.174</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-0.171</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-0.165</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0.005</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0.007</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0.006</w:t>
            </w: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(0.161)</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(0.161)</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(0.161)</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(0.132)</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(0.135)</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(0.135)</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(0.013)</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(0.013)</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(0.013)</w:t>
            </w: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PCI on log</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0.550***</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0.536***</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0.586***</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-0.164</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-0.179</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-0.156</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0.013</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0.011</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0.015</w:t>
            </w: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(0.174)</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(0.173)</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(0.175)</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(0.138)</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(0.141)</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(0.142)</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(0.014)</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(0.014)</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(0.014)</w:t>
            </w: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Private sector development</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0.044</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0.024</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0.057</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0.074</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0.048</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0.032*</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0.028*</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0.030*</w:t>
            </w: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(0.207)</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(0.206)</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(0.207)</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(0.185)</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(0.189)</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(0.189)</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(0.017)</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(0.016)</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(0.017)</w:t>
            </w: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Number of teachers</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2250" w:type="dxa"/>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Year dummies</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1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982"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998" w:type="dxa"/>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Constant</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9.922***</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10.180***</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9.788***</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0.856</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0.949</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0.858</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0.877***</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0.892***</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0.873***</w:t>
            </w:r>
          </w:p>
        </w:tc>
      </w:tr>
      <w:tr w:rsidR="007E51DC" w:rsidRPr="00AE44FE" w:rsidTr="00456AEA">
        <w:trPr>
          <w:jc w:val="center"/>
        </w:trPr>
        <w:tc>
          <w:tcPr>
            <w:tcW w:w="2250" w:type="dxa"/>
            <w:tcBorders>
              <w:bottom w:val="single" w:sz="4" w:space="0" w:color="auto"/>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968" w:type="dxa"/>
            <w:tcBorders>
              <w:bottom w:val="single" w:sz="4" w:space="0" w:color="auto"/>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(0.926)</w:t>
            </w:r>
          </w:p>
        </w:tc>
        <w:tc>
          <w:tcPr>
            <w:tcW w:w="1013" w:type="dxa"/>
            <w:tcBorders>
              <w:bottom w:val="single" w:sz="4" w:space="0" w:color="auto"/>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(0.935)</w:t>
            </w:r>
          </w:p>
        </w:tc>
        <w:tc>
          <w:tcPr>
            <w:tcW w:w="967" w:type="dxa"/>
            <w:tcBorders>
              <w:bottom w:val="single" w:sz="4" w:space="0" w:color="auto"/>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(0.926)</w:t>
            </w:r>
          </w:p>
        </w:tc>
        <w:tc>
          <w:tcPr>
            <w:tcW w:w="1012" w:type="dxa"/>
            <w:tcBorders>
              <w:bottom w:val="single" w:sz="4" w:space="0" w:color="auto"/>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(0.610)</w:t>
            </w:r>
          </w:p>
        </w:tc>
        <w:tc>
          <w:tcPr>
            <w:tcW w:w="982" w:type="dxa"/>
            <w:tcBorders>
              <w:bottom w:val="single" w:sz="4" w:space="0" w:color="auto"/>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(0.624)</w:t>
            </w:r>
          </w:p>
        </w:tc>
        <w:tc>
          <w:tcPr>
            <w:tcW w:w="998" w:type="dxa"/>
            <w:tcBorders>
              <w:bottom w:val="single" w:sz="4" w:space="0" w:color="auto"/>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(0.625)</w:t>
            </w:r>
          </w:p>
        </w:tc>
        <w:tc>
          <w:tcPr>
            <w:tcW w:w="900" w:type="dxa"/>
            <w:tcBorders>
              <w:bottom w:val="single" w:sz="4" w:space="0" w:color="auto"/>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(0.062)</w:t>
            </w:r>
          </w:p>
        </w:tc>
        <w:tc>
          <w:tcPr>
            <w:tcW w:w="937" w:type="dxa"/>
            <w:tcBorders>
              <w:bottom w:val="single" w:sz="4" w:space="0" w:color="auto"/>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(0.061)</w:t>
            </w:r>
          </w:p>
        </w:tc>
        <w:tc>
          <w:tcPr>
            <w:tcW w:w="901" w:type="dxa"/>
            <w:tcBorders>
              <w:bottom w:val="single" w:sz="4" w:space="0" w:color="auto"/>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(0.063)</w:t>
            </w: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Observations</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441</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441</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441</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r>
      <w:tr w:rsidR="007E51DC" w:rsidRPr="00AE44FE" w:rsidTr="00456AEA">
        <w:trPr>
          <w:jc w:val="center"/>
        </w:trPr>
        <w:tc>
          <w:tcPr>
            <w:tcW w:w="2250" w:type="dxa"/>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R-squared</w:t>
            </w:r>
          </w:p>
        </w:tc>
        <w:tc>
          <w:tcPr>
            <w:tcW w:w="96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0.235</w:t>
            </w:r>
          </w:p>
        </w:tc>
        <w:tc>
          <w:tcPr>
            <w:tcW w:w="1013"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0.239</w:t>
            </w:r>
          </w:p>
        </w:tc>
        <w:tc>
          <w:tcPr>
            <w:tcW w:w="96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0.238</w:t>
            </w:r>
          </w:p>
        </w:tc>
        <w:tc>
          <w:tcPr>
            <w:tcW w:w="101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0.510</w:t>
            </w:r>
          </w:p>
        </w:tc>
        <w:tc>
          <w:tcPr>
            <w:tcW w:w="982"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0.488</w:t>
            </w:r>
          </w:p>
        </w:tc>
        <w:tc>
          <w:tcPr>
            <w:tcW w:w="998"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0.491</w:t>
            </w:r>
          </w:p>
        </w:tc>
        <w:tc>
          <w:tcPr>
            <w:tcW w:w="900"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0.169</w:t>
            </w:r>
          </w:p>
        </w:tc>
        <w:tc>
          <w:tcPr>
            <w:tcW w:w="937"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0.195</w:t>
            </w:r>
          </w:p>
        </w:tc>
        <w:tc>
          <w:tcPr>
            <w:tcW w:w="901" w:type="dxa"/>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0.165</w:t>
            </w:r>
          </w:p>
        </w:tc>
      </w:tr>
      <w:tr w:rsidR="007E51DC" w:rsidRPr="00AE44FE" w:rsidTr="00456AEA">
        <w:trPr>
          <w:jc w:val="center"/>
        </w:trPr>
        <w:tc>
          <w:tcPr>
            <w:tcW w:w="2250" w:type="dxa"/>
            <w:tcBorders>
              <w:top w:val="nil"/>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Number of provinces/cities</w:t>
            </w:r>
          </w:p>
        </w:tc>
        <w:tc>
          <w:tcPr>
            <w:tcW w:w="968" w:type="dxa"/>
            <w:tcBorders>
              <w:top w:val="nil"/>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013" w:type="dxa"/>
            <w:tcBorders>
              <w:top w:val="nil"/>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967" w:type="dxa"/>
            <w:tcBorders>
              <w:top w:val="nil"/>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012" w:type="dxa"/>
            <w:tcBorders>
              <w:top w:val="nil"/>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982" w:type="dxa"/>
            <w:tcBorders>
              <w:top w:val="nil"/>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998" w:type="dxa"/>
            <w:tcBorders>
              <w:top w:val="nil"/>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900" w:type="dxa"/>
            <w:tcBorders>
              <w:top w:val="nil"/>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937" w:type="dxa"/>
            <w:tcBorders>
              <w:top w:val="nil"/>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901" w:type="dxa"/>
            <w:tcBorders>
              <w:top w:val="nil"/>
              <w:left w:val="nil"/>
              <w:bottom w:val="single" w:sz="6" w:space="0" w:color="auto"/>
              <w:right w:val="nil"/>
            </w:tcBorders>
            <w:hideMark/>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r>
    </w:tbl>
    <w:p w:rsidR="007E51DC" w:rsidRPr="00AE44FE" w:rsidRDefault="007E51DC" w:rsidP="007E51DC">
      <w:pPr>
        <w:widowControl w:val="0"/>
        <w:autoSpaceDE w:val="0"/>
        <w:autoSpaceDN w:val="0"/>
        <w:adjustRightInd w:val="0"/>
        <w:spacing w:after="240" w:line="240" w:lineRule="auto"/>
        <w:jc w:val="both"/>
        <w:rPr>
          <w:rFonts w:ascii="Times New Roman" w:hAnsi="Times New Roman" w:cs="Times New Roman"/>
          <w:sz w:val="20"/>
          <w:szCs w:val="20"/>
        </w:rPr>
      </w:pPr>
      <w:r w:rsidRPr="00AE44FE">
        <w:rPr>
          <w:rFonts w:ascii="Times New Roman" w:hAnsi="Times New Roman" w:cs="Times New Roman"/>
          <w:sz w:val="24"/>
          <w:szCs w:val="20"/>
        </w:rPr>
        <w:t xml:space="preserve">Source: Authors. </w:t>
      </w:r>
      <w:r w:rsidRPr="00AE44FE">
        <w:rPr>
          <w:rFonts w:ascii="Times New Roman" w:hAnsi="Times New Roman" w:cs="Times New Roman"/>
          <w:i/>
          <w:sz w:val="20"/>
          <w:szCs w:val="20"/>
        </w:rPr>
        <w:t>Notes: Multidimensional poverty assesses various facets of individuals’ well-being, such as income, access to clean water, healthcare, electricity, and other relevant considerations. Private sector development is computed as the total number of workers in both domestic and foreign-owned private enterprises relative to the total labor force. Data for this analysis was collected across 63 provinces/cities from 2012 to 2019. Robust standard errors are reported in parentheses, with significance levels denoted as *** p&lt;0.01, ** p&lt;0.05, * p&lt;0.1.</w:t>
      </w:r>
    </w:p>
    <w:p w:rsidR="007E51DC" w:rsidRDefault="007E51DC" w:rsidP="007E51DC">
      <w:pPr>
        <w:rPr>
          <w:rFonts w:ascii="Times New Roman" w:hAnsi="Times New Roman" w:cs="Times New Roman"/>
          <w:i/>
          <w:sz w:val="20"/>
          <w:szCs w:val="24"/>
        </w:rPr>
      </w:pPr>
    </w:p>
    <w:p w:rsidR="007E51DC" w:rsidRDefault="007E51DC" w:rsidP="007E51DC">
      <w:pPr>
        <w:rPr>
          <w:rFonts w:ascii="Times New Roman" w:hAnsi="Times New Roman" w:cs="Times New Roman"/>
          <w:sz w:val="24"/>
          <w:szCs w:val="24"/>
        </w:rPr>
      </w:pPr>
    </w:p>
    <w:p w:rsidR="007E51DC" w:rsidRPr="00AE44FE" w:rsidRDefault="007E51DC" w:rsidP="007E51DC">
      <w:pPr>
        <w:rPr>
          <w:rFonts w:ascii="Times New Roman" w:hAnsi="Times New Roman" w:cs="Times New Roman"/>
          <w:sz w:val="24"/>
          <w:szCs w:val="24"/>
        </w:rPr>
      </w:pPr>
    </w:p>
    <w:p w:rsidR="007E51DC" w:rsidRPr="00AE44FE" w:rsidRDefault="007E51DC" w:rsidP="007E51DC">
      <w:pPr>
        <w:pStyle w:val="Caption"/>
        <w:rPr>
          <w:rFonts w:ascii="Times New Roman" w:hAnsi="Times New Roman" w:cs="Times New Roman"/>
          <w:b/>
          <w:i w:val="0"/>
          <w:color w:val="000000" w:themeColor="text1"/>
          <w:sz w:val="20"/>
          <w:szCs w:val="20"/>
        </w:rPr>
      </w:pPr>
      <w:r w:rsidRPr="00AE44FE">
        <w:rPr>
          <w:rFonts w:ascii="Times New Roman" w:hAnsi="Times New Roman" w:cs="Times New Roman"/>
          <w:b/>
          <w:i w:val="0"/>
          <w:color w:val="000000" w:themeColor="text1"/>
          <w:sz w:val="20"/>
          <w:szCs w:val="20"/>
        </w:rPr>
        <w:lastRenderedPageBreak/>
        <w:t xml:space="preserve">Appendix </w:t>
      </w:r>
      <w:r>
        <w:rPr>
          <w:rFonts w:ascii="Times New Roman" w:hAnsi="Times New Roman" w:cs="Times New Roman"/>
          <w:b/>
          <w:i w:val="0"/>
          <w:color w:val="000000" w:themeColor="text1"/>
          <w:sz w:val="20"/>
          <w:szCs w:val="20"/>
        </w:rPr>
        <w:t>8</w:t>
      </w:r>
      <w:r w:rsidRPr="00AE44FE">
        <w:rPr>
          <w:rFonts w:ascii="Times New Roman" w:hAnsi="Times New Roman" w:cs="Times New Roman"/>
          <w:b/>
          <w:i w:val="0"/>
          <w:color w:val="000000" w:themeColor="text1"/>
          <w:sz w:val="20"/>
          <w:szCs w:val="20"/>
        </w:rPr>
        <w:t xml:space="preserve">. Non-linear relationship between </w:t>
      </w:r>
      <m:oMath>
        <m:r>
          <m:rPr>
            <m:sty m:val="bi"/>
          </m:rPr>
          <w:rPr>
            <w:rFonts w:ascii="Cambria Math" w:hAnsi="Cambria Math" w:cs="Times New Roman"/>
            <w:color w:val="000000" w:themeColor="text1"/>
            <w:sz w:val="20"/>
            <w:szCs w:val="20"/>
          </w:rPr>
          <m:t>∆RER</m:t>
        </m:r>
      </m:oMath>
      <w:r w:rsidRPr="00AE44FE">
        <w:rPr>
          <w:rFonts w:ascii="Times New Roman" w:eastAsiaTheme="minorEastAsia" w:hAnsi="Times New Roman" w:cs="Times New Roman"/>
          <w:b/>
          <w:i w:val="0"/>
          <w:color w:val="000000" w:themeColor="text1"/>
          <w:sz w:val="20"/>
          <w:szCs w:val="20"/>
        </w:rPr>
        <w:t xml:space="preserve"> and TFPI/its components</w:t>
      </w:r>
    </w:p>
    <w:tbl>
      <w:tblPr>
        <w:tblW w:w="9936" w:type="dxa"/>
        <w:jc w:val="center"/>
        <w:tblLayout w:type="fixed"/>
        <w:tblCellMar>
          <w:left w:w="75" w:type="dxa"/>
          <w:right w:w="75" w:type="dxa"/>
        </w:tblCellMar>
        <w:tblLook w:val="0000" w:firstRow="0" w:lastRow="0" w:firstColumn="0" w:lastColumn="0" w:noHBand="0" w:noVBand="0"/>
      </w:tblPr>
      <w:tblGrid>
        <w:gridCol w:w="4320"/>
        <w:gridCol w:w="1440"/>
        <w:gridCol w:w="1440"/>
        <w:gridCol w:w="1296"/>
        <w:gridCol w:w="1440"/>
      </w:tblGrid>
      <w:tr w:rsidR="007E51DC" w:rsidRPr="00AE44FE" w:rsidTr="00456AEA">
        <w:trPr>
          <w:jc w:val="center"/>
        </w:trPr>
        <w:tc>
          <w:tcPr>
            <w:tcW w:w="4320" w:type="dxa"/>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w:t>
            </w:r>
          </w:p>
        </w:tc>
        <w:tc>
          <w:tcPr>
            <w:tcW w:w="1440" w:type="dxa"/>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w:t>
            </w:r>
          </w:p>
        </w:tc>
        <w:tc>
          <w:tcPr>
            <w:tcW w:w="1296" w:type="dxa"/>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w:t>
            </w:r>
          </w:p>
        </w:tc>
        <w:tc>
          <w:tcPr>
            <w:tcW w:w="1440" w:type="dxa"/>
            <w:tcBorders>
              <w:top w:val="single" w:sz="6" w:space="0" w:color="auto"/>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w:t>
            </w:r>
          </w:p>
        </w:tc>
      </w:tr>
      <w:tr w:rsidR="007E51DC" w:rsidRPr="00AE44FE" w:rsidTr="00456AEA">
        <w:trPr>
          <w:jc w:val="center"/>
        </w:trPr>
        <w:tc>
          <w:tcPr>
            <w:tcW w:w="432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VARIABLES</w:t>
            </w:r>
          </w:p>
        </w:tc>
        <w:tc>
          <w:tcPr>
            <w:tcW w:w="144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TFPI</w:t>
            </w:r>
          </w:p>
        </w:tc>
        <w:tc>
          <w:tcPr>
            <w:tcW w:w="144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OSEI</w:t>
            </w:r>
          </w:p>
        </w:tc>
        <w:tc>
          <w:tcPr>
            <w:tcW w:w="1296"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OTEI</w:t>
            </w:r>
          </w:p>
        </w:tc>
        <w:tc>
          <w:tcPr>
            <w:tcW w:w="144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TECH</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D.retention_rate</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0.036</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0.113***</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-0.054</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0.263***</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(0.351)</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(0.035)</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(0.188)</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(0.093)</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cD.retention_rate#cD.retention_rate</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-0.013</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-0.004</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-0.008</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(0.018)</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(0.002)</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(0.010)</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(0.005)</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Implemented FDI</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-0.385</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-0.078</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-0.065</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-0.221</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(0.611)</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(0.061)</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(0.327)</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(0.162)</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Industry index on log</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-2.040</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0.061</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1.690</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-0.156</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(5.361)</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(0.538)</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(2.875)</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(1.418)</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Multidimensional poverty</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0.383</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0.026</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0.084</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0.201***</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(0.267)</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(0.027)</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(0.143)</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(0.071)</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High-quality labor rate</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0.385</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-0.059</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0.250</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-0.152</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(0.371)</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(0.037)</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(0.199)</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(0.098)</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Literacy</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135.416**</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17.393***</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43.847</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37.207**</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(66.619)</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(6.686)</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(35.729)</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(17.621)</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Urbanization rate</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25.519</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2.008</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-0.185</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3.234</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(17.961)</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(1.803)</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(9.633)</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(4.751)</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PCI on log</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28.802</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4.231**</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10.743</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11.756**</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(19.359)</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(1.943)</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(10.383)</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(5.121)</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Private sector development</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10.935</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3.706</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-4.633</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13.404**</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(23.044)</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(2.313)</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(12.359)</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(6.095)</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Number of teachers</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4320" w:type="dxa"/>
            <w:tcBorders>
              <w:top w:val="nil"/>
              <w:left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Year dummies</w:t>
            </w:r>
          </w:p>
        </w:tc>
        <w:tc>
          <w:tcPr>
            <w:tcW w:w="1440"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440"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296"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440"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Constant</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-88.615</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48.324***</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29.042</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48.780*</w:t>
            </w:r>
          </w:p>
        </w:tc>
      </w:tr>
      <w:tr w:rsidR="007E51DC" w:rsidRPr="00AE44FE" w:rsidTr="00456AEA">
        <w:trPr>
          <w:jc w:val="center"/>
        </w:trPr>
        <w:tc>
          <w:tcPr>
            <w:tcW w:w="432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(103.408)</w:t>
            </w:r>
          </w:p>
        </w:tc>
        <w:tc>
          <w:tcPr>
            <w:tcW w:w="144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(10.378)</w:t>
            </w:r>
          </w:p>
        </w:tc>
        <w:tc>
          <w:tcPr>
            <w:tcW w:w="1296"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(55.460)</w:t>
            </w:r>
          </w:p>
        </w:tc>
        <w:tc>
          <w:tcPr>
            <w:tcW w:w="144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(27.352)</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Observations</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504</w:t>
            </w:r>
          </w:p>
        </w:tc>
      </w:tr>
      <w:tr w:rsidR="007E51DC" w:rsidRPr="00AE44FE" w:rsidTr="00456AEA">
        <w:trPr>
          <w:jc w:val="center"/>
        </w:trPr>
        <w:tc>
          <w:tcPr>
            <w:tcW w:w="432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R-squared</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0.590</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0.831</w:t>
            </w:r>
          </w:p>
        </w:tc>
        <w:tc>
          <w:tcPr>
            <w:tcW w:w="1296"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0.060</w:t>
            </w:r>
          </w:p>
        </w:tc>
        <w:tc>
          <w:tcPr>
            <w:tcW w:w="14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0.957</w:t>
            </w:r>
          </w:p>
        </w:tc>
      </w:tr>
      <w:tr w:rsidR="007E51DC" w:rsidRPr="00AE44FE" w:rsidTr="00456AEA">
        <w:tblPrEx>
          <w:tblBorders>
            <w:bottom w:val="single" w:sz="6" w:space="0" w:color="auto"/>
          </w:tblBorders>
        </w:tblPrEx>
        <w:trPr>
          <w:jc w:val="center"/>
        </w:trPr>
        <w:tc>
          <w:tcPr>
            <w:tcW w:w="432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Number of provinces/cities</w:t>
            </w:r>
          </w:p>
        </w:tc>
        <w:tc>
          <w:tcPr>
            <w:tcW w:w="144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44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296"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c>
          <w:tcPr>
            <w:tcW w:w="144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63</w:t>
            </w:r>
          </w:p>
        </w:tc>
      </w:tr>
    </w:tbl>
    <w:p w:rsidR="007E51DC" w:rsidRPr="00AE44FE" w:rsidRDefault="007E51DC" w:rsidP="007E51DC">
      <w:pPr>
        <w:widowControl w:val="0"/>
        <w:autoSpaceDE w:val="0"/>
        <w:autoSpaceDN w:val="0"/>
        <w:adjustRightInd w:val="0"/>
        <w:spacing w:after="0" w:line="240" w:lineRule="auto"/>
        <w:jc w:val="both"/>
        <w:rPr>
          <w:rFonts w:ascii="Times New Roman" w:hAnsi="Times New Roman" w:cs="Times New Roman"/>
          <w:sz w:val="20"/>
          <w:szCs w:val="20"/>
        </w:rPr>
      </w:pPr>
      <w:r w:rsidRPr="00AE44FE">
        <w:rPr>
          <w:rFonts w:ascii="Times New Roman" w:hAnsi="Times New Roman" w:cs="Times New Roman"/>
          <w:sz w:val="24"/>
          <w:szCs w:val="20"/>
        </w:rPr>
        <w:t xml:space="preserve">Source: Authors. </w:t>
      </w:r>
      <w:r w:rsidRPr="00AE44FE">
        <w:rPr>
          <w:rFonts w:ascii="Times New Roman" w:hAnsi="Times New Roman" w:cs="Times New Roman"/>
          <w:i/>
          <w:sz w:val="20"/>
          <w:szCs w:val="20"/>
        </w:rPr>
        <w:t>Notes: Multidimensional poverty assesses various facets of individuals’ well-being, such as income, access to clean water, healthcare, electricity, and other relevant considerations. Private sector development is computed as the total number of workers in both domestic and foreign-owned private enterprises relative to the total labor force. Data for this analysis was collected across 63 provinces/cities from 2012 to 2019. Robust standard errors are reported in parentheses, with significance levels denoted as *** p&lt;0.01, ** p&lt;0.05, * p&lt;0.1.</w:t>
      </w:r>
    </w:p>
    <w:p w:rsidR="007E51DC" w:rsidRPr="00AE44FE" w:rsidRDefault="007E51DC" w:rsidP="007E51DC">
      <w:pPr>
        <w:rPr>
          <w:rFonts w:ascii="Times New Roman" w:hAnsi="Times New Roman" w:cs="Times New Roman"/>
          <w:sz w:val="24"/>
          <w:szCs w:val="24"/>
        </w:rPr>
        <w:sectPr w:rsidR="007E51DC" w:rsidRPr="00AE44FE" w:rsidSect="00955ED6">
          <w:footerReference w:type="default" r:id="rId12"/>
          <w:pgSz w:w="12240" w:h="15840"/>
          <w:pgMar w:top="1440" w:right="1440" w:bottom="1440" w:left="1440" w:header="720" w:footer="720" w:gutter="0"/>
          <w:cols w:space="720"/>
          <w:docGrid w:linePitch="360"/>
        </w:sectPr>
      </w:pPr>
    </w:p>
    <w:p w:rsidR="007E51DC" w:rsidRPr="00AE44FE" w:rsidRDefault="007E51DC" w:rsidP="007E51DC">
      <w:pPr>
        <w:pStyle w:val="Caption"/>
        <w:rPr>
          <w:rFonts w:ascii="Times New Roman" w:hAnsi="Times New Roman" w:cs="Times New Roman"/>
          <w:b/>
          <w:i w:val="0"/>
          <w:color w:val="000000" w:themeColor="text1"/>
          <w:sz w:val="20"/>
          <w:szCs w:val="20"/>
        </w:rPr>
      </w:pPr>
      <w:r w:rsidRPr="00AE44FE">
        <w:rPr>
          <w:rFonts w:ascii="Times New Roman" w:hAnsi="Times New Roman" w:cs="Times New Roman"/>
          <w:b/>
          <w:i w:val="0"/>
          <w:color w:val="000000" w:themeColor="text1"/>
          <w:sz w:val="20"/>
          <w:szCs w:val="20"/>
        </w:rPr>
        <w:lastRenderedPageBreak/>
        <w:t xml:space="preserve">Appendix </w:t>
      </w:r>
      <w:r>
        <w:rPr>
          <w:rFonts w:ascii="Times New Roman" w:hAnsi="Times New Roman" w:cs="Times New Roman"/>
          <w:b/>
          <w:i w:val="0"/>
          <w:color w:val="000000" w:themeColor="text1"/>
          <w:sz w:val="20"/>
          <w:szCs w:val="20"/>
        </w:rPr>
        <w:t>9</w:t>
      </w:r>
      <w:r w:rsidRPr="00AE44FE">
        <w:rPr>
          <w:rFonts w:ascii="Times New Roman" w:hAnsi="Times New Roman" w:cs="Times New Roman"/>
          <w:b/>
          <w:i w:val="0"/>
          <w:color w:val="000000" w:themeColor="text1"/>
          <w:sz w:val="20"/>
          <w:szCs w:val="20"/>
        </w:rPr>
        <w:t>. Heterogeneous effects among regions</w:t>
      </w:r>
    </w:p>
    <w:tbl>
      <w:tblPr>
        <w:tblW w:w="9900" w:type="dxa"/>
        <w:jc w:val="center"/>
        <w:tblLayout w:type="fixed"/>
        <w:tblCellMar>
          <w:left w:w="75" w:type="dxa"/>
          <w:right w:w="75" w:type="dxa"/>
        </w:tblCellMar>
        <w:tblLook w:val="0000" w:firstRow="0" w:lastRow="0" w:firstColumn="0" w:lastColumn="0" w:noHBand="0" w:noVBand="0"/>
      </w:tblPr>
      <w:tblGrid>
        <w:gridCol w:w="3240"/>
        <w:gridCol w:w="1170"/>
        <w:gridCol w:w="1170"/>
        <w:gridCol w:w="1028"/>
        <w:gridCol w:w="1042"/>
        <w:gridCol w:w="1170"/>
        <w:gridCol w:w="1080"/>
      </w:tblGrid>
      <w:tr w:rsidR="007E51DC" w:rsidRPr="00AE44FE" w:rsidTr="00456AEA">
        <w:trPr>
          <w:jc w:val="center"/>
        </w:trPr>
        <w:tc>
          <w:tcPr>
            <w:tcW w:w="3240" w:type="dxa"/>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Dependent variables:</w:t>
            </w:r>
          </w:p>
        </w:tc>
        <w:tc>
          <w:tcPr>
            <w:tcW w:w="3368" w:type="dxa"/>
            <w:gridSpan w:val="3"/>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OSEI</w:t>
            </w:r>
          </w:p>
        </w:tc>
        <w:tc>
          <w:tcPr>
            <w:tcW w:w="3292" w:type="dxa"/>
            <w:gridSpan w:val="3"/>
            <w:tcBorders>
              <w:top w:val="single" w:sz="6"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TECH</w:t>
            </w:r>
          </w:p>
        </w:tc>
      </w:tr>
      <w:tr w:rsidR="007E51DC" w:rsidRPr="00AE44FE" w:rsidTr="00456AEA">
        <w:trPr>
          <w:jc w:val="center"/>
        </w:trPr>
        <w:tc>
          <w:tcPr>
            <w:tcW w:w="3240" w:type="dxa"/>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Meanings:</w:t>
            </w:r>
          </w:p>
        </w:tc>
        <w:tc>
          <w:tcPr>
            <w:tcW w:w="3368" w:type="dxa"/>
            <w:gridSpan w:val="3"/>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Allocative efficiency and scale efficiency in the use of inputs (i.e., labor, capital, land)</w:t>
            </w:r>
          </w:p>
        </w:tc>
        <w:tc>
          <w:tcPr>
            <w:tcW w:w="3292" w:type="dxa"/>
            <w:gridSpan w:val="3"/>
            <w:tcBorders>
              <w:top w:val="single" w:sz="6" w:space="0" w:color="auto"/>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eastAsia="Calibri" w:hAnsi="Times New Roman" w:cs="Times New Roman"/>
                <w:sz w:val="20"/>
                <w:szCs w:val="20"/>
              </w:rPr>
              <w:t>Effective after ruling out all environmental shocks and other stochastic factors</w:t>
            </w:r>
          </w:p>
        </w:tc>
      </w:tr>
      <w:tr w:rsidR="007E51DC" w:rsidRPr="00AE44FE" w:rsidTr="00456AEA">
        <w:trPr>
          <w:jc w:val="center"/>
        </w:trPr>
        <w:tc>
          <w:tcPr>
            <w:tcW w:w="3240" w:type="dxa"/>
            <w:tcBorders>
              <w:top w:val="single" w:sz="4"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Estimator</w:t>
            </w:r>
          </w:p>
        </w:tc>
        <w:tc>
          <w:tcPr>
            <w:tcW w:w="1170" w:type="dxa"/>
            <w:tcBorders>
              <w:top w:val="single" w:sz="4"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1170" w:type="dxa"/>
            <w:tcBorders>
              <w:top w:val="single" w:sz="4"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1028" w:type="dxa"/>
            <w:tcBorders>
              <w:top w:val="single" w:sz="4"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1042" w:type="dxa"/>
            <w:tcBorders>
              <w:top w:val="single" w:sz="4"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1170" w:type="dxa"/>
            <w:tcBorders>
              <w:top w:val="single" w:sz="4"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c>
          <w:tcPr>
            <w:tcW w:w="1080" w:type="dxa"/>
            <w:tcBorders>
              <w:top w:val="single" w:sz="4" w:space="0" w:color="auto"/>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FEM</w:t>
            </w:r>
          </w:p>
        </w:tc>
      </w:tr>
      <w:tr w:rsidR="007E51DC" w:rsidRPr="00AE44FE" w:rsidTr="00456AEA">
        <w:trPr>
          <w:jc w:val="center"/>
        </w:trPr>
        <w:tc>
          <w:tcPr>
            <w:tcW w:w="324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Region</w:t>
            </w:r>
          </w:p>
        </w:tc>
        <w:tc>
          <w:tcPr>
            <w:tcW w:w="117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North</w:t>
            </w:r>
          </w:p>
        </w:tc>
        <w:tc>
          <w:tcPr>
            <w:tcW w:w="117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Center</w:t>
            </w:r>
          </w:p>
        </w:tc>
        <w:tc>
          <w:tcPr>
            <w:tcW w:w="1028"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South</w:t>
            </w:r>
          </w:p>
        </w:tc>
        <w:tc>
          <w:tcPr>
            <w:tcW w:w="1042"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North</w:t>
            </w:r>
          </w:p>
        </w:tc>
        <w:tc>
          <w:tcPr>
            <w:tcW w:w="117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Center</w:t>
            </w:r>
          </w:p>
        </w:tc>
        <w:tc>
          <w:tcPr>
            <w:tcW w:w="108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South</w:t>
            </w:r>
          </w:p>
        </w:tc>
      </w:tr>
      <w:tr w:rsidR="007E51DC" w:rsidRPr="00AE44FE" w:rsidTr="00456AEA">
        <w:trPr>
          <w:jc w:val="center"/>
        </w:trPr>
        <w:tc>
          <w:tcPr>
            <w:tcW w:w="324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w:t>
            </w:r>
          </w:p>
        </w:tc>
        <w:tc>
          <w:tcPr>
            <w:tcW w:w="117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w:t>
            </w:r>
          </w:p>
        </w:tc>
        <w:tc>
          <w:tcPr>
            <w:tcW w:w="1028"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w:t>
            </w:r>
          </w:p>
        </w:tc>
        <w:tc>
          <w:tcPr>
            <w:tcW w:w="1042"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w:t>
            </w:r>
          </w:p>
        </w:tc>
        <w:tc>
          <w:tcPr>
            <w:tcW w:w="117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w:t>
            </w:r>
          </w:p>
        </w:tc>
        <w:tc>
          <w:tcPr>
            <w:tcW w:w="108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eastAsiaTheme="minorEastAsia" w:hAnsi="Times New Roman" w:cs="Times New Roman"/>
                <w:sz w:val="20"/>
                <w:szCs w:val="20"/>
              </w:rPr>
              <w:t>One-year lagged</w:t>
            </w:r>
            <w:r w:rsidRPr="00AE44FE">
              <w:rPr>
                <w:rFonts w:eastAsiaTheme="minorEastAsia"/>
                <w:sz w:val="20"/>
                <w:szCs w:val="20"/>
              </w:rPr>
              <w:t xml:space="preserve"> </w:t>
            </w:r>
            <m:oMath>
              <m:r>
                <w:rPr>
                  <w:rFonts w:ascii="Cambria Math" w:hAnsi="Cambria Math" w:cs="Times New Roman"/>
                  <w:sz w:val="20"/>
                  <w:szCs w:val="20"/>
                </w:rPr>
                <m:t>∆</m:t>
              </m:r>
            </m:oMath>
            <w:r w:rsidRPr="00AE44FE">
              <w:rPr>
                <w:rFonts w:ascii="Times New Roman" w:hAnsi="Times New Roman" w:cs="Times New Roman"/>
                <w:sz w:val="20"/>
                <w:szCs w:val="20"/>
              </w:rPr>
              <w:t>RER</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-0.019</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0.023</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0.067**</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-0.022</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0.058</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0.255***</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(0.074)</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(0.028)</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(0.028)</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(0.181)</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(0.073)</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(0.086)</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Implemented FDI</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-0.144</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-0.149</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-0.074</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-0.291</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-0.564</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-0.242</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(0.104)</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(0.148)</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(0.065)</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(0.255)</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(0.385)</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(0.198)</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Industry index on log</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0.477</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-2.274</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1.145</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1.193</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-9.622**</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4.040</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(0.626)</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(1.766)</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(0.810)</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(1.536)</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(4.602)</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(2.480)</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Multidimensional poverty</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-0.484***</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-0.016</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0.129</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-0.820***</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0.085</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(0.036)</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(0.094)</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(0.047)</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(0.089)</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(0.245)</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(0.143)</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High-quality labor rate</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-0.134**</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-0.043</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0.052</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-0.294**</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-0.208</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0.127</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(0.060)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(0.087)</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(0.037)</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(0.146)</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(0.227)</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(0.112)</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Literacy</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13.370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26.144*</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36.724***</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30.390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53.016</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94.572***</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(10.070)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(15.539)</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(9.407)</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(24.727)</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(40.494)</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(28.813)</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Urbanization rate</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0.471</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33.055**</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1.928</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-2.070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113.959***</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7.776</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(2.195)</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(13.192)</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(3.331)</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(5.391)</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(34.379)</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(10.202)</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PCI on log</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2.590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-5.443</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2.507</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11.015</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-11.608</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1.612</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(3.062)</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(5.691)</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(1.917)</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(7.520)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(14.830)</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(5.872)</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Private sector development</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8.688**</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-5.424</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2.060</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25.888***</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-6.681</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10.712</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(3.941)</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(5.058)</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(2.493)</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(9.678)</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(13.182)</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(7.637)</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Number of teachers</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3240" w:type="dxa"/>
            <w:tcBorders>
              <w:top w:val="nil"/>
              <w:left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p>
        </w:tc>
        <w:tc>
          <w:tcPr>
            <w:tcW w:w="1170"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170"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28"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042"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c>
          <w:tcPr>
            <w:tcW w:w="1170"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(0.001)</w:t>
            </w:r>
          </w:p>
        </w:tc>
        <w:tc>
          <w:tcPr>
            <w:tcW w:w="1080" w:type="dxa"/>
            <w:tcBorders>
              <w:top w:val="nil"/>
              <w:left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(0.000)</w:t>
            </w:r>
          </w:p>
        </w:tc>
      </w:tr>
      <w:tr w:rsidR="007E51DC" w:rsidRPr="00AE44FE" w:rsidTr="00456AEA">
        <w:trPr>
          <w:jc w:val="center"/>
        </w:trPr>
        <w:tc>
          <w:tcPr>
            <w:tcW w:w="324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Year dummies</w:t>
            </w:r>
          </w:p>
        </w:tc>
        <w:tc>
          <w:tcPr>
            <w:tcW w:w="117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17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28"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42"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17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c>
          <w:tcPr>
            <w:tcW w:w="1080" w:type="dxa"/>
            <w:tcBorders>
              <w:top w:val="nil"/>
              <w:left w:val="nil"/>
              <w:bottom w:val="single" w:sz="4"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Yes</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Observations</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200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128</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264</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200</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128</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264</w:t>
            </w:r>
          </w:p>
        </w:tc>
      </w:tr>
      <w:tr w:rsidR="007E51DC" w:rsidRPr="00AE44FE" w:rsidTr="00456AEA">
        <w:trPr>
          <w:jc w:val="center"/>
        </w:trPr>
        <w:tc>
          <w:tcPr>
            <w:tcW w:w="324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R-squared</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0.843</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0.850</w:t>
            </w:r>
          </w:p>
        </w:tc>
        <w:tc>
          <w:tcPr>
            <w:tcW w:w="1028"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0.917</w:t>
            </w:r>
          </w:p>
        </w:tc>
        <w:tc>
          <w:tcPr>
            <w:tcW w:w="1042"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0.962</w:t>
            </w:r>
          </w:p>
        </w:tc>
        <w:tc>
          <w:tcPr>
            <w:tcW w:w="117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0.949</w:t>
            </w:r>
          </w:p>
        </w:tc>
        <w:tc>
          <w:tcPr>
            <w:tcW w:w="1080" w:type="dxa"/>
            <w:tcBorders>
              <w:top w:val="nil"/>
              <w:left w:val="nil"/>
              <w:bottom w:val="nil"/>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0.978</w:t>
            </w:r>
          </w:p>
        </w:tc>
      </w:tr>
      <w:tr w:rsidR="007E51DC" w:rsidRPr="00AE44FE" w:rsidTr="00456AEA">
        <w:tblPrEx>
          <w:tblBorders>
            <w:bottom w:val="single" w:sz="6" w:space="0" w:color="auto"/>
          </w:tblBorders>
        </w:tblPrEx>
        <w:trPr>
          <w:jc w:val="center"/>
        </w:trPr>
        <w:tc>
          <w:tcPr>
            <w:tcW w:w="324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rPr>
                <w:rFonts w:ascii="Times New Roman" w:hAnsi="Times New Roman" w:cs="Times New Roman"/>
                <w:sz w:val="20"/>
                <w:szCs w:val="20"/>
              </w:rPr>
            </w:pPr>
            <w:r w:rsidRPr="00AE44FE">
              <w:rPr>
                <w:rFonts w:ascii="Times New Roman" w:hAnsi="Times New Roman" w:cs="Times New Roman"/>
                <w:sz w:val="20"/>
                <w:szCs w:val="20"/>
              </w:rPr>
              <w:t>Number of provinces/cities</w:t>
            </w:r>
          </w:p>
        </w:tc>
        <w:tc>
          <w:tcPr>
            <w:tcW w:w="117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25</w:t>
            </w:r>
          </w:p>
        </w:tc>
        <w:tc>
          <w:tcPr>
            <w:tcW w:w="117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16</w:t>
            </w:r>
          </w:p>
        </w:tc>
        <w:tc>
          <w:tcPr>
            <w:tcW w:w="1028"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33</w:t>
            </w:r>
          </w:p>
        </w:tc>
        <w:tc>
          <w:tcPr>
            <w:tcW w:w="1042"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25</w:t>
            </w:r>
          </w:p>
        </w:tc>
        <w:tc>
          <w:tcPr>
            <w:tcW w:w="117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16</w:t>
            </w:r>
          </w:p>
        </w:tc>
        <w:tc>
          <w:tcPr>
            <w:tcW w:w="1080" w:type="dxa"/>
            <w:tcBorders>
              <w:top w:val="nil"/>
              <w:left w:val="nil"/>
              <w:bottom w:val="single" w:sz="6" w:space="0" w:color="auto"/>
              <w:right w:val="nil"/>
            </w:tcBorders>
          </w:tcPr>
          <w:p w:rsidR="007E51DC" w:rsidRPr="00AE44FE" w:rsidRDefault="007E51DC" w:rsidP="00456AEA">
            <w:pPr>
              <w:widowControl w:val="0"/>
              <w:autoSpaceDE w:val="0"/>
              <w:autoSpaceDN w:val="0"/>
              <w:adjustRightInd w:val="0"/>
              <w:spacing w:after="0" w:line="240" w:lineRule="auto"/>
              <w:jc w:val="center"/>
              <w:rPr>
                <w:rFonts w:ascii="Times New Roman" w:hAnsi="Times New Roman" w:cs="Times New Roman"/>
                <w:sz w:val="20"/>
                <w:szCs w:val="20"/>
              </w:rPr>
            </w:pPr>
            <w:r w:rsidRPr="00AE44FE">
              <w:rPr>
                <w:rFonts w:ascii="Times New Roman" w:hAnsi="Times New Roman" w:cs="Times New Roman"/>
                <w:sz w:val="20"/>
                <w:szCs w:val="20"/>
              </w:rPr>
              <w:t>33</w:t>
            </w:r>
          </w:p>
        </w:tc>
      </w:tr>
    </w:tbl>
    <w:p w:rsidR="007E51DC" w:rsidRDefault="007E51DC" w:rsidP="007E51DC">
      <w:pPr>
        <w:widowControl w:val="0"/>
        <w:autoSpaceDE w:val="0"/>
        <w:autoSpaceDN w:val="0"/>
        <w:adjustRightInd w:val="0"/>
        <w:spacing w:after="0" w:line="240" w:lineRule="auto"/>
        <w:jc w:val="both"/>
        <w:rPr>
          <w:rFonts w:ascii="Times New Roman" w:hAnsi="Times New Roman" w:cs="Times New Roman"/>
          <w:sz w:val="20"/>
          <w:szCs w:val="20"/>
        </w:rPr>
      </w:pPr>
      <w:r w:rsidRPr="00AE44FE">
        <w:rPr>
          <w:rFonts w:ascii="Times New Roman" w:hAnsi="Times New Roman" w:cs="Times New Roman"/>
          <w:sz w:val="24"/>
          <w:szCs w:val="20"/>
        </w:rPr>
        <w:t xml:space="preserve">Source: Authors. </w:t>
      </w:r>
      <w:r w:rsidRPr="00AE44FE">
        <w:rPr>
          <w:rFonts w:ascii="Times New Roman" w:hAnsi="Times New Roman" w:cs="Times New Roman"/>
          <w:i/>
          <w:sz w:val="20"/>
          <w:szCs w:val="20"/>
        </w:rPr>
        <w:t>Notes: Multidimensional poverty assesses various facets of individuals’ well-being, such as income, access to clean water, healthcare, electricity, and other relevant considerations. Private sector development is computed as the total number of workers in both domestic and foreign-owned private enterprises relative to the total labor force. Data for this analysis was collected across 63 provinces/cities from 2012 to 2019. Robust standard errors are reported in parentheses, with significance levels denoted as *** p&lt;0.01, ** p&lt;0.05, * p&lt;0.1.</w:t>
      </w:r>
    </w:p>
    <w:p w:rsidR="007E51DC" w:rsidRDefault="007E51DC" w:rsidP="007E51DC">
      <w:pPr>
        <w:spacing w:line="360" w:lineRule="auto"/>
        <w:jc w:val="both"/>
        <w:rPr>
          <w:rFonts w:ascii="Times New Roman" w:hAnsi="Times New Roman" w:cs="Times New Roman"/>
          <w:sz w:val="24"/>
          <w:szCs w:val="24"/>
        </w:rPr>
      </w:pPr>
    </w:p>
    <w:p w:rsidR="007E51DC" w:rsidRPr="00913FBE" w:rsidRDefault="007E51DC" w:rsidP="007E51DC">
      <w:pPr>
        <w:rPr>
          <w:rFonts w:ascii="Times New Roman" w:hAnsi="Times New Roman" w:cs="Times New Roman"/>
          <w:sz w:val="24"/>
          <w:szCs w:val="24"/>
        </w:rPr>
      </w:pPr>
    </w:p>
    <w:p w:rsidR="00B00F82" w:rsidRDefault="00B00F82">
      <w:bookmarkStart w:id="3" w:name="_GoBack"/>
      <w:bookmarkEnd w:id="3"/>
    </w:p>
    <w:sectPr w:rsidR="00B00F82" w:rsidSect="00955E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MR12">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5860095"/>
      <w:docPartObj>
        <w:docPartGallery w:val="Page Numbers (Bottom of Page)"/>
        <w:docPartUnique/>
      </w:docPartObj>
    </w:sdtPr>
    <w:sdtEndPr>
      <w:rPr>
        <w:noProof/>
      </w:rPr>
    </w:sdtEndPr>
    <w:sdtContent>
      <w:p w:rsidR="00350646" w:rsidRDefault="007E51DC">
        <w:pPr>
          <w:pStyle w:val="Footer"/>
          <w:jc w:val="center"/>
        </w:pPr>
        <w:r>
          <w:fldChar w:fldCharType="begin"/>
        </w:r>
        <w:r>
          <w:instrText xml:space="preserve"> PAGE  </w:instrText>
        </w:r>
        <w:r>
          <w:instrText xml:space="preserve"> \* MERGEFORMAT </w:instrText>
        </w:r>
        <w:r>
          <w:fldChar w:fldCharType="separate"/>
        </w:r>
        <w:r>
          <w:rPr>
            <w:noProof/>
          </w:rPr>
          <w:t>22</w:t>
        </w:r>
        <w:r>
          <w:rPr>
            <w:noProof/>
          </w:rPr>
          <w:fldChar w:fldCharType="end"/>
        </w:r>
      </w:p>
    </w:sdtContent>
  </w:sdt>
  <w:p w:rsidR="00350646" w:rsidRDefault="007E51D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2438"/>
    <w:multiLevelType w:val="hybridMultilevel"/>
    <w:tmpl w:val="DB4EF622"/>
    <w:lvl w:ilvl="0" w:tplc="68F027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9408A"/>
    <w:multiLevelType w:val="hybridMultilevel"/>
    <w:tmpl w:val="ABCE79C2"/>
    <w:lvl w:ilvl="0" w:tplc="0758FB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D7223"/>
    <w:multiLevelType w:val="hybridMultilevel"/>
    <w:tmpl w:val="2F6811D0"/>
    <w:lvl w:ilvl="0" w:tplc="EC760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F61E4"/>
    <w:multiLevelType w:val="hybridMultilevel"/>
    <w:tmpl w:val="4118A05C"/>
    <w:lvl w:ilvl="0" w:tplc="6AC6CEF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475DA"/>
    <w:multiLevelType w:val="hybridMultilevel"/>
    <w:tmpl w:val="196A41D8"/>
    <w:lvl w:ilvl="0" w:tplc="5DA26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608F7"/>
    <w:multiLevelType w:val="hybridMultilevel"/>
    <w:tmpl w:val="1C786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901610"/>
    <w:multiLevelType w:val="hybridMultilevel"/>
    <w:tmpl w:val="2E2CB95A"/>
    <w:lvl w:ilvl="0" w:tplc="FDDEF40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7A6EC0"/>
    <w:multiLevelType w:val="hybridMultilevel"/>
    <w:tmpl w:val="091CF2AA"/>
    <w:lvl w:ilvl="0" w:tplc="6DA247AC">
      <w:start w:val="1"/>
      <w:numFmt w:val="low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D42A7"/>
    <w:multiLevelType w:val="hybridMultilevel"/>
    <w:tmpl w:val="969C4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F65C3A"/>
    <w:multiLevelType w:val="multilevel"/>
    <w:tmpl w:val="B650CDC0"/>
    <w:lvl w:ilvl="0">
      <w:start w:val="4"/>
      <w:numFmt w:val="decimal"/>
      <w:lvlText w:val="%1."/>
      <w:lvlJc w:val="left"/>
      <w:pPr>
        <w:ind w:left="540" w:hanging="540"/>
      </w:pPr>
      <w:rPr>
        <w:rFonts w:hint="default"/>
      </w:rPr>
    </w:lvl>
    <w:lvl w:ilvl="1">
      <w:start w:val="2"/>
      <w:numFmt w:val="decimal"/>
      <w:lvlText w:val="%1.%2."/>
      <w:lvlJc w:val="left"/>
      <w:pPr>
        <w:ind w:left="990" w:hanging="540"/>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0" w15:restartNumberingAfterBreak="0">
    <w:nsid w:val="1B107680"/>
    <w:multiLevelType w:val="multilevel"/>
    <w:tmpl w:val="98D0D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C243E1"/>
    <w:multiLevelType w:val="hybridMultilevel"/>
    <w:tmpl w:val="F6BC311E"/>
    <w:lvl w:ilvl="0" w:tplc="0534D904">
      <w:numFmt w:val="bullet"/>
      <w:lvlText w:val="-"/>
      <w:lvlJc w:val="left"/>
      <w:pPr>
        <w:ind w:left="990" w:hanging="360"/>
      </w:pPr>
      <w:rPr>
        <w:rFonts w:ascii="Times New Roman" w:eastAsiaTheme="minorHAnsi" w:hAnsi="Times New Roman" w:cs="Times New Roman" w:hint="default"/>
        <w:color w:val="FF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214640F9"/>
    <w:multiLevelType w:val="hybridMultilevel"/>
    <w:tmpl w:val="4148ED98"/>
    <w:lvl w:ilvl="0" w:tplc="65B8AC0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05C63"/>
    <w:multiLevelType w:val="multilevel"/>
    <w:tmpl w:val="2D30E45E"/>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F3796F"/>
    <w:multiLevelType w:val="multilevel"/>
    <w:tmpl w:val="B11866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i/>
        <w:iCs/>
      </w:rPr>
    </w:lvl>
    <w:lvl w:ilvl="2">
      <w:start w:val="1"/>
      <w:numFmt w:val="decimal"/>
      <w:isLgl/>
      <w:lvlText w:val="%1.%2.%3."/>
      <w:lvlJc w:val="left"/>
      <w:pPr>
        <w:ind w:left="16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B2A2C41"/>
    <w:multiLevelType w:val="hybridMultilevel"/>
    <w:tmpl w:val="24926B8A"/>
    <w:lvl w:ilvl="0" w:tplc="67ACAA9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673CCB"/>
    <w:multiLevelType w:val="hybridMultilevel"/>
    <w:tmpl w:val="68E47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E32FCC"/>
    <w:multiLevelType w:val="hybridMultilevel"/>
    <w:tmpl w:val="07DC03EE"/>
    <w:lvl w:ilvl="0" w:tplc="4EA6C9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550133"/>
    <w:multiLevelType w:val="hybridMultilevel"/>
    <w:tmpl w:val="180874BE"/>
    <w:lvl w:ilvl="0" w:tplc="D146F7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8C3B1C"/>
    <w:multiLevelType w:val="hybridMultilevel"/>
    <w:tmpl w:val="54E8BF0A"/>
    <w:lvl w:ilvl="0" w:tplc="191CB03A">
      <w:start w:val="1"/>
      <w:numFmt w:val="lowerRoman"/>
      <w:lvlText w:val="(%1)"/>
      <w:lvlJc w:val="left"/>
      <w:pPr>
        <w:ind w:left="1080" w:hanging="720"/>
      </w:pPr>
      <w:rPr>
        <w:rFonts w:hint="default"/>
        <w:color w:val="0E101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C41E7"/>
    <w:multiLevelType w:val="hybridMultilevel"/>
    <w:tmpl w:val="F7BEEB2E"/>
    <w:lvl w:ilvl="0" w:tplc="8A5C50B8">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AA7C92"/>
    <w:multiLevelType w:val="multilevel"/>
    <w:tmpl w:val="4B7C50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BB3C28"/>
    <w:multiLevelType w:val="hybridMultilevel"/>
    <w:tmpl w:val="7F64A55C"/>
    <w:lvl w:ilvl="0" w:tplc="0409000B">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882846"/>
    <w:multiLevelType w:val="hybridMultilevel"/>
    <w:tmpl w:val="3912E18C"/>
    <w:lvl w:ilvl="0" w:tplc="D2B041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6715CB"/>
    <w:multiLevelType w:val="hybridMultilevel"/>
    <w:tmpl w:val="B26080BA"/>
    <w:lvl w:ilvl="0" w:tplc="DAEE96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DD1ACB"/>
    <w:multiLevelType w:val="hybridMultilevel"/>
    <w:tmpl w:val="2E04A0FC"/>
    <w:lvl w:ilvl="0" w:tplc="D4402A24">
      <w:start w:val="2"/>
      <w:numFmt w:val="bullet"/>
      <w:lvlText w:val=""/>
      <w:lvlJc w:val="left"/>
      <w:pPr>
        <w:ind w:left="720" w:hanging="360"/>
      </w:pPr>
      <w:rPr>
        <w:rFonts w:ascii="Wingdings" w:eastAsiaTheme="minorHAnsi" w:hAnsi="Wingdings" w:cs="CMR1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5336A5"/>
    <w:multiLevelType w:val="hybridMultilevel"/>
    <w:tmpl w:val="8904C7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4424933"/>
    <w:multiLevelType w:val="hybridMultilevel"/>
    <w:tmpl w:val="DF24E91E"/>
    <w:lvl w:ilvl="0" w:tplc="4224C0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976106"/>
    <w:multiLevelType w:val="multilevel"/>
    <w:tmpl w:val="B11866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i/>
        <w:iCs/>
      </w:rPr>
    </w:lvl>
    <w:lvl w:ilvl="2">
      <w:start w:val="1"/>
      <w:numFmt w:val="decimal"/>
      <w:isLgl/>
      <w:lvlText w:val="%1.%2.%3."/>
      <w:lvlJc w:val="left"/>
      <w:pPr>
        <w:ind w:left="16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B3256D3"/>
    <w:multiLevelType w:val="multilevel"/>
    <w:tmpl w:val="4462E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2B17DC"/>
    <w:multiLevelType w:val="hybridMultilevel"/>
    <w:tmpl w:val="2CD4343C"/>
    <w:lvl w:ilvl="0" w:tplc="4E4076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B2718"/>
    <w:multiLevelType w:val="hybridMultilevel"/>
    <w:tmpl w:val="AB2EB8BA"/>
    <w:lvl w:ilvl="0" w:tplc="88220AE0">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EC5426"/>
    <w:multiLevelType w:val="hybridMultilevel"/>
    <w:tmpl w:val="E29056A6"/>
    <w:lvl w:ilvl="0" w:tplc="82E62D3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237108"/>
    <w:multiLevelType w:val="hybridMultilevel"/>
    <w:tmpl w:val="FDD0D3FC"/>
    <w:lvl w:ilvl="0" w:tplc="032CF9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846084"/>
    <w:multiLevelType w:val="multilevel"/>
    <w:tmpl w:val="0B1EE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5B2749"/>
    <w:multiLevelType w:val="hybridMultilevel"/>
    <w:tmpl w:val="5E7C314E"/>
    <w:lvl w:ilvl="0" w:tplc="F8F8D258">
      <w:start w:val="1"/>
      <w:numFmt w:val="low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4164F2"/>
    <w:multiLevelType w:val="hybridMultilevel"/>
    <w:tmpl w:val="56DE0BCE"/>
    <w:lvl w:ilvl="0" w:tplc="6652C97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D95DC3"/>
    <w:multiLevelType w:val="hybridMultilevel"/>
    <w:tmpl w:val="82B27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4D3586"/>
    <w:multiLevelType w:val="hybridMultilevel"/>
    <w:tmpl w:val="AD6A2A3A"/>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C86AEA"/>
    <w:multiLevelType w:val="hybridMultilevel"/>
    <w:tmpl w:val="011ABDF4"/>
    <w:lvl w:ilvl="0" w:tplc="108ABA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D00412"/>
    <w:multiLevelType w:val="hybridMultilevel"/>
    <w:tmpl w:val="913E8198"/>
    <w:lvl w:ilvl="0" w:tplc="656A0D74">
      <w:start w:val="3"/>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21"/>
  </w:num>
  <w:num w:numId="2">
    <w:abstractNumId w:val="32"/>
  </w:num>
  <w:num w:numId="3">
    <w:abstractNumId w:val="6"/>
  </w:num>
  <w:num w:numId="4">
    <w:abstractNumId w:val="31"/>
  </w:num>
  <w:num w:numId="5">
    <w:abstractNumId w:val="20"/>
  </w:num>
  <w:num w:numId="6">
    <w:abstractNumId w:val="30"/>
  </w:num>
  <w:num w:numId="7">
    <w:abstractNumId w:val="22"/>
  </w:num>
  <w:num w:numId="8">
    <w:abstractNumId w:val="38"/>
  </w:num>
  <w:num w:numId="9">
    <w:abstractNumId w:val="0"/>
  </w:num>
  <w:num w:numId="10">
    <w:abstractNumId w:val="16"/>
  </w:num>
  <w:num w:numId="11">
    <w:abstractNumId w:val="12"/>
  </w:num>
  <w:num w:numId="12">
    <w:abstractNumId w:val="15"/>
  </w:num>
  <w:num w:numId="13">
    <w:abstractNumId w:val="36"/>
  </w:num>
  <w:num w:numId="14">
    <w:abstractNumId w:val="3"/>
  </w:num>
  <w:num w:numId="15">
    <w:abstractNumId w:val="14"/>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5"/>
  </w:num>
  <w:num w:numId="19">
    <w:abstractNumId w:val="40"/>
  </w:num>
  <w:num w:numId="20">
    <w:abstractNumId w:val="24"/>
  </w:num>
  <w:num w:numId="21">
    <w:abstractNumId w:val="2"/>
  </w:num>
  <w:num w:numId="22">
    <w:abstractNumId w:val="27"/>
  </w:num>
  <w:num w:numId="23">
    <w:abstractNumId w:val="33"/>
  </w:num>
  <w:num w:numId="24">
    <w:abstractNumId w:val="13"/>
  </w:num>
  <w:num w:numId="25">
    <w:abstractNumId w:val="29"/>
  </w:num>
  <w:num w:numId="26">
    <w:abstractNumId w:val="10"/>
  </w:num>
  <w:num w:numId="27">
    <w:abstractNumId w:val="7"/>
  </w:num>
  <w:num w:numId="28">
    <w:abstractNumId w:val="18"/>
  </w:num>
  <w:num w:numId="29">
    <w:abstractNumId w:val="8"/>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4"/>
  </w:num>
  <w:num w:numId="33">
    <w:abstractNumId w:val="9"/>
  </w:num>
  <w:num w:numId="34">
    <w:abstractNumId w:val="35"/>
  </w:num>
  <w:num w:numId="35">
    <w:abstractNumId w:val="28"/>
  </w:num>
  <w:num w:numId="36">
    <w:abstractNumId w:val="5"/>
  </w:num>
  <w:num w:numId="37">
    <w:abstractNumId w:val="37"/>
  </w:num>
  <w:num w:numId="38">
    <w:abstractNumId w:val="34"/>
  </w:num>
  <w:num w:numId="39">
    <w:abstractNumId w:val="23"/>
  </w:num>
  <w:num w:numId="40">
    <w:abstractNumId w:val="17"/>
  </w:num>
  <w:num w:numId="41">
    <w:abstractNumId w:val="1"/>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DC"/>
    <w:rsid w:val="007E51DC"/>
    <w:rsid w:val="00B00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7F9E4E-9A25-4ACC-8270-DC69469CB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1DC"/>
  </w:style>
  <w:style w:type="paragraph" w:styleId="Heading1">
    <w:name w:val="heading 1"/>
    <w:basedOn w:val="Normal"/>
    <w:next w:val="Normal"/>
    <w:link w:val="Heading1Char"/>
    <w:uiPriority w:val="9"/>
    <w:qFormat/>
    <w:rsid w:val="007E5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E51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E51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1D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E51D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E51DC"/>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E51DC"/>
    <w:pPr>
      <w:ind w:left="720"/>
      <w:contextualSpacing/>
    </w:pPr>
  </w:style>
  <w:style w:type="paragraph" w:customStyle="1" w:styleId="EndNoteBibliographyTitle">
    <w:name w:val="EndNote Bibliography Title"/>
    <w:basedOn w:val="Normal"/>
    <w:link w:val="EndNoteBibliographyTitleChar"/>
    <w:rsid w:val="007E51DC"/>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7E51DC"/>
    <w:rPr>
      <w:rFonts w:ascii="Times New Roman" w:hAnsi="Times New Roman" w:cs="Times New Roman"/>
      <w:noProof/>
      <w:sz w:val="24"/>
    </w:rPr>
  </w:style>
  <w:style w:type="paragraph" w:customStyle="1" w:styleId="EndNoteBibliography">
    <w:name w:val="EndNote Bibliography"/>
    <w:basedOn w:val="Normal"/>
    <w:link w:val="EndNoteBibliographyChar"/>
    <w:rsid w:val="007E51DC"/>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7E51DC"/>
    <w:rPr>
      <w:rFonts w:ascii="Times New Roman" w:hAnsi="Times New Roman" w:cs="Times New Roman"/>
      <w:noProof/>
      <w:sz w:val="24"/>
    </w:rPr>
  </w:style>
  <w:style w:type="character" w:styleId="Hyperlink">
    <w:name w:val="Hyperlink"/>
    <w:basedOn w:val="DefaultParagraphFont"/>
    <w:uiPriority w:val="99"/>
    <w:unhideWhenUsed/>
    <w:rsid w:val="007E51DC"/>
    <w:rPr>
      <w:color w:val="0563C1" w:themeColor="hyperlink"/>
      <w:u w:val="single"/>
    </w:rPr>
  </w:style>
  <w:style w:type="character" w:customStyle="1" w:styleId="UnresolvedMention1">
    <w:name w:val="Unresolved Mention1"/>
    <w:basedOn w:val="DefaultParagraphFont"/>
    <w:uiPriority w:val="99"/>
    <w:semiHidden/>
    <w:unhideWhenUsed/>
    <w:rsid w:val="007E51DC"/>
    <w:rPr>
      <w:color w:val="605E5C"/>
      <w:shd w:val="clear" w:color="auto" w:fill="E1DFDD"/>
    </w:rPr>
  </w:style>
  <w:style w:type="paragraph" w:styleId="FootnoteText">
    <w:name w:val="footnote text"/>
    <w:basedOn w:val="Normal"/>
    <w:link w:val="FootnoteTextChar"/>
    <w:uiPriority w:val="99"/>
    <w:semiHidden/>
    <w:unhideWhenUsed/>
    <w:rsid w:val="007E51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51DC"/>
    <w:rPr>
      <w:sz w:val="20"/>
      <w:szCs w:val="20"/>
    </w:rPr>
  </w:style>
  <w:style w:type="character" w:styleId="FootnoteReference">
    <w:name w:val="footnote reference"/>
    <w:basedOn w:val="DefaultParagraphFont"/>
    <w:uiPriority w:val="99"/>
    <w:semiHidden/>
    <w:unhideWhenUsed/>
    <w:rsid w:val="007E51DC"/>
    <w:rPr>
      <w:vertAlign w:val="superscript"/>
    </w:rPr>
  </w:style>
  <w:style w:type="table" w:styleId="TableGrid">
    <w:name w:val="Table Grid"/>
    <w:basedOn w:val="TableNormal"/>
    <w:uiPriority w:val="39"/>
    <w:rsid w:val="007E5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51DC"/>
    <w:rPr>
      <w:color w:val="808080"/>
    </w:rPr>
  </w:style>
  <w:style w:type="paragraph" w:styleId="Caption">
    <w:name w:val="caption"/>
    <w:basedOn w:val="Normal"/>
    <w:next w:val="Normal"/>
    <w:uiPriority w:val="35"/>
    <w:unhideWhenUsed/>
    <w:qFormat/>
    <w:rsid w:val="007E51DC"/>
    <w:pPr>
      <w:spacing w:after="200" w:line="240" w:lineRule="auto"/>
    </w:pPr>
    <w:rPr>
      <w:i/>
      <w:iCs/>
      <w:color w:val="44546A" w:themeColor="text2"/>
      <w:sz w:val="18"/>
      <w:szCs w:val="18"/>
    </w:rPr>
  </w:style>
  <w:style w:type="character" w:customStyle="1" w:styleId="jlqj4b">
    <w:name w:val="jlqj4b"/>
    <w:basedOn w:val="DefaultParagraphFont"/>
    <w:rsid w:val="007E51DC"/>
  </w:style>
  <w:style w:type="character" w:customStyle="1" w:styleId="material-icons-extended">
    <w:name w:val="material-icons-extended"/>
    <w:basedOn w:val="DefaultParagraphFont"/>
    <w:rsid w:val="007E51DC"/>
  </w:style>
  <w:style w:type="paragraph" w:styleId="NormalWeb">
    <w:name w:val="Normal (Web)"/>
    <w:basedOn w:val="Normal"/>
    <w:uiPriority w:val="99"/>
    <w:unhideWhenUsed/>
    <w:rsid w:val="007E51D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E51DC"/>
    <w:rPr>
      <w:i/>
      <w:iCs/>
    </w:rPr>
  </w:style>
  <w:style w:type="paragraph" w:styleId="Header">
    <w:name w:val="header"/>
    <w:basedOn w:val="Normal"/>
    <w:link w:val="HeaderChar"/>
    <w:uiPriority w:val="99"/>
    <w:unhideWhenUsed/>
    <w:rsid w:val="007E51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1DC"/>
  </w:style>
  <w:style w:type="paragraph" w:styleId="Footer">
    <w:name w:val="footer"/>
    <w:basedOn w:val="Normal"/>
    <w:link w:val="FooterChar"/>
    <w:uiPriority w:val="99"/>
    <w:unhideWhenUsed/>
    <w:rsid w:val="007E51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1DC"/>
  </w:style>
  <w:style w:type="paragraph" w:customStyle="1" w:styleId="Default">
    <w:name w:val="Default"/>
    <w:rsid w:val="007E51D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E51DC"/>
    <w:pPr>
      <w:spacing w:after="0" w:line="240" w:lineRule="auto"/>
    </w:pPr>
  </w:style>
  <w:style w:type="character" w:styleId="CommentReference">
    <w:name w:val="annotation reference"/>
    <w:basedOn w:val="DefaultParagraphFont"/>
    <w:uiPriority w:val="99"/>
    <w:semiHidden/>
    <w:unhideWhenUsed/>
    <w:rsid w:val="007E51DC"/>
    <w:rPr>
      <w:sz w:val="16"/>
      <w:szCs w:val="16"/>
    </w:rPr>
  </w:style>
  <w:style w:type="paragraph" w:styleId="CommentText">
    <w:name w:val="annotation text"/>
    <w:basedOn w:val="Normal"/>
    <w:link w:val="CommentTextChar"/>
    <w:uiPriority w:val="99"/>
    <w:unhideWhenUsed/>
    <w:rsid w:val="007E51DC"/>
    <w:pPr>
      <w:spacing w:line="240" w:lineRule="auto"/>
    </w:pPr>
    <w:rPr>
      <w:sz w:val="20"/>
      <w:szCs w:val="20"/>
    </w:rPr>
  </w:style>
  <w:style w:type="character" w:customStyle="1" w:styleId="CommentTextChar">
    <w:name w:val="Comment Text Char"/>
    <w:basedOn w:val="DefaultParagraphFont"/>
    <w:link w:val="CommentText"/>
    <w:uiPriority w:val="99"/>
    <w:rsid w:val="007E51DC"/>
    <w:rPr>
      <w:sz w:val="20"/>
      <w:szCs w:val="20"/>
    </w:rPr>
  </w:style>
  <w:style w:type="paragraph" w:styleId="CommentSubject">
    <w:name w:val="annotation subject"/>
    <w:basedOn w:val="CommentText"/>
    <w:next w:val="CommentText"/>
    <w:link w:val="CommentSubjectChar"/>
    <w:uiPriority w:val="99"/>
    <w:semiHidden/>
    <w:unhideWhenUsed/>
    <w:rsid w:val="007E51DC"/>
    <w:rPr>
      <w:b/>
      <w:bCs/>
    </w:rPr>
  </w:style>
  <w:style w:type="character" w:customStyle="1" w:styleId="CommentSubjectChar">
    <w:name w:val="Comment Subject Char"/>
    <w:basedOn w:val="CommentTextChar"/>
    <w:link w:val="CommentSubject"/>
    <w:uiPriority w:val="99"/>
    <w:semiHidden/>
    <w:rsid w:val="007E51DC"/>
    <w:rPr>
      <w:b/>
      <w:bCs/>
      <w:sz w:val="20"/>
      <w:szCs w:val="20"/>
    </w:rPr>
  </w:style>
  <w:style w:type="character" w:styleId="Strong">
    <w:name w:val="Strong"/>
    <w:basedOn w:val="DefaultParagraphFont"/>
    <w:uiPriority w:val="22"/>
    <w:qFormat/>
    <w:rsid w:val="007E51DC"/>
    <w:rPr>
      <w:b/>
      <w:bCs/>
    </w:rPr>
  </w:style>
  <w:style w:type="character" w:customStyle="1" w:styleId="citationsource-book">
    <w:name w:val="citation_source-book"/>
    <w:basedOn w:val="DefaultParagraphFont"/>
    <w:rsid w:val="007E51DC"/>
  </w:style>
  <w:style w:type="character" w:customStyle="1" w:styleId="nlmpublisher-loc">
    <w:name w:val="nlm_publisher-loc"/>
    <w:basedOn w:val="DefaultParagraphFont"/>
    <w:rsid w:val="007E51DC"/>
  </w:style>
  <w:style w:type="character" w:customStyle="1" w:styleId="nlmpublisher-name">
    <w:name w:val="nlm_publisher-name"/>
    <w:basedOn w:val="DefaultParagraphFont"/>
    <w:rsid w:val="007E51DC"/>
  </w:style>
  <w:style w:type="character" w:customStyle="1" w:styleId="nlmarticle-title">
    <w:name w:val="nlm_article-title"/>
    <w:basedOn w:val="DefaultParagraphFont"/>
    <w:rsid w:val="007E51DC"/>
  </w:style>
  <w:style w:type="character" w:customStyle="1" w:styleId="citationsource-journal">
    <w:name w:val="citation_source-journal"/>
    <w:basedOn w:val="DefaultParagraphFont"/>
    <w:rsid w:val="007E51DC"/>
  </w:style>
  <w:style w:type="character" w:customStyle="1" w:styleId="nlmfpage">
    <w:name w:val="nlm_fpage"/>
    <w:basedOn w:val="DefaultParagraphFont"/>
    <w:rsid w:val="007E51DC"/>
  </w:style>
  <w:style w:type="character" w:customStyle="1" w:styleId="nlmlpage">
    <w:name w:val="nlm_lpage"/>
    <w:basedOn w:val="DefaultParagraphFont"/>
    <w:rsid w:val="007E51DC"/>
  </w:style>
  <w:style w:type="paragraph" w:styleId="TableofFigures">
    <w:name w:val="table of figures"/>
    <w:basedOn w:val="Normal"/>
    <w:next w:val="Normal"/>
    <w:uiPriority w:val="99"/>
    <w:unhideWhenUsed/>
    <w:rsid w:val="007E51DC"/>
    <w:pPr>
      <w:spacing w:after="0"/>
    </w:pPr>
  </w:style>
  <w:style w:type="paragraph" w:styleId="TOCHeading">
    <w:name w:val="TOC Heading"/>
    <w:basedOn w:val="Heading1"/>
    <w:next w:val="Normal"/>
    <w:uiPriority w:val="39"/>
    <w:unhideWhenUsed/>
    <w:qFormat/>
    <w:rsid w:val="007E51DC"/>
    <w:pPr>
      <w:outlineLvl w:val="9"/>
    </w:pPr>
  </w:style>
  <w:style w:type="paragraph" w:styleId="TOC1">
    <w:name w:val="toc 1"/>
    <w:basedOn w:val="Normal"/>
    <w:next w:val="Normal"/>
    <w:autoRedefine/>
    <w:uiPriority w:val="39"/>
    <w:unhideWhenUsed/>
    <w:rsid w:val="007E51DC"/>
    <w:pPr>
      <w:spacing w:after="100"/>
    </w:pPr>
  </w:style>
  <w:style w:type="paragraph" w:styleId="TOC2">
    <w:name w:val="toc 2"/>
    <w:basedOn w:val="Normal"/>
    <w:next w:val="Normal"/>
    <w:autoRedefine/>
    <w:uiPriority w:val="39"/>
    <w:unhideWhenUsed/>
    <w:rsid w:val="007E51DC"/>
    <w:pPr>
      <w:spacing w:after="100"/>
      <w:ind w:left="220"/>
    </w:pPr>
  </w:style>
  <w:style w:type="paragraph" w:styleId="TOC3">
    <w:name w:val="toc 3"/>
    <w:basedOn w:val="Normal"/>
    <w:next w:val="Normal"/>
    <w:autoRedefine/>
    <w:uiPriority w:val="39"/>
    <w:unhideWhenUsed/>
    <w:rsid w:val="007E51DC"/>
    <w:pPr>
      <w:spacing w:after="100"/>
      <w:ind w:left="440"/>
    </w:pPr>
  </w:style>
  <w:style w:type="paragraph" w:styleId="BodyText">
    <w:name w:val="Body Text"/>
    <w:basedOn w:val="Normal"/>
    <w:link w:val="BodyTextChar"/>
    <w:uiPriority w:val="1"/>
    <w:qFormat/>
    <w:rsid w:val="007E51DC"/>
    <w:pPr>
      <w:widowControl w:val="0"/>
      <w:autoSpaceDE w:val="0"/>
      <w:autoSpaceDN w:val="0"/>
      <w:spacing w:after="0" w:line="240" w:lineRule="auto"/>
    </w:pPr>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rsid w:val="007E51DC"/>
    <w:rPr>
      <w:rFonts w:ascii="Times New Roman" w:eastAsia="Times New Roman" w:hAnsi="Times New Roman" w:cs="Times New Roman"/>
      <w:b/>
      <w:bCs/>
      <w:sz w:val="28"/>
      <w:szCs w:val="28"/>
      <w:lang w:val="vi"/>
    </w:rPr>
  </w:style>
  <w:style w:type="character" w:customStyle="1" w:styleId="viiyi">
    <w:name w:val="viiyi"/>
    <w:basedOn w:val="DefaultParagraphFont"/>
    <w:rsid w:val="007E51DC"/>
  </w:style>
  <w:style w:type="character" w:customStyle="1" w:styleId="cf01">
    <w:name w:val="cf01"/>
    <w:basedOn w:val="DefaultParagraphFont"/>
    <w:rsid w:val="007E51DC"/>
    <w:rPr>
      <w:rFonts w:ascii="Segoe UI" w:hAnsi="Segoe UI" w:cs="Segoe UI" w:hint="default"/>
      <w:sz w:val="18"/>
      <w:szCs w:val="18"/>
    </w:rPr>
  </w:style>
  <w:style w:type="character" w:customStyle="1" w:styleId="cf11">
    <w:name w:val="cf11"/>
    <w:basedOn w:val="DefaultParagraphFont"/>
    <w:rsid w:val="007E51DC"/>
    <w:rPr>
      <w:rFonts w:ascii="Segoe UI" w:hAnsi="Segoe UI" w:cs="Segoe UI" w:hint="default"/>
      <w:b/>
      <w:bCs/>
      <w:i/>
      <w:iCs/>
      <w:sz w:val="18"/>
      <w:szCs w:val="18"/>
    </w:rPr>
  </w:style>
  <w:style w:type="paragraph" w:customStyle="1" w:styleId="pf0">
    <w:name w:val="pf0"/>
    <w:basedOn w:val="Normal"/>
    <w:rsid w:val="007E51D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E51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1DC"/>
    <w:rPr>
      <w:rFonts w:ascii="Segoe UI" w:hAnsi="Segoe UI" w:cs="Segoe UI"/>
      <w:sz w:val="18"/>
      <w:szCs w:val="18"/>
    </w:rPr>
  </w:style>
  <w:style w:type="paragraph" w:styleId="z-TopofForm">
    <w:name w:val="HTML Top of Form"/>
    <w:basedOn w:val="Normal"/>
    <w:next w:val="Normal"/>
    <w:link w:val="z-TopofFormChar"/>
    <w:hidden/>
    <w:uiPriority w:val="99"/>
    <w:semiHidden/>
    <w:unhideWhenUsed/>
    <w:rsid w:val="007E51D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E51DC"/>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7E51DC"/>
    <w:rPr>
      <w:color w:val="954F72" w:themeColor="followedHyperlink"/>
      <w:u w:val="single"/>
    </w:rPr>
  </w:style>
  <w:style w:type="character" w:customStyle="1" w:styleId="UnresolvedMention2">
    <w:name w:val="Unresolved Mention2"/>
    <w:basedOn w:val="DefaultParagraphFont"/>
    <w:uiPriority w:val="99"/>
    <w:semiHidden/>
    <w:unhideWhenUsed/>
    <w:rsid w:val="007E51DC"/>
    <w:rPr>
      <w:color w:val="605E5C"/>
      <w:shd w:val="clear" w:color="auto" w:fill="E1DFDD"/>
    </w:rPr>
  </w:style>
  <w:style w:type="character" w:customStyle="1" w:styleId="UnresolvedMention3">
    <w:name w:val="Unresolved Mention3"/>
    <w:basedOn w:val="DefaultParagraphFont"/>
    <w:uiPriority w:val="99"/>
    <w:semiHidden/>
    <w:unhideWhenUsed/>
    <w:rsid w:val="007E5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3080</Words>
  <Characters>17562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Amuthu Pandian P</dc:creator>
  <cp:keywords/>
  <dc:description/>
  <cp:lastModifiedBy>Amuthu Pandian P</cp:lastModifiedBy>
  <cp:revision>1</cp:revision>
  <dcterms:created xsi:type="dcterms:W3CDTF">2024-08-03T08:28:00Z</dcterms:created>
  <dcterms:modified xsi:type="dcterms:W3CDTF">2024-08-03T08:29:00Z</dcterms:modified>
</cp:coreProperties>
</file>