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618A1" w14:textId="77777777" w:rsidR="004E2ECA" w:rsidRPr="003F635B" w:rsidRDefault="004E2ECA" w:rsidP="007C24E3">
      <w:pPr>
        <w:spacing w:line="480" w:lineRule="auto"/>
        <w:ind w:firstLine="0"/>
        <w:rPr>
          <w:b/>
          <w:bCs/>
        </w:rPr>
      </w:pPr>
      <w:bookmarkStart w:id="0" w:name="_GoBack"/>
      <w:bookmarkEnd w:id="0"/>
      <w:r w:rsidRPr="003F635B">
        <w:rPr>
          <w:b/>
          <w:bCs/>
        </w:rPr>
        <w:t xml:space="preserve">APPENDIX A – Proof of </w:t>
      </w:r>
      <w:r w:rsidR="009B04A9">
        <w:rPr>
          <w:b/>
          <w:bCs/>
        </w:rPr>
        <w:t>P</w:t>
      </w:r>
      <w:r w:rsidRPr="003F635B">
        <w:rPr>
          <w:b/>
          <w:bCs/>
        </w:rPr>
        <w:t>roposition 1</w:t>
      </w:r>
    </w:p>
    <w:p w14:paraId="75EB8C8F" w14:textId="77777777" w:rsidR="004E2ECA" w:rsidRDefault="004E2ECA" w:rsidP="007C24E3">
      <w:pPr>
        <w:spacing w:line="480" w:lineRule="auto"/>
      </w:pPr>
      <w:r>
        <w:rPr>
          <w:rFonts w:eastAsiaTheme="minorEastAsia"/>
        </w:rPr>
        <w:t xml:space="preserve">When </w:t>
      </w:r>
      <m:oMath>
        <m:r>
          <w:rPr>
            <w:rFonts w:ascii="Cambria Math" w:eastAsiaTheme="minorEastAsia" w:hAnsi="Cambria Math"/>
          </w:rPr>
          <m:t>θ&lt;2β</m:t>
        </m:r>
      </m:oMath>
      <w:r>
        <w:rPr>
          <w:rFonts w:eastAsiaTheme="minorEastAsia"/>
        </w:rPr>
        <w:t>, we know f</w:t>
      </w:r>
      <w:r>
        <w:t xml:space="preserve">rom (4b) that the profit function (3c) is a concave function of </w:t>
      </w:r>
      <m:oMath>
        <m:r>
          <w:rPr>
            <w:rFonts w:ascii="Cambria Math" w:hAnsi="Cambria Math"/>
          </w:rPr>
          <m:t>X</m:t>
        </m:r>
      </m:oMath>
      <w:r>
        <w:t xml:space="preserve">.  Furthermore, </w:t>
      </w:r>
      <w:r>
        <w:rPr>
          <w:rFonts w:eastAsiaTheme="minorEastAsia"/>
        </w:rPr>
        <w:t xml:space="preserve">we can show that </w:t>
      </w:r>
      <m:oMath>
        <m:r>
          <m:rPr>
            <m:sty m:val="p"/>
          </m:rPr>
          <w:rPr>
            <w:rFonts w:ascii="Cambria Math" w:hAnsi="Cambria Math"/>
          </w:rPr>
          <m:t>Π</m:t>
        </m:r>
        <m:r>
          <w:rPr>
            <w:rFonts w:ascii="Cambria Math" w:hAnsi="Cambria Math"/>
          </w:rPr>
          <m:t>(X)</m:t>
        </m:r>
      </m:oMath>
      <w:r>
        <w:rPr>
          <w:rFonts w:eastAsiaTheme="minorEastAsia"/>
        </w:rPr>
        <w:t xml:space="preserve"> </w:t>
      </w:r>
      <w:r>
        <w:t xml:space="preserve">is a decreasing function of </w:t>
      </w:r>
      <m:oMath>
        <m:r>
          <w:rPr>
            <w:rFonts w:ascii="Cambria Math" w:hAnsi="Cambria Math"/>
          </w:rPr>
          <m:t>X</m:t>
        </m:r>
      </m:oMath>
      <w:r>
        <w:rPr>
          <w:rFonts w:eastAsiaTheme="minorEastAsia"/>
        </w:rPr>
        <w:t xml:space="preserve"> for </w:t>
      </w:r>
      <m:oMath>
        <m:r>
          <w:rPr>
            <w:rFonts w:ascii="Cambria Math" w:hAnsi="Cambria Math"/>
          </w:rPr>
          <m:t>X≥</m:t>
        </m:r>
        <m:f>
          <m:fPr>
            <m:ctrlPr>
              <w:rPr>
                <w:rFonts w:ascii="Cambria Math" w:hAnsi="Cambria Math"/>
                <w:i/>
              </w:rPr>
            </m:ctrlPr>
          </m:fPr>
          <m:num>
            <m:r>
              <w:rPr>
                <w:rFonts w:ascii="Cambria Math" w:hAnsi="Cambria Math"/>
              </w:rPr>
              <m:t>α-c</m:t>
            </m:r>
          </m:num>
          <m:den>
            <m:r>
              <w:rPr>
                <w:rFonts w:ascii="Cambria Math" w:hAnsi="Cambria Math"/>
              </w:rPr>
              <m:t>θ</m:t>
            </m:r>
          </m:den>
        </m:f>
      </m:oMath>
      <w:r>
        <w:rPr>
          <w:rFonts w:eastAsiaTheme="minorEastAsia"/>
        </w:rPr>
        <w:t>.  Note first that:</w:t>
      </w:r>
    </w:p>
    <w:p w14:paraId="687C535E" w14:textId="77777777" w:rsidR="004E2ECA" w:rsidRDefault="009E7792" w:rsidP="007C24E3">
      <w:pPr>
        <w:spacing w:line="480" w:lineRule="auto"/>
      </w:pPr>
      <m:oMathPara>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∂X</m:t>
              </m:r>
            </m:den>
          </m:f>
          <m:r>
            <w:rPr>
              <w:rFonts w:ascii="Cambria Math" w:hAnsi="Cambria Math"/>
            </w:rPr>
            <m:t>=α-2βX-c&lt;0 ⇔X&gt;</m:t>
          </m:r>
          <m:f>
            <m:fPr>
              <m:ctrlPr>
                <w:rPr>
                  <w:rFonts w:ascii="Cambria Math" w:hAnsi="Cambria Math"/>
                  <w:i/>
                </w:rPr>
              </m:ctrlPr>
            </m:fPr>
            <m:num>
              <m:r>
                <w:rPr>
                  <w:rFonts w:ascii="Cambria Math" w:hAnsi="Cambria Math"/>
                </w:rPr>
                <m:t>α-c</m:t>
              </m:r>
            </m:num>
            <m:den>
              <m:r>
                <w:rPr>
                  <w:rFonts w:ascii="Cambria Math" w:hAnsi="Cambria Math"/>
                </w:rPr>
                <m:t>2β</m:t>
              </m:r>
            </m:den>
          </m:f>
        </m:oMath>
      </m:oMathPara>
    </w:p>
    <w:p w14:paraId="04971C16" w14:textId="77777777" w:rsidR="004E2ECA" w:rsidRDefault="004E2ECA" w:rsidP="007C24E3">
      <w:pPr>
        <w:spacing w:line="480" w:lineRule="auto"/>
        <w:rPr>
          <w:rFonts w:eastAsiaTheme="minorEastAsia"/>
        </w:rPr>
      </w:pPr>
      <w:r>
        <w:t xml:space="preserve">Since </w:t>
      </w:r>
      <m:oMath>
        <m:r>
          <w:rPr>
            <w:rFonts w:ascii="Cambria Math" w:eastAsiaTheme="minorEastAsia" w:hAnsi="Cambria Math"/>
          </w:rPr>
          <m:t>θ&lt;2β</m:t>
        </m:r>
      </m:oMath>
      <w:r>
        <w:t xml:space="preserve">, then  </w:t>
      </w:r>
      <m:oMath>
        <m:f>
          <m:fPr>
            <m:ctrlPr>
              <w:rPr>
                <w:rFonts w:ascii="Cambria Math" w:hAnsi="Cambria Math"/>
                <w:i/>
              </w:rPr>
            </m:ctrlPr>
          </m:fPr>
          <m:num>
            <m:r>
              <w:rPr>
                <w:rFonts w:ascii="Cambria Math" w:hAnsi="Cambria Math"/>
              </w:rPr>
              <m:t>α-c</m:t>
            </m:r>
          </m:num>
          <m:den>
            <m:r>
              <w:rPr>
                <w:rFonts w:ascii="Cambria Math" w:hAnsi="Cambria Math"/>
              </w:rPr>
              <m:t>θ</m:t>
            </m:r>
          </m:den>
        </m:f>
        <m:r>
          <w:rPr>
            <w:rFonts w:ascii="Cambria Math" w:eastAsiaTheme="minorEastAsia" w:hAnsi="Cambria Math"/>
          </w:rPr>
          <m:t>&gt;</m:t>
        </m:r>
        <m:f>
          <m:fPr>
            <m:ctrlPr>
              <w:rPr>
                <w:rFonts w:ascii="Cambria Math" w:hAnsi="Cambria Math"/>
                <w:i/>
              </w:rPr>
            </m:ctrlPr>
          </m:fPr>
          <m:num>
            <m:r>
              <w:rPr>
                <w:rFonts w:ascii="Cambria Math" w:hAnsi="Cambria Math"/>
              </w:rPr>
              <m:t>α-c</m:t>
            </m:r>
          </m:num>
          <m:den>
            <m:r>
              <w:rPr>
                <w:rFonts w:ascii="Cambria Math" w:hAnsi="Cambria Math"/>
              </w:rPr>
              <m:t>2β</m:t>
            </m:r>
          </m:den>
        </m:f>
      </m:oMath>
      <w:r>
        <w:rPr>
          <w:rFonts w:eastAsiaTheme="minorEastAsia"/>
        </w:rPr>
        <w:t xml:space="preserve"> so that </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∂X</m:t>
            </m:r>
          </m:den>
        </m:f>
        <m:r>
          <w:rPr>
            <w:rFonts w:ascii="Cambria Math" w:hAnsi="Cambria Math"/>
          </w:rPr>
          <m:t>&lt;0</m:t>
        </m:r>
      </m:oMath>
      <w:r>
        <w:rPr>
          <w:rFonts w:eastAsiaTheme="minorEastAsia"/>
        </w:rPr>
        <w:t xml:space="preserve"> </w:t>
      </w:r>
      <w:r>
        <w:t xml:space="preserve">when </w:t>
      </w:r>
      <m:oMath>
        <m:r>
          <w:rPr>
            <w:rFonts w:ascii="Cambria Math" w:hAnsi="Cambria Math"/>
          </w:rPr>
          <m:t>X≥</m:t>
        </m:r>
        <m:f>
          <m:fPr>
            <m:ctrlPr>
              <w:rPr>
                <w:rFonts w:ascii="Cambria Math" w:hAnsi="Cambria Math"/>
                <w:i/>
              </w:rPr>
            </m:ctrlPr>
          </m:fPr>
          <m:num>
            <m:r>
              <w:rPr>
                <w:rFonts w:ascii="Cambria Math" w:hAnsi="Cambria Math"/>
              </w:rPr>
              <m:t>α-c</m:t>
            </m:r>
          </m:num>
          <m:den>
            <m:r>
              <w:rPr>
                <w:rFonts w:ascii="Cambria Math" w:hAnsi="Cambria Math"/>
              </w:rPr>
              <m:t>θ</m:t>
            </m:r>
          </m:den>
        </m:f>
      </m:oMath>
      <w:r>
        <w:t xml:space="preserve"> .  Accordingly, </w:t>
      </w:r>
      <m:oMath>
        <m:r>
          <m:rPr>
            <m:sty m:val="p"/>
          </m:rPr>
          <w:rPr>
            <w:rFonts w:ascii="Cambria Math" w:hAnsi="Cambria Math"/>
          </w:rPr>
          <m:t>Π</m:t>
        </m:r>
        <m:d>
          <m:dPr>
            <m:ctrlPr>
              <w:rPr>
                <w:rFonts w:ascii="Cambria Math" w:hAnsi="Cambria Math"/>
                <w:i/>
              </w:rPr>
            </m:ctrlPr>
          </m:dPr>
          <m:e>
            <m:r>
              <w:rPr>
                <w:rFonts w:ascii="Cambria Math" w:hAnsi="Cambria Math"/>
              </w:rPr>
              <m:t>X</m:t>
            </m:r>
          </m:e>
        </m:d>
      </m:oMath>
      <w:r>
        <w:rPr>
          <w:rFonts w:eastAsiaTheme="minorEastAsia"/>
        </w:rPr>
        <w:t xml:space="preserve"> attains its maximum value over the domain </w:t>
      </w:r>
      <m:oMath>
        <m:r>
          <w:rPr>
            <w:rFonts w:ascii="Cambria Math" w:hAnsi="Cambria Math"/>
          </w:rPr>
          <m:t>X≥</m:t>
        </m:r>
        <m:f>
          <m:fPr>
            <m:ctrlPr>
              <w:rPr>
                <w:rFonts w:ascii="Cambria Math" w:hAnsi="Cambria Math"/>
                <w:i/>
              </w:rPr>
            </m:ctrlPr>
          </m:fPr>
          <m:num>
            <m:r>
              <w:rPr>
                <w:rFonts w:ascii="Cambria Math" w:hAnsi="Cambria Math"/>
              </w:rPr>
              <m:t>α-c</m:t>
            </m:r>
          </m:num>
          <m:den>
            <m:r>
              <w:rPr>
                <w:rFonts w:ascii="Cambria Math" w:hAnsi="Cambria Math"/>
              </w:rPr>
              <m:t>θ</m:t>
            </m:r>
          </m:den>
        </m:f>
      </m:oMath>
      <w:r>
        <w:rPr>
          <w:rFonts w:eastAsiaTheme="minorEastAsia"/>
        </w:rPr>
        <w:t xml:space="preserve"> at the lower bound of the domain.  Vice versa, </w:t>
      </w:r>
      <m:oMath>
        <m:r>
          <m:rPr>
            <m:sty m:val="p"/>
          </m:rPr>
          <w:rPr>
            <w:rFonts w:ascii="Cambria Math" w:hAnsi="Cambria Math"/>
          </w:rPr>
          <m:t>Π</m:t>
        </m:r>
        <m:d>
          <m:dPr>
            <m:ctrlPr>
              <w:rPr>
                <w:rFonts w:ascii="Cambria Math" w:hAnsi="Cambria Math"/>
                <w:i/>
              </w:rPr>
            </m:ctrlPr>
          </m:dPr>
          <m:e>
            <m:r>
              <w:rPr>
                <w:rFonts w:ascii="Cambria Math" w:hAnsi="Cambria Math"/>
              </w:rPr>
              <m:t>X</m:t>
            </m:r>
          </m:e>
        </m:d>
      </m:oMath>
      <w:r>
        <w:rPr>
          <w:rFonts w:eastAsiaTheme="minorEastAsia"/>
        </w:rPr>
        <w:t xml:space="preserve"> attains its maximum value over the domain </w:t>
      </w:r>
      <m:oMath>
        <m:r>
          <w:rPr>
            <w:rFonts w:ascii="Cambria Math" w:hAnsi="Cambria Math"/>
          </w:rPr>
          <m:t>X&lt;</m:t>
        </m:r>
        <m:f>
          <m:fPr>
            <m:ctrlPr>
              <w:rPr>
                <w:rFonts w:ascii="Cambria Math" w:hAnsi="Cambria Math"/>
                <w:i/>
              </w:rPr>
            </m:ctrlPr>
          </m:fPr>
          <m:num>
            <m:r>
              <w:rPr>
                <w:rFonts w:ascii="Cambria Math" w:hAnsi="Cambria Math"/>
              </w:rPr>
              <m:t>α-c</m:t>
            </m:r>
          </m:num>
          <m:den>
            <m:r>
              <w:rPr>
                <w:rFonts w:ascii="Cambria Math" w:hAnsi="Cambria Math"/>
              </w:rPr>
              <m:t>θ</m:t>
            </m:r>
          </m:den>
        </m:f>
      </m:oMath>
      <w:r>
        <w:rPr>
          <w:rFonts w:eastAsiaTheme="minorEastAsia"/>
        </w:rPr>
        <w:t xml:space="preserve"> at an interior point.  The first-order condition for a maximum in this case is:</w:t>
      </w:r>
    </w:p>
    <w:p w14:paraId="341D30CA" w14:textId="77777777" w:rsidR="004E2ECA" w:rsidRDefault="009E7792" w:rsidP="007C24E3">
      <w:pPr>
        <w:spacing w:line="480" w:lineRule="auto"/>
        <w:rPr>
          <w:rFonts w:eastAsiaTheme="minorEastAsia"/>
        </w:rPr>
      </w:pPr>
      <m:oMathPara>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∂X</m:t>
              </m:r>
            </m:den>
          </m:f>
          <m:r>
            <w:rPr>
              <w:rFonts w:ascii="Cambria Math" w:hAnsi="Cambria Math"/>
            </w:rPr>
            <m:t>=0⇔</m:t>
          </m:r>
          <m:d>
            <m:dPr>
              <m:ctrlPr>
                <w:rPr>
                  <w:rFonts w:ascii="Cambria Math" w:hAnsi="Cambria Math"/>
                  <w:i/>
                </w:rPr>
              </m:ctrlPr>
            </m:dPr>
            <m:e>
              <m:r>
                <w:rPr>
                  <w:rFonts w:ascii="Cambria Math" w:hAnsi="Cambria Math"/>
                </w:rPr>
                <m:t>α-c</m:t>
              </m:r>
            </m:e>
          </m:d>
          <m:f>
            <m:fPr>
              <m:ctrlPr>
                <w:rPr>
                  <w:rFonts w:ascii="Cambria Math" w:hAnsi="Cambria Math"/>
                  <w:i/>
                </w:rPr>
              </m:ctrlPr>
            </m:fPr>
            <m:num>
              <m:r>
                <w:rPr>
                  <w:rFonts w:ascii="Cambria Math" w:hAnsi="Cambria Math"/>
                </w:rPr>
                <m:t>2β-θ</m:t>
              </m:r>
            </m:num>
            <m:den>
              <m:r>
                <w:rPr>
                  <w:rFonts w:ascii="Cambria Math" w:hAnsi="Cambria Math"/>
                </w:rPr>
                <m:t>2β</m:t>
              </m:r>
            </m:den>
          </m:f>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m:t>
              </m:r>
            </m:sup>
          </m:sSup>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β</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θ</m:t>
                  </m:r>
                </m:e>
                <m:sup>
                  <m:r>
                    <w:rPr>
                      <w:rFonts w:ascii="Cambria Math" w:hAnsi="Cambria Math"/>
                    </w:rPr>
                    <m:t>2</m:t>
                  </m:r>
                </m:sup>
              </m:sSup>
            </m:num>
            <m:den>
              <m:r>
                <w:rPr>
                  <w:rFonts w:ascii="Cambria Math" w:hAnsi="Cambria Math"/>
                </w:rPr>
                <m:t>2β</m:t>
              </m:r>
            </m:den>
          </m:f>
          <m:r>
            <w:rPr>
              <w:rFonts w:ascii="Cambria Math" w:eastAsiaTheme="minorEastAsia" w:hAnsi="Cambria Math"/>
            </w:rPr>
            <m:t xml:space="preserve">=0  or  </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2β+θ</m:t>
              </m:r>
            </m:den>
          </m:f>
          <m:r>
            <w:rPr>
              <w:rFonts w:ascii="Cambria Math" w:eastAsiaTheme="minorEastAsia" w:hAnsi="Cambria Math"/>
            </w:rPr>
            <m:t>&lt;</m:t>
          </m:r>
          <m:f>
            <m:fPr>
              <m:ctrlPr>
                <w:rPr>
                  <w:rFonts w:ascii="Cambria Math" w:hAnsi="Cambria Math"/>
                  <w:i/>
                </w:rPr>
              </m:ctrlPr>
            </m:fPr>
            <m:num>
              <m:r>
                <w:rPr>
                  <w:rFonts w:ascii="Cambria Math" w:hAnsi="Cambria Math"/>
                </w:rPr>
                <m:t>α-c</m:t>
              </m:r>
            </m:num>
            <m:den>
              <m:r>
                <w:rPr>
                  <w:rFonts w:ascii="Cambria Math" w:hAnsi="Cambria Math"/>
                </w:rPr>
                <m:t>θ</m:t>
              </m:r>
            </m:den>
          </m:f>
        </m:oMath>
      </m:oMathPara>
    </w:p>
    <w:p w14:paraId="5EE58315" w14:textId="77777777" w:rsidR="004E2ECA" w:rsidRDefault="004E2ECA" w:rsidP="007C24E3">
      <w:pPr>
        <w:spacing w:line="480" w:lineRule="auto"/>
        <w:rPr>
          <w:rFonts w:eastAsiaTheme="minorEastAsia"/>
        </w:rPr>
      </w:pPr>
      <w:r>
        <w:t xml:space="preserve">We can verify that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oMath>
      <w:r>
        <w:rPr>
          <w:rFonts w:eastAsiaTheme="minorEastAsia"/>
        </w:rPr>
        <w:t xml:space="preserve"> is the global profit-maximizing output by noting that the profits at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oMath>
      <w:r>
        <w:rPr>
          <w:rFonts w:eastAsiaTheme="minorEastAsia"/>
        </w:rPr>
        <w:t xml:space="preserve">are strictly greater than the profits at </w:t>
      </w:r>
      <m:oMath>
        <m:r>
          <w:rPr>
            <w:rFonts w:ascii="Cambria Math" w:hAnsi="Cambria Math"/>
          </w:rPr>
          <m:t>X=</m:t>
        </m:r>
        <m:f>
          <m:fPr>
            <m:ctrlPr>
              <w:rPr>
                <w:rFonts w:ascii="Cambria Math" w:hAnsi="Cambria Math"/>
                <w:i/>
              </w:rPr>
            </m:ctrlPr>
          </m:fPr>
          <m:num>
            <m:r>
              <w:rPr>
                <w:rFonts w:ascii="Cambria Math" w:hAnsi="Cambria Math"/>
              </w:rPr>
              <m:t>α-c</m:t>
            </m:r>
          </m:num>
          <m:den>
            <m:r>
              <w:rPr>
                <w:rFonts w:ascii="Cambria Math" w:hAnsi="Cambria Math"/>
              </w:rPr>
              <m:t>θ</m:t>
            </m:r>
          </m:den>
        </m:f>
      </m:oMath>
      <w:r>
        <w:rPr>
          <w:rFonts w:eastAsiaTheme="minorEastAsia"/>
        </w:rPr>
        <w:t xml:space="preserve">  when </w:t>
      </w:r>
      <m:oMath>
        <m:r>
          <w:rPr>
            <w:rFonts w:ascii="Cambria Math" w:eastAsiaTheme="minorEastAsia" w:hAnsi="Cambria Math"/>
          </w:rPr>
          <m:t>θ&lt;2β</m:t>
        </m:r>
      </m:oMath>
      <w:r>
        <w:rPr>
          <w:rFonts w:eastAsiaTheme="minorEastAsia"/>
        </w:rPr>
        <w:t>:</w:t>
      </w:r>
    </w:p>
    <w:p w14:paraId="25E2A455" w14:textId="77777777" w:rsidR="004E2ECA" w:rsidRPr="00E83E92" w:rsidRDefault="009E7792" w:rsidP="007C24E3">
      <w:pPr>
        <w:spacing w:line="480" w:lineRule="auto"/>
        <w:jc w:val="center"/>
      </w:pPr>
      <m:oMathPara>
        <m:oMath>
          <m:sSub>
            <m:sSubPr>
              <m:ctrlPr>
                <w:rPr>
                  <w:rFonts w:ascii="Cambria Math" w:hAnsi="Cambria Math"/>
                  <w:i/>
                </w:rPr>
              </m:ctrlPr>
            </m:sSubPr>
            <m:e>
              <m:d>
                <m:dPr>
                  <m:begChr m:val=""/>
                  <m:endChr m:val="|"/>
                  <m:ctrlPr>
                    <w:rPr>
                      <w:rFonts w:ascii="Cambria Math" w:hAnsi="Cambria Math"/>
                      <w:i/>
                    </w:rPr>
                  </m:ctrlPr>
                </m:dPr>
                <m:e>
                  <m:r>
                    <m:rPr>
                      <m:sty m:val="p"/>
                    </m:rPr>
                    <w:rPr>
                      <w:rFonts w:ascii="Cambria Math" w:hAnsi="Cambria Math"/>
                    </w:rPr>
                    <m:t>Π</m:t>
                  </m:r>
                  <m:r>
                    <w:rPr>
                      <w:rFonts w:ascii="Cambria Math" w:hAnsi="Cambria Math"/>
                    </w:rPr>
                    <m:t>(X)</m:t>
                  </m:r>
                </m:e>
              </m:d>
            </m:e>
            <m:sub>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sub>
          </m:sSub>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α-c</m:t>
                      </m:r>
                    </m:e>
                  </m:d>
                </m:e>
                <m:sup>
                  <m:r>
                    <w:rPr>
                      <w:rFonts w:ascii="Cambria Math" w:hAnsi="Cambria Math"/>
                    </w:rPr>
                    <m:t>2</m:t>
                  </m:r>
                </m:sup>
              </m:sSup>
            </m:num>
            <m:den>
              <m:r>
                <w:rPr>
                  <w:rFonts w:ascii="Cambria Math" w:hAnsi="Cambria Math"/>
                </w:rPr>
                <m:t>2β+θ</m:t>
              </m:r>
            </m:den>
          </m:f>
          <m:r>
            <w:rPr>
              <w:rFonts w:ascii="Cambria Math" w:hAnsi="Cambria Math"/>
            </w:rPr>
            <m:t xml:space="preserve">   &gt;  </m:t>
          </m:r>
          <m:sSub>
            <m:sSubPr>
              <m:ctrlPr>
                <w:rPr>
                  <w:rFonts w:ascii="Cambria Math" w:hAnsi="Cambria Math"/>
                  <w:i/>
                </w:rPr>
              </m:ctrlPr>
            </m:sSubPr>
            <m:e>
              <m:d>
                <m:dPr>
                  <m:begChr m:val=""/>
                  <m:endChr m:val="|"/>
                  <m:ctrlPr>
                    <w:rPr>
                      <w:rFonts w:ascii="Cambria Math" w:hAnsi="Cambria Math"/>
                      <w:i/>
                    </w:rPr>
                  </m:ctrlPr>
                </m:dPr>
                <m:e>
                  <m:r>
                    <m:rPr>
                      <m:sty m:val="p"/>
                    </m:rPr>
                    <w:rPr>
                      <w:rFonts w:ascii="Cambria Math" w:hAnsi="Cambria Math"/>
                    </w:rPr>
                    <m:t>Π</m:t>
                  </m:r>
                  <m:r>
                    <w:rPr>
                      <w:rFonts w:ascii="Cambria Math" w:hAnsi="Cambria Math"/>
                    </w:rPr>
                    <m:t>(X)</m:t>
                  </m:r>
                </m:e>
              </m:d>
            </m:e>
            <m:sub>
              <m:r>
                <w:rPr>
                  <w:rFonts w:ascii="Cambria Math" w:hAnsi="Cambria Math"/>
                </w:rPr>
                <m:t>X=</m:t>
              </m:r>
              <m:f>
                <m:fPr>
                  <m:ctrlPr>
                    <w:rPr>
                      <w:rFonts w:ascii="Cambria Math" w:hAnsi="Cambria Math"/>
                      <w:i/>
                    </w:rPr>
                  </m:ctrlPr>
                </m:fPr>
                <m:num>
                  <m:r>
                    <w:rPr>
                      <w:rFonts w:ascii="Cambria Math" w:hAnsi="Cambria Math"/>
                    </w:rPr>
                    <m:t>α-c</m:t>
                  </m:r>
                </m:num>
                <m:den>
                  <m:r>
                    <w:rPr>
                      <w:rFonts w:ascii="Cambria Math" w:hAnsi="Cambria Math"/>
                    </w:rPr>
                    <m:t>θ</m:t>
                  </m:r>
                </m:den>
              </m:f>
            </m:sub>
          </m:sSub>
          <m:r>
            <w:rPr>
              <w:rFonts w:ascii="Cambria Math" w:hAnsi="Cambria Math"/>
            </w:rPr>
            <m:t>=</m:t>
          </m:r>
          <m:sSup>
            <m:sSupPr>
              <m:ctrlPr>
                <w:rPr>
                  <w:rFonts w:ascii="Cambria Math" w:hAnsi="Cambria Math"/>
                  <w:i/>
                </w:rPr>
              </m:ctrlPr>
            </m:sSupPr>
            <m:e>
              <m:r>
                <w:rPr>
                  <w:rFonts w:ascii="Cambria Math" w:hAnsi="Cambria Math"/>
                </w:rPr>
                <m:t>(α-c)</m:t>
              </m:r>
            </m:e>
            <m:sup>
              <m:r>
                <w:rPr>
                  <w:rFonts w:ascii="Cambria Math" w:hAnsi="Cambria Math"/>
                </w:rPr>
                <m:t>2</m:t>
              </m:r>
            </m:sup>
          </m:sSup>
          <m:f>
            <m:fPr>
              <m:ctrlPr>
                <w:rPr>
                  <w:rFonts w:ascii="Cambria Math" w:hAnsi="Cambria Math"/>
                  <w:i/>
                </w:rPr>
              </m:ctrlPr>
            </m:fPr>
            <m:num>
              <m:r>
                <w:rPr>
                  <w:rFonts w:ascii="Cambria Math" w:hAnsi="Cambria Math"/>
                </w:rPr>
                <m:t>θ-β</m:t>
              </m:r>
            </m:num>
            <m:den>
              <m:sSup>
                <m:sSupPr>
                  <m:ctrlPr>
                    <w:rPr>
                      <w:rFonts w:ascii="Cambria Math" w:hAnsi="Cambria Math"/>
                      <w:i/>
                    </w:rPr>
                  </m:ctrlPr>
                </m:sSupPr>
                <m:e>
                  <m:r>
                    <w:rPr>
                      <w:rFonts w:ascii="Cambria Math" w:hAnsi="Cambria Math"/>
                    </w:rPr>
                    <m:t>θ</m:t>
                  </m:r>
                </m:e>
                <m:sup>
                  <m:r>
                    <w:rPr>
                      <w:rFonts w:ascii="Cambria Math" w:hAnsi="Cambria Math"/>
                    </w:rPr>
                    <m:t>2</m:t>
                  </m:r>
                </m:sup>
              </m:sSup>
            </m:den>
          </m:f>
        </m:oMath>
      </m:oMathPara>
    </w:p>
    <w:p w14:paraId="02C71358" w14:textId="77777777" w:rsidR="004E2ECA" w:rsidRDefault="004E2ECA" w:rsidP="007C24E3">
      <w:pPr>
        <w:spacing w:line="480" w:lineRule="auto"/>
        <w:rPr>
          <w:rFonts w:eastAsiaTheme="minorEastAsia"/>
        </w:rPr>
      </w:pPr>
      <w:r>
        <w:t xml:space="preserve">When </w:t>
      </w:r>
      <m:oMath>
        <m:r>
          <w:rPr>
            <w:rFonts w:ascii="Cambria Math" w:eastAsiaTheme="minorEastAsia" w:hAnsi="Cambria Math"/>
          </w:rPr>
          <m:t>θ&gt;2β</m:t>
        </m:r>
      </m:oMath>
      <w:r>
        <w:rPr>
          <w:rFonts w:eastAsiaTheme="minorEastAsia"/>
        </w:rPr>
        <w:t xml:space="preserve">, the profit function is a convex function of </w:t>
      </w:r>
      <m:oMath>
        <m:r>
          <w:rPr>
            <w:rFonts w:ascii="Cambria Math" w:eastAsiaTheme="minorEastAsia" w:hAnsi="Cambria Math"/>
          </w:rPr>
          <m:t>X</m:t>
        </m:r>
      </m:oMath>
      <w:r>
        <w:rPr>
          <w:rFonts w:eastAsiaTheme="minorEastAsia"/>
        </w:rPr>
        <w:t xml:space="preserve"> over the domain </w:t>
      </w:r>
      <m:oMath>
        <m:r>
          <w:rPr>
            <w:rFonts w:ascii="Cambria Math" w:hAnsi="Cambria Math"/>
          </w:rPr>
          <m:t>X&lt;</m:t>
        </m:r>
        <m:f>
          <m:fPr>
            <m:ctrlPr>
              <w:rPr>
                <w:rFonts w:ascii="Cambria Math" w:hAnsi="Cambria Math"/>
                <w:i/>
              </w:rPr>
            </m:ctrlPr>
          </m:fPr>
          <m:num>
            <m:r>
              <w:rPr>
                <w:rFonts w:ascii="Cambria Math" w:hAnsi="Cambria Math"/>
              </w:rPr>
              <m:t>α-c</m:t>
            </m:r>
          </m:num>
          <m:den>
            <m:r>
              <w:rPr>
                <w:rFonts w:ascii="Cambria Math" w:hAnsi="Cambria Math"/>
              </w:rPr>
              <m:t>θ</m:t>
            </m:r>
          </m:den>
        </m:f>
      </m:oMath>
      <w:r>
        <w:rPr>
          <w:rFonts w:eastAsiaTheme="minorEastAsia"/>
        </w:rPr>
        <w:t xml:space="preserve"> attaining its maximum value at </w:t>
      </w:r>
      <m:oMath>
        <m:r>
          <w:rPr>
            <w:rFonts w:ascii="Cambria Math" w:hAnsi="Cambria Math"/>
          </w:rPr>
          <m:t>X=0</m:t>
        </m:r>
      </m:oMath>
      <w:r>
        <w:rPr>
          <w:rFonts w:eastAsiaTheme="minorEastAsia"/>
        </w:rPr>
        <w:t xml:space="preserve">.  The function is instead concave over the domain </w:t>
      </w:r>
      <m:oMath>
        <m:r>
          <w:rPr>
            <w:rFonts w:ascii="Cambria Math" w:hAnsi="Cambria Math"/>
          </w:rPr>
          <m:t>X≥</m:t>
        </m:r>
        <m:f>
          <m:fPr>
            <m:ctrlPr>
              <w:rPr>
                <w:rFonts w:ascii="Cambria Math" w:hAnsi="Cambria Math"/>
                <w:i/>
              </w:rPr>
            </m:ctrlPr>
          </m:fPr>
          <m:num>
            <m:r>
              <w:rPr>
                <w:rFonts w:ascii="Cambria Math" w:hAnsi="Cambria Math"/>
              </w:rPr>
              <m:t>α-c</m:t>
            </m:r>
          </m:num>
          <m:den>
            <m:r>
              <w:rPr>
                <w:rFonts w:ascii="Cambria Math" w:hAnsi="Cambria Math"/>
              </w:rPr>
              <m:t>θ</m:t>
            </m:r>
          </m:den>
        </m:f>
      </m:oMath>
      <w:r>
        <w:rPr>
          <w:rFonts w:eastAsiaTheme="minorEastAsia"/>
        </w:rPr>
        <w:t xml:space="preserve"> where it attains a maximum at </w:t>
      </w:r>
      <m:oMath>
        <m:r>
          <w:rPr>
            <w:rFonts w:ascii="Cambria Math" w:hAnsi="Cambria Math"/>
          </w:rPr>
          <m:t>X=</m:t>
        </m:r>
        <m:f>
          <m:fPr>
            <m:ctrlPr>
              <w:rPr>
                <w:rFonts w:ascii="Cambria Math" w:hAnsi="Cambria Math"/>
                <w:i/>
              </w:rPr>
            </m:ctrlPr>
          </m:fPr>
          <m:num>
            <m:r>
              <w:rPr>
                <w:rFonts w:ascii="Cambria Math" w:hAnsi="Cambria Math"/>
              </w:rPr>
              <m:t>α-c</m:t>
            </m:r>
          </m:num>
          <m:den>
            <m:r>
              <w:rPr>
                <w:rFonts w:ascii="Cambria Math" w:hAnsi="Cambria Math"/>
              </w:rPr>
              <m:t>2β</m:t>
            </m:r>
          </m:den>
        </m:f>
      </m:oMath>
      <w:r>
        <w:rPr>
          <w:rFonts w:eastAsiaTheme="minorEastAsia"/>
        </w:rPr>
        <w:t>:</w:t>
      </w:r>
    </w:p>
    <w:p w14:paraId="2A3DCEDE" w14:textId="77777777" w:rsidR="004E2ECA" w:rsidRDefault="009E7792" w:rsidP="007C24E3">
      <w:pPr>
        <w:spacing w:line="480" w:lineRule="auto"/>
        <w:rPr>
          <w:rFonts w:eastAsiaTheme="minorEastAsia"/>
        </w:rPr>
      </w:pPr>
      <m:oMathPara>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∂X</m:t>
              </m:r>
            </m:den>
          </m:f>
          <m:r>
            <w:rPr>
              <w:rFonts w:ascii="Cambria Math" w:hAnsi="Cambria Math"/>
            </w:rPr>
            <m:t>=0⇔α-2βX-c=</m:t>
          </m:r>
          <m:r>
            <w:rPr>
              <w:rFonts w:ascii="Cambria Math" w:eastAsiaTheme="minorEastAsia" w:hAnsi="Cambria Math"/>
            </w:rPr>
            <m:t xml:space="preserve">0  or  </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2β</m:t>
              </m:r>
            </m:den>
          </m:f>
          <m:r>
            <w:rPr>
              <w:rFonts w:ascii="Cambria Math" w:eastAsiaTheme="minorEastAsia" w:hAnsi="Cambria Math"/>
            </w:rPr>
            <m:t>≥</m:t>
          </m:r>
          <m:f>
            <m:fPr>
              <m:ctrlPr>
                <w:rPr>
                  <w:rFonts w:ascii="Cambria Math" w:hAnsi="Cambria Math"/>
                  <w:i/>
                </w:rPr>
              </m:ctrlPr>
            </m:fPr>
            <m:num>
              <m:r>
                <w:rPr>
                  <w:rFonts w:ascii="Cambria Math" w:hAnsi="Cambria Math"/>
                </w:rPr>
                <m:t>α-c</m:t>
              </m:r>
            </m:num>
            <m:den>
              <m:r>
                <w:rPr>
                  <w:rFonts w:ascii="Cambria Math" w:hAnsi="Cambria Math"/>
                </w:rPr>
                <m:t>θ</m:t>
              </m:r>
            </m:den>
          </m:f>
        </m:oMath>
      </m:oMathPara>
    </w:p>
    <w:p w14:paraId="2035E176" w14:textId="77777777" w:rsidR="004E2ECA" w:rsidRDefault="004E2ECA" w:rsidP="007C24E3">
      <w:pPr>
        <w:spacing w:line="480" w:lineRule="auto"/>
        <w:rPr>
          <w:rFonts w:eastAsiaTheme="minorEastAsia"/>
        </w:rPr>
      </w:pPr>
      <w:r>
        <w:t xml:space="preserve">It can be seen that there are two profit maximizing values for </w:t>
      </w:r>
      <m:oMath>
        <m:r>
          <w:rPr>
            <w:rFonts w:ascii="Cambria Math" w:hAnsi="Cambria Math"/>
          </w:rPr>
          <m:t>X</m:t>
        </m:r>
      </m:oMath>
      <w:r>
        <w:rPr>
          <w:rFonts w:eastAsiaTheme="minorEastAsia"/>
        </w:rPr>
        <w:t xml:space="preserve"> in this case:</w:t>
      </w:r>
    </w:p>
    <w:p w14:paraId="4E1728EF" w14:textId="77777777" w:rsidR="004E2ECA" w:rsidRDefault="009E7792" w:rsidP="007C24E3">
      <w:pPr>
        <w:spacing w:line="480" w:lineRule="auto"/>
        <w:rPr>
          <w:rFonts w:eastAsiaTheme="minorEastAsia"/>
        </w:rPr>
      </w:pPr>
      <m:oMathPara>
        <m:oMath>
          <m:sSub>
            <m:sSubPr>
              <m:ctrlPr>
                <w:rPr>
                  <w:rFonts w:ascii="Cambria Math" w:hAnsi="Cambria Math"/>
                  <w:i/>
                </w:rPr>
              </m:ctrlPr>
            </m:sSubPr>
            <m:e>
              <m:d>
                <m:dPr>
                  <m:begChr m:val=""/>
                  <m:endChr m:val="|"/>
                  <m:ctrlPr>
                    <w:rPr>
                      <w:rFonts w:ascii="Cambria Math" w:hAnsi="Cambria Math"/>
                      <w:i/>
                    </w:rPr>
                  </m:ctrlPr>
                </m:dPr>
                <m:e>
                  <m:r>
                    <m:rPr>
                      <m:sty m:val="p"/>
                    </m:rPr>
                    <w:rPr>
                      <w:rFonts w:ascii="Cambria Math" w:hAnsi="Cambria Math"/>
                    </w:rPr>
                    <m:t>Π</m:t>
                  </m:r>
                  <m:r>
                    <w:rPr>
                      <w:rFonts w:ascii="Cambria Math" w:hAnsi="Cambria Math"/>
                    </w:rPr>
                    <m:t>(X)</m:t>
                  </m:r>
                </m:e>
              </m:d>
            </m:e>
            <m:sub>
              <m:r>
                <w:rPr>
                  <w:rFonts w:ascii="Cambria Math" w:hAnsi="Cambria Math"/>
                </w:rPr>
                <m:t>X=0</m:t>
              </m:r>
            </m:sub>
          </m:sSub>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α-c</m:t>
                      </m:r>
                    </m:e>
                  </m:d>
                </m:e>
                <m:sup>
                  <m:r>
                    <w:rPr>
                      <w:rFonts w:ascii="Cambria Math" w:hAnsi="Cambria Math"/>
                    </w:rPr>
                    <m:t>2</m:t>
                  </m:r>
                </m:sup>
              </m:sSup>
            </m:num>
            <m:den>
              <m:r>
                <w:rPr>
                  <w:rFonts w:ascii="Cambria Math" w:hAnsi="Cambria Math"/>
                </w:rPr>
                <m:t>4β</m:t>
              </m:r>
            </m:den>
          </m:f>
          <m:r>
            <w:rPr>
              <w:rFonts w:ascii="Cambria Math" w:hAnsi="Cambria Math"/>
            </w:rPr>
            <m:t xml:space="preserve">   &gt;  </m:t>
          </m:r>
          <m:sSub>
            <m:sSubPr>
              <m:ctrlPr>
                <w:rPr>
                  <w:rFonts w:ascii="Cambria Math" w:hAnsi="Cambria Math"/>
                  <w:i/>
                </w:rPr>
              </m:ctrlPr>
            </m:sSubPr>
            <m:e>
              <m:d>
                <m:dPr>
                  <m:begChr m:val=""/>
                  <m:endChr m:val="|"/>
                  <m:ctrlPr>
                    <w:rPr>
                      <w:rFonts w:ascii="Cambria Math" w:hAnsi="Cambria Math"/>
                      <w:i/>
                    </w:rPr>
                  </m:ctrlPr>
                </m:dPr>
                <m:e>
                  <m:r>
                    <m:rPr>
                      <m:sty m:val="p"/>
                    </m:rPr>
                    <w:rPr>
                      <w:rFonts w:ascii="Cambria Math" w:hAnsi="Cambria Math"/>
                    </w:rPr>
                    <m:t>Π</m:t>
                  </m:r>
                  <m:r>
                    <w:rPr>
                      <w:rFonts w:ascii="Cambria Math" w:hAnsi="Cambria Math"/>
                    </w:rPr>
                    <m:t>(X)</m:t>
                  </m:r>
                </m:e>
              </m:d>
            </m:e>
            <m:sub>
              <m:r>
                <w:rPr>
                  <w:rFonts w:ascii="Cambria Math" w:hAnsi="Cambria Math"/>
                </w:rPr>
                <m:t>X=</m:t>
              </m:r>
              <m:f>
                <m:fPr>
                  <m:ctrlPr>
                    <w:rPr>
                      <w:rFonts w:ascii="Cambria Math" w:hAnsi="Cambria Math"/>
                      <w:i/>
                    </w:rPr>
                  </m:ctrlPr>
                </m:fPr>
                <m:num>
                  <m:r>
                    <w:rPr>
                      <w:rFonts w:ascii="Cambria Math" w:hAnsi="Cambria Math"/>
                    </w:rPr>
                    <m:t>α-c</m:t>
                  </m:r>
                </m:num>
                <m:den>
                  <m:r>
                    <w:rPr>
                      <w:rFonts w:ascii="Cambria Math" w:hAnsi="Cambria Math"/>
                    </w:rPr>
                    <m:t>2β</m:t>
                  </m:r>
                </m:den>
              </m:f>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(α-c)</m:t>
                  </m:r>
                </m:e>
                <m:sup>
                  <m:r>
                    <w:rPr>
                      <w:rFonts w:ascii="Cambria Math" w:hAnsi="Cambria Math"/>
                    </w:rPr>
                    <m:t>2</m:t>
                  </m:r>
                </m:sup>
              </m:sSup>
            </m:num>
            <m:den>
              <m:r>
                <w:rPr>
                  <w:rFonts w:ascii="Cambria Math" w:hAnsi="Cambria Math"/>
                </w:rPr>
                <m:t>4β</m:t>
              </m:r>
            </m:den>
          </m:f>
        </m:oMath>
      </m:oMathPara>
    </w:p>
    <w:p w14:paraId="698A3416" w14:textId="77777777" w:rsidR="004E2ECA" w:rsidRDefault="004E2ECA" w:rsidP="007C24E3">
      <w:pPr>
        <w:spacing w:line="480" w:lineRule="auto"/>
      </w:pPr>
      <w:r>
        <w:lastRenderedPageBreak/>
        <w:t>This shows that the firm would be indifferent between operating the market in the first period only or in the second period only.  In the text we assume that the firm would choose to produce in the first period and abandon the market in the second period.</w:t>
      </w:r>
    </w:p>
    <w:p w14:paraId="75FD12F8" w14:textId="77777777" w:rsidR="007A3399" w:rsidRDefault="007A3399" w:rsidP="007C24E3">
      <w:pPr>
        <w:spacing w:line="480" w:lineRule="auto"/>
        <w:ind w:firstLine="0"/>
        <w:rPr>
          <w:b/>
          <w:bCs/>
        </w:rPr>
      </w:pPr>
    </w:p>
    <w:p w14:paraId="08CDB247" w14:textId="77777777" w:rsidR="003812D6" w:rsidRPr="003F635B" w:rsidRDefault="003812D6" w:rsidP="007C24E3">
      <w:pPr>
        <w:spacing w:line="480" w:lineRule="auto"/>
        <w:ind w:firstLine="0"/>
        <w:rPr>
          <w:b/>
          <w:bCs/>
        </w:rPr>
      </w:pPr>
      <w:r w:rsidRPr="003F635B">
        <w:rPr>
          <w:b/>
          <w:bCs/>
        </w:rPr>
        <w:t xml:space="preserve">APPENDIX </w:t>
      </w:r>
      <w:r>
        <w:rPr>
          <w:b/>
          <w:bCs/>
        </w:rPr>
        <w:t>B</w:t>
      </w:r>
      <w:r w:rsidRPr="003F635B">
        <w:rPr>
          <w:b/>
          <w:bCs/>
        </w:rPr>
        <w:t xml:space="preserve"> – Proof of </w:t>
      </w:r>
      <w:r>
        <w:rPr>
          <w:b/>
          <w:bCs/>
        </w:rPr>
        <w:t>P</w:t>
      </w:r>
      <w:r w:rsidRPr="003F635B">
        <w:rPr>
          <w:b/>
          <w:bCs/>
        </w:rPr>
        <w:t xml:space="preserve">roposition </w:t>
      </w:r>
      <w:r>
        <w:rPr>
          <w:b/>
          <w:bCs/>
        </w:rPr>
        <w:t>2</w:t>
      </w:r>
    </w:p>
    <w:p w14:paraId="563CFCC6" w14:textId="77777777" w:rsidR="003812D6" w:rsidRDefault="003812D6" w:rsidP="007C24E3">
      <w:pPr>
        <w:spacing w:line="480" w:lineRule="auto"/>
        <w:rPr>
          <w:rFonts w:eastAsiaTheme="minorEastAsia"/>
        </w:rPr>
      </w:pPr>
      <w:r>
        <w:t>When generic entry is possible at zero cost (</w:t>
      </w:r>
      <m:oMath>
        <m:r>
          <w:rPr>
            <w:rFonts w:ascii="Cambria Math" w:hAnsi="Cambria Math"/>
          </w:rPr>
          <m:t>R=0</m:t>
        </m:r>
      </m:oMath>
      <w:r>
        <w:rPr>
          <w:rFonts w:eastAsiaTheme="minorEastAsia"/>
        </w:rPr>
        <w:t xml:space="preserve">), then the partition of the set of possible values of </w:t>
      </w:r>
      <m:oMath>
        <m:r>
          <w:rPr>
            <w:rFonts w:ascii="Cambria Math" w:eastAsiaTheme="minorEastAsia" w:hAnsi="Cambria Math"/>
          </w:rPr>
          <m:t>X</m:t>
        </m:r>
      </m:oMath>
      <w:r>
        <w:rPr>
          <w:rFonts w:eastAsiaTheme="minorEastAsia"/>
        </w:rPr>
        <w:t xml:space="preserve"> at (14a-c) in the text becomes:</w:t>
      </w:r>
    </w:p>
    <w:p w14:paraId="7CBA0D7F" w14:textId="77777777" w:rsidR="003812D6" w:rsidRPr="00A57576" w:rsidRDefault="009E7792" w:rsidP="007C24E3">
      <w:pPr>
        <w:spacing w:line="480" w:lineRule="auto"/>
        <w:rPr>
          <w:rFonts w:eastAsiaTheme="minorEastAsia"/>
        </w:rPr>
      </w:pPr>
      <m:oMathPara>
        <m:oMath>
          <m:sSub>
            <m:sSubPr>
              <m:ctrlPr>
                <w:rPr>
                  <w:rFonts w:ascii="Cambria Math" w:eastAsiaTheme="minorEastAsia" w:hAnsi="Cambria Math"/>
                  <w:i/>
                </w:rPr>
              </m:ctrlPr>
            </m:sSubPr>
            <m:e>
              <m:r>
                <m:rPr>
                  <m:scr m:val="double-struck"/>
                </m:rPr>
                <w:rPr>
                  <w:rFonts w:ascii="Cambria Math" w:eastAsiaTheme="minorEastAsia" w:hAnsi="Cambria Math"/>
                </w:rPr>
                <m:t>X</m:t>
              </m:r>
            </m:e>
            <m:sub>
              <m:r>
                <w:rPr>
                  <w:rFonts w:ascii="Cambria Math" w:eastAsiaTheme="minorEastAsia" w:hAnsi="Cambria Math"/>
                </w:rPr>
                <m:t>A</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 xml:space="preserve">X </m:t>
              </m:r>
            </m:e>
            <m:e>
              <m:r>
                <w:rPr>
                  <w:rFonts w:ascii="Cambria Math" w:eastAsiaTheme="minorEastAsia" w:hAnsi="Cambria Math"/>
                </w:rPr>
                <m:t xml:space="preserve"> X&lt; </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e>
          </m:d>
        </m:oMath>
      </m:oMathPara>
    </w:p>
    <w:p w14:paraId="08A4AB9D" w14:textId="77777777" w:rsidR="003812D6" w:rsidRPr="00A57576" w:rsidRDefault="009E7792" w:rsidP="007C24E3">
      <w:pPr>
        <w:spacing w:line="480" w:lineRule="auto"/>
        <w:rPr>
          <w:rFonts w:eastAsiaTheme="minorEastAsia"/>
        </w:rPr>
      </w:pPr>
      <m:oMathPara>
        <m:oMath>
          <m:sSub>
            <m:sSubPr>
              <m:ctrlPr>
                <w:rPr>
                  <w:rFonts w:ascii="Cambria Math" w:eastAsiaTheme="minorEastAsia" w:hAnsi="Cambria Math"/>
                  <w:i/>
                </w:rPr>
              </m:ctrlPr>
            </m:sSubPr>
            <m:e>
              <m:r>
                <m:rPr>
                  <m:scr m:val="double-struck"/>
                </m:rPr>
                <w:rPr>
                  <w:rFonts w:ascii="Cambria Math" w:eastAsiaTheme="minorEastAsia" w:hAnsi="Cambria Math"/>
                </w:rPr>
                <m:t>X</m:t>
              </m:r>
            </m:e>
            <m:sub>
              <m:r>
                <w:rPr>
                  <w:rFonts w:ascii="Cambria Math" w:eastAsiaTheme="minorEastAsia" w:hAnsi="Cambria Math"/>
                </w:rPr>
                <m:t>E</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 xml:space="preserve">X </m:t>
              </m:r>
            </m:e>
            <m:e>
              <m:r>
                <w:rPr>
                  <w:rFonts w:ascii="Cambria Math" w:eastAsiaTheme="minorEastAsia" w:hAnsi="Cambria Math"/>
                </w:rPr>
                <m:t xml:space="preserve">  X≥</m:t>
              </m:r>
              <m:f>
                <m:fPr>
                  <m:ctrlPr>
                    <w:rPr>
                      <w:rFonts w:ascii="Cambria Math" w:hAnsi="Cambria Math"/>
                      <w:i/>
                    </w:rPr>
                  </m:ctrlPr>
                </m:fPr>
                <m:num>
                  <m:r>
                    <w:rPr>
                      <w:rFonts w:ascii="Cambria Math" w:hAnsi="Cambria Math"/>
                    </w:rPr>
                    <m:t>α-c</m:t>
                  </m:r>
                </m:num>
                <m:den>
                  <m:r>
                    <w:rPr>
                      <w:rFonts w:ascii="Cambria Math" w:hAnsi="Cambria Math"/>
                    </w:rPr>
                    <m:t>θ</m:t>
                  </m:r>
                </m:den>
              </m:f>
            </m:e>
          </m:d>
        </m:oMath>
      </m:oMathPara>
    </w:p>
    <w:p w14:paraId="30585DDC" w14:textId="77777777" w:rsidR="003812D6" w:rsidRDefault="003812D6" w:rsidP="007C24E3">
      <w:pPr>
        <w:spacing w:line="480" w:lineRule="auto"/>
        <w:rPr>
          <w:rFonts w:eastAsiaTheme="minorEastAsia"/>
        </w:rPr>
      </w:pPr>
      <w:r>
        <w:t xml:space="preserve">It can be seen that the set  </w:t>
      </w:r>
      <m:oMath>
        <m:sSub>
          <m:sSubPr>
            <m:ctrlPr>
              <w:rPr>
                <w:rFonts w:ascii="Cambria Math" w:eastAsiaTheme="minorEastAsia" w:hAnsi="Cambria Math"/>
                <w:i/>
              </w:rPr>
            </m:ctrlPr>
          </m:sSubPr>
          <m:e>
            <m:r>
              <m:rPr>
                <m:scr m:val="double-struck"/>
              </m:rPr>
              <w:rPr>
                <w:rFonts w:ascii="Cambria Math" w:eastAsiaTheme="minorEastAsia" w:hAnsi="Cambria Math"/>
              </w:rPr>
              <m:t>X</m:t>
            </m:r>
          </m:e>
          <m:sub>
            <m:r>
              <w:rPr>
                <w:rFonts w:ascii="Cambria Math" w:eastAsiaTheme="minorEastAsia" w:hAnsi="Cambria Math"/>
              </w:rPr>
              <m:t>D</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 xml:space="preserve">X </m:t>
            </m:r>
          </m:e>
          <m:e>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βR</m:t>
                        </m:r>
                      </m:e>
                    </m:d>
                  </m:e>
                  <m:sup>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sup>
                </m:sSup>
              </m:num>
              <m:den>
                <m:r>
                  <w:rPr>
                    <w:rFonts w:ascii="Cambria Math" w:eastAsiaTheme="minorEastAsia" w:hAnsi="Cambria Math"/>
                  </w:rPr>
                  <m:t>θ</m:t>
                </m:r>
              </m:den>
            </m:f>
            <m:r>
              <w:rPr>
                <w:rFonts w:ascii="Cambria Math" w:eastAsiaTheme="minorEastAsia" w:hAnsi="Cambria Math"/>
              </w:rPr>
              <m:t>≤X&lt;</m:t>
            </m:r>
            <m:f>
              <m:fPr>
                <m:ctrlPr>
                  <w:rPr>
                    <w:rFonts w:ascii="Cambria Math" w:hAnsi="Cambria Math"/>
                    <w:i/>
                  </w:rPr>
                </m:ctrlPr>
              </m:fPr>
              <m:num>
                <m:r>
                  <w:rPr>
                    <w:rFonts w:ascii="Cambria Math" w:hAnsi="Cambria Math"/>
                  </w:rPr>
                  <m:t>α-c</m:t>
                </m:r>
              </m:num>
              <m:den>
                <m:r>
                  <w:rPr>
                    <w:rFonts w:ascii="Cambria Math" w:hAnsi="Cambria Math"/>
                  </w:rPr>
                  <m:t>θ</m:t>
                </m:r>
              </m:den>
            </m:f>
          </m:e>
        </m:d>
        <m:r>
          <w:rPr>
            <w:rFonts w:ascii="Cambria Math" w:eastAsiaTheme="minorEastAsia" w:hAnsi="Cambria Math"/>
          </w:rPr>
          <m:t>=∅</m:t>
        </m:r>
      </m:oMath>
      <w:r>
        <w:rPr>
          <w:rFonts w:eastAsiaTheme="minorEastAsia"/>
        </w:rPr>
        <w:t xml:space="preserve"> when </w:t>
      </w:r>
      <m:oMath>
        <m:r>
          <w:rPr>
            <w:rFonts w:ascii="Cambria Math" w:eastAsiaTheme="minorEastAsia" w:hAnsi="Cambria Math"/>
          </w:rPr>
          <m:t>R=0</m:t>
        </m:r>
      </m:oMath>
      <w:r>
        <w:rPr>
          <w:rFonts w:eastAsiaTheme="minorEastAsia"/>
        </w:rPr>
        <w:t xml:space="preserve">.  Deterring generic entry under this condition on entry costs requires setting first-period output so that profits for a prospective generic entrant are non-positive.  Doing so amounts to reducing the second-period primary mark-up to zero or less by choosing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oMath>
      <w:r>
        <w:rPr>
          <w:rFonts w:eastAsiaTheme="minorEastAsia"/>
        </w:rPr>
        <w:t xml:space="preserve">.  But this would make the second-period market not profitable for the incumbent firm too, so that the incumbent too would exit the market in the second period.  Accordingly, the partition simplifies to values of </w:t>
      </w:r>
      <m:oMath>
        <m:r>
          <w:rPr>
            <w:rFonts w:ascii="Cambria Math" w:eastAsiaTheme="minorEastAsia" w:hAnsi="Cambria Math"/>
          </w:rPr>
          <m:t>X</m:t>
        </m:r>
      </m:oMath>
      <w:r>
        <w:rPr>
          <w:rFonts w:eastAsiaTheme="minorEastAsia"/>
        </w:rPr>
        <w:t xml:space="preserve"> that would accommodate a generic entrant and values that would lead effectively to closing down the market in period 2.</w:t>
      </w:r>
    </w:p>
    <w:p w14:paraId="491580C3" w14:textId="77777777" w:rsidR="003812D6" w:rsidRDefault="003812D6" w:rsidP="007A3399">
      <w:pPr>
        <w:spacing w:line="480" w:lineRule="auto"/>
        <w:rPr>
          <w:rFonts w:eastAsiaTheme="minorEastAsia"/>
        </w:rPr>
      </w:pPr>
      <w:r>
        <w:rPr>
          <w:rFonts w:eastAsiaTheme="minorEastAsia"/>
        </w:rPr>
        <w:t xml:space="preserve">We already established (see Appendix A) that the function </w:t>
      </w:r>
      <m:oMath>
        <m:sSub>
          <m:sSubPr>
            <m:ctrlPr>
              <w:rPr>
                <w:rFonts w:ascii="Cambria Math" w:eastAsia="Cambria Math" w:hAnsi="Cambria Math" w:cs="Cambria Math"/>
                <w:i/>
              </w:rPr>
            </m:ctrlPr>
          </m:sSubPr>
          <m:e>
            <m:r>
              <m:rPr>
                <m:sty m:val="p"/>
              </m:rPr>
              <w:rPr>
                <w:rFonts w:ascii="Cambria Math" w:eastAsia="Cambria Math" w:hAnsi="Cambria Math" w:cs="Cambria Math"/>
              </w:rPr>
              <m:t>Π</m:t>
            </m:r>
          </m:e>
          <m:sub>
            <m:r>
              <w:rPr>
                <w:rFonts w:ascii="Cambria Math" w:eastAsia="Cambria Math" w:hAnsi="Cambria Math" w:cs="Cambria Math"/>
              </w:rPr>
              <m:t>E</m:t>
            </m:r>
          </m:sub>
        </m:sSub>
        <m:r>
          <w:rPr>
            <w:rFonts w:ascii="Cambria Math" w:eastAsia="Cambria Math" w:hAnsi="Cambria Math" w:cs="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α-βX-c</m:t>
                </m:r>
              </m:e>
            </m:d>
            <m:r>
              <w:rPr>
                <w:rFonts w:ascii="Cambria Math" w:hAnsi="Cambria Math"/>
              </w:rPr>
              <m:t>X</m:t>
            </m:r>
          </m:e>
        </m:d>
        <m:r>
          <w:rPr>
            <w:rFonts w:ascii="Cambria Math" w:hAnsi="Cambria Math"/>
          </w:rPr>
          <m:t xml:space="preserve">  </m:t>
        </m:r>
      </m:oMath>
      <w:r>
        <w:rPr>
          <w:rFonts w:eastAsiaTheme="minorEastAsia"/>
        </w:rPr>
        <w:t xml:space="preserve">over the domain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oMath>
      <w:r>
        <w:rPr>
          <w:rFonts w:eastAsiaTheme="minorEastAsia"/>
        </w:rPr>
        <w:t xml:space="preserve"> attains its maximum at the lower bound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oMath>
      <w:r>
        <w:rPr>
          <w:rFonts w:eastAsiaTheme="minorEastAsia"/>
        </w:rPr>
        <w:t xml:space="preserve"> when </w:t>
      </w:r>
      <m:oMath>
        <m:r>
          <w:rPr>
            <w:rFonts w:ascii="Cambria Math" w:eastAsiaTheme="minorEastAsia" w:hAnsi="Cambria Math"/>
          </w:rPr>
          <m:t>&lt;2β</m:t>
        </m:r>
      </m:oMath>
      <w:r w:rsidR="007A3399">
        <w:rPr>
          <w:rFonts w:eastAsiaTheme="minorEastAsia"/>
        </w:rPr>
        <w:t xml:space="preserve"> .  The maximum profits over </w:t>
      </w:r>
      <w:r>
        <w:rPr>
          <w:rFonts w:eastAsiaTheme="minorEastAsia"/>
        </w:rPr>
        <w:t xml:space="preserve">the domain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oMath>
      <w:r>
        <w:rPr>
          <w:rFonts w:eastAsiaTheme="minorEastAsia"/>
        </w:rPr>
        <w:t xml:space="preserve"> would be equal to </w:t>
      </w:r>
      <m:oMath>
        <m:sSup>
          <m:sSupPr>
            <m:ctrlPr>
              <w:rPr>
                <w:rFonts w:ascii="Cambria Math" w:hAnsi="Cambria Math"/>
                <w:i/>
              </w:rPr>
            </m:ctrlPr>
          </m:sSupPr>
          <m:e>
            <m:r>
              <w:rPr>
                <w:rFonts w:ascii="Cambria Math" w:hAnsi="Cambria Math"/>
              </w:rPr>
              <m:t>(α-c)</m:t>
            </m:r>
          </m:e>
          <m:sup>
            <m:r>
              <w:rPr>
                <w:rFonts w:ascii="Cambria Math" w:hAnsi="Cambria Math"/>
              </w:rPr>
              <m:t>2</m:t>
            </m:r>
          </m:sup>
        </m:sSup>
        <m:f>
          <m:fPr>
            <m:ctrlPr>
              <w:rPr>
                <w:rFonts w:ascii="Cambria Math" w:hAnsi="Cambria Math"/>
                <w:i/>
              </w:rPr>
            </m:ctrlPr>
          </m:fPr>
          <m:num>
            <m:r>
              <w:rPr>
                <w:rFonts w:ascii="Cambria Math" w:hAnsi="Cambria Math"/>
              </w:rPr>
              <m:t>θ-β</m:t>
            </m:r>
          </m:num>
          <m:den>
            <m:sSup>
              <m:sSupPr>
                <m:ctrlPr>
                  <w:rPr>
                    <w:rFonts w:ascii="Cambria Math" w:hAnsi="Cambria Math"/>
                    <w:i/>
                  </w:rPr>
                </m:ctrlPr>
              </m:sSupPr>
              <m:e>
                <m:r>
                  <w:rPr>
                    <w:rFonts w:ascii="Cambria Math" w:hAnsi="Cambria Math"/>
                  </w:rPr>
                  <m:t>θ</m:t>
                </m:r>
              </m:e>
              <m:sup>
                <m:r>
                  <w:rPr>
                    <w:rFonts w:ascii="Cambria Math" w:hAnsi="Cambria Math"/>
                  </w:rPr>
                  <m:t>2</m:t>
                </m:r>
              </m:sup>
            </m:sSup>
          </m:den>
        </m:f>
      </m:oMath>
      <w:r>
        <w:rPr>
          <w:rFonts w:eastAsiaTheme="minorEastAsia"/>
        </w:rPr>
        <w:t>.</w:t>
      </w:r>
    </w:p>
    <w:p w14:paraId="58F98963" w14:textId="77777777" w:rsidR="003812D6" w:rsidRDefault="003812D6" w:rsidP="007C24E3">
      <w:pPr>
        <w:spacing w:line="480" w:lineRule="auto"/>
        <w:rPr>
          <w:rFonts w:eastAsiaTheme="minorEastAsia"/>
        </w:rPr>
      </w:pPr>
      <w:r>
        <w:rPr>
          <w:rFonts w:eastAsiaTheme="minorEastAsia"/>
        </w:rPr>
        <w:t xml:space="preserve">The function </w:t>
      </w:r>
      <m:oMath>
        <m:sSub>
          <m:sSubPr>
            <m:ctrlPr>
              <w:rPr>
                <w:rFonts w:ascii="Cambria Math" w:hAnsi="Cambria Math"/>
                <w:i/>
              </w:rPr>
            </m:ctrlPr>
          </m:sSubPr>
          <m:e>
            <m:r>
              <m:rPr>
                <m:sty m:val="p"/>
              </m:rPr>
              <w:rPr>
                <w:rFonts w:ascii="Cambria Math" w:hAnsi="Cambria Math"/>
              </w:rPr>
              <m:t>Π</m:t>
            </m:r>
          </m:e>
          <m:sub>
            <m:r>
              <w:rPr>
                <w:rFonts w:ascii="Cambria Math" w:hAnsi="Cambria Math"/>
              </w:rPr>
              <m:t>A</m:t>
            </m:r>
          </m:sub>
        </m:sSub>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α-βX-c</m:t>
                </m:r>
              </m:e>
            </m:d>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β</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α-θX-c</m:t>
                    </m:r>
                  </m:num>
                  <m:den>
                    <m:r>
                      <w:rPr>
                        <w:rFonts w:ascii="Cambria Math" w:hAnsi="Cambria Math"/>
                      </w:rPr>
                      <m:t>3</m:t>
                    </m:r>
                  </m:den>
                </m:f>
              </m:e>
            </m:d>
          </m:e>
          <m:sup>
            <m:r>
              <w:rPr>
                <w:rFonts w:ascii="Cambria Math" w:hAnsi="Cambria Math"/>
              </w:rPr>
              <m:t>2</m:t>
            </m:r>
          </m:sup>
        </m:sSup>
      </m:oMath>
      <w:r>
        <w:rPr>
          <w:rFonts w:eastAsiaTheme="minorEastAsia"/>
        </w:rPr>
        <w:t xml:space="preserve"> is instead concave over the domain </w:t>
      </w:r>
      <m:oMath>
        <m:r>
          <w:rPr>
            <w:rFonts w:ascii="Cambria Math" w:eastAsiaTheme="minorEastAsia" w:hAnsi="Cambria Math"/>
          </w:rPr>
          <m:t>X&lt;</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oMath>
      <w:r>
        <w:rPr>
          <w:rFonts w:eastAsiaTheme="minorEastAsia"/>
        </w:rPr>
        <w:t>:</w:t>
      </w:r>
    </w:p>
    <w:p w14:paraId="78187EEB" w14:textId="77777777" w:rsidR="003812D6" w:rsidRDefault="009E7792" w:rsidP="007C24E3">
      <w:pPr>
        <w:spacing w:line="480" w:lineRule="auto"/>
        <w:rPr>
          <w:rFonts w:eastAsiaTheme="minorEastAsia"/>
        </w:rPr>
      </w:pPr>
      <m:oMathPara>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m:rPr>
                      <m:sty m:val="p"/>
                    </m:rPr>
                    <w:rPr>
                      <w:rFonts w:ascii="Cambria Math" w:hAnsi="Cambria Math"/>
                    </w:rPr>
                    <m:t>Π</m:t>
                  </m:r>
                </m:e>
                <m:sub>
                  <m:r>
                    <w:rPr>
                      <w:rFonts w:ascii="Cambria Math" w:hAnsi="Cambria Math"/>
                    </w:rPr>
                    <m:t>A</m:t>
                  </m:r>
                </m:sub>
              </m:sSub>
            </m:num>
            <m:den>
              <m:r>
                <m:rPr>
                  <m:sty m:val="p"/>
                </m:rPr>
                <w:rPr>
                  <w:rFonts w:ascii="Cambria Math" w:hAnsi="Cambria Math"/>
                </w:rPr>
                <m:t>∂X</m:t>
              </m:r>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9β-2θ</m:t>
                  </m:r>
                </m:e>
              </m:d>
              <m:d>
                <m:dPr>
                  <m:ctrlPr>
                    <w:rPr>
                      <w:rFonts w:ascii="Cambria Math" w:hAnsi="Cambria Math"/>
                      <w:i/>
                    </w:rPr>
                  </m:ctrlPr>
                </m:dPr>
                <m:e>
                  <m:r>
                    <w:rPr>
                      <w:rFonts w:ascii="Cambria Math" w:hAnsi="Cambria Math"/>
                    </w:rPr>
                    <m:t>α-c</m:t>
                  </m:r>
                </m:e>
              </m:d>
              <m:r>
                <w:rPr>
                  <w:rFonts w:ascii="Cambria Math" w:hAnsi="Cambria Math"/>
                </w:rPr>
                <m:t>-2X(9</m:t>
              </m:r>
              <m:sSup>
                <m:sSupPr>
                  <m:ctrlPr>
                    <w:rPr>
                      <w:rFonts w:ascii="Cambria Math" w:hAnsi="Cambria Math"/>
                      <w:i/>
                    </w:rPr>
                  </m:ctrlPr>
                </m:sSupPr>
                <m:e>
                  <m:r>
                    <w:rPr>
                      <w:rFonts w:ascii="Cambria Math" w:hAnsi="Cambria Math"/>
                    </w:rPr>
                    <m:t>β</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θ</m:t>
                  </m:r>
                </m:e>
                <m:sup>
                  <m:r>
                    <w:rPr>
                      <w:rFonts w:ascii="Cambria Math" w:hAnsi="Cambria Math"/>
                    </w:rPr>
                    <m:t>2</m:t>
                  </m:r>
                </m:sup>
              </m:sSup>
              <m:r>
                <w:rPr>
                  <w:rFonts w:ascii="Cambria Math" w:hAnsi="Cambria Math"/>
                </w:rPr>
                <m:t>)</m:t>
              </m:r>
            </m:num>
            <m:den>
              <m:r>
                <w:rPr>
                  <w:rFonts w:ascii="Cambria Math" w:hAnsi="Cambria Math"/>
                </w:rPr>
                <m:t>9β</m:t>
              </m:r>
            </m:den>
          </m:f>
        </m:oMath>
      </m:oMathPara>
    </w:p>
    <w:p w14:paraId="5EC9E30C" w14:textId="77777777" w:rsidR="003812D6" w:rsidRDefault="009E7792" w:rsidP="007C24E3">
      <w:pPr>
        <w:spacing w:line="480" w:lineRule="auto"/>
        <w:rPr>
          <w:rFonts w:eastAsiaTheme="minorEastAsia"/>
        </w:rPr>
      </w:pPr>
      <m:oMathPara>
        <m:oMath>
          <m:f>
            <m:fPr>
              <m:ctrlPr>
                <w:rPr>
                  <w:rFonts w:ascii="Cambria Math" w:hAnsi="Cambria Math"/>
                </w:rPr>
              </m:ctrlPr>
            </m:fPr>
            <m:num>
              <m:sSup>
                <m:sSupPr>
                  <m:ctrlPr>
                    <w:rPr>
                      <w:rFonts w:ascii="Cambria Math" w:hAnsi="Cambria Math"/>
                    </w:rPr>
                  </m:ctrlPr>
                </m:sSupPr>
                <m:e>
                  <m:r>
                    <m:rPr>
                      <m:sty m:val="p"/>
                    </m:rPr>
                    <w:rPr>
                      <w:rFonts w:ascii="Cambria Math" w:hAnsi="Cambria Math"/>
                    </w:rPr>
                    <m:t>∂</m:t>
                  </m:r>
                </m:e>
                <m:sup>
                  <m:r>
                    <w:rPr>
                      <w:rFonts w:ascii="Cambria Math" w:hAnsi="Cambria Math"/>
                    </w:rPr>
                    <m:t>2</m:t>
                  </m:r>
                </m:sup>
              </m:sSup>
              <m:sSub>
                <m:sSubPr>
                  <m:ctrlPr>
                    <w:rPr>
                      <w:rFonts w:ascii="Cambria Math" w:hAnsi="Cambria Math"/>
                    </w:rPr>
                  </m:ctrlPr>
                </m:sSubPr>
                <m:e>
                  <m:r>
                    <m:rPr>
                      <m:sty m:val="p"/>
                    </m:rPr>
                    <w:rPr>
                      <w:rFonts w:ascii="Cambria Math" w:hAnsi="Cambria Math"/>
                    </w:rPr>
                    <m:t>Π</m:t>
                  </m:r>
                </m:e>
                <m:sub>
                  <m:r>
                    <w:rPr>
                      <w:rFonts w:ascii="Cambria Math" w:hAnsi="Cambria Math"/>
                    </w:rPr>
                    <m:t>A</m:t>
                  </m:r>
                </m:sub>
              </m:sSub>
            </m:num>
            <m:den>
              <m:sSup>
                <m:sSupPr>
                  <m:ctrlPr>
                    <w:rPr>
                      <w:rFonts w:ascii="Cambria Math" w:hAnsi="Cambria Math"/>
                    </w:rPr>
                  </m:ctrlPr>
                </m:sSupPr>
                <m:e>
                  <m:r>
                    <w:rPr>
                      <w:rFonts w:ascii="Cambria Math" w:hAnsi="Cambria Math"/>
                    </w:rPr>
                    <m:t>∂X</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2</m:t>
              </m:r>
              <m:d>
                <m:dPr>
                  <m:ctrlPr>
                    <w:rPr>
                      <w:rFonts w:ascii="Cambria Math" w:hAnsi="Cambria Math"/>
                      <w:i/>
                    </w:rPr>
                  </m:ctrlPr>
                </m:dPr>
                <m:e>
                  <m:r>
                    <w:rPr>
                      <w:rFonts w:ascii="Cambria Math" w:hAnsi="Cambria Math"/>
                    </w:rPr>
                    <m:t>9</m:t>
                  </m:r>
                  <m:sSup>
                    <m:sSupPr>
                      <m:ctrlPr>
                        <w:rPr>
                          <w:rFonts w:ascii="Cambria Math" w:hAnsi="Cambria Math"/>
                          <w:i/>
                        </w:rPr>
                      </m:ctrlPr>
                    </m:sSupPr>
                    <m:e>
                      <m:r>
                        <w:rPr>
                          <w:rFonts w:ascii="Cambria Math" w:hAnsi="Cambria Math"/>
                        </w:rPr>
                        <m:t>β</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θ</m:t>
                      </m:r>
                    </m:e>
                    <m:sup>
                      <m:r>
                        <w:rPr>
                          <w:rFonts w:ascii="Cambria Math" w:hAnsi="Cambria Math"/>
                        </w:rPr>
                        <m:t>2</m:t>
                      </m:r>
                    </m:sup>
                  </m:sSup>
                </m:e>
              </m:d>
            </m:num>
            <m:den>
              <m:r>
                <w:rPr>
                  <w:rFonts w:ascii="Cambria Math" w:hAnsi="Cambria Math"/>
                </w:rPr>
                <m:t>9β</m:t>
              </m:r>
            </m:den>
          </m:f>
          <m:r>
            <w:rPr>
              <w:rFonts w:ascii="Cambria Math" w:hAnsi="Cambria Math"/>
            </w:rPr>
            <m:t>&lt;0</m:t>
          </m:r>
        </m:oMath>
      </m:oMathPara>
    </w:p>
    <w:p w14:paraId="02182FEF" w14:textId="77777777" w:rsidR="003812D6" w:rsidRDefault="003812D6" w:rsidP="007C24E3">
      <w:pPr>
        <w:spacing w:line="480" w:lineRule="auto"/>
        <w:rPr>
          <w:rFonts w:eastAsiaTheme="minorEastAsia"/>
        </w:rPr>
      </w:pPr>
      <w:r>
        <w:rPr>
          <w:rFonts w:eastAsiaTheme="minorEastAsia"/>
        </w:rPr>
        <w:t xml:space="preserve">The first order condition </w:t>
      </w: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m:rPr>
                    <m:sty m:val="p"/>
                  </m:rPr>
                  <w:rPr>
                    <w:rFonts w:ascii="Cambria Math" w:hAnsi="Cambria Math"/>
                  </w:rPr>
                  <m:t>Π</m:t>
                </m:r>
              </m:e>
              <m:sub>
                <m:r>
                  <w:rPr>
                    <w:rFonts w:ascii="Cambria Math" w:hAnsi="Cambria Math"/>
                  </w:rPr>
                  <m:t>A</m:t>
                </m:r>
              </m:sub>
            </m:sSub>
          </m:num>
          <m:den>
            <m:r>
              <m:rPr>
                <m:sty m:val="p"/>
              </m:rPr>
              <w:rPr>
                <w:rFonts w:ascii="Cambria Math" w:hAnsi="Cambria Math"/>
              </w:rPr>
              <m:t>∂X</m:t>
            </m:r>
          </m:den>
        </m:f>
        <m:r>
          <w:rPr>
            <w:rFonts w:ascii="Cambria Math" w:hAnsi="Cambria Math"/>
          </w:rPr>
          <m:t>=0</m:t>
        </m:r>
      </m:oMath>
      <w:r>
        <w:rPr>
          <w:rFonts w:eastAsiaTheme="minorEastAsia"/>
        </w:rPr>
        <w:t xml:space="preserve"> will therefore identify a local maximum of the function:</w:t>
      </w:r>
    </w:p>
    <w:p w14:paraId="74F39EDD" w14:textId="77777777" w:rsidR="003812D6" w:rsidRDefault="009E7792" w:rsidP="007C24E3">
      <w:pPr>
        <w:spacing w:line="480" w:lineRule="auto"/>
        <w:rPr>
          <w:rFonts w:eastAsiaTheme="minorEastAsia"/>
        </w:rPr>
      </w:pPr>
      <m:oMathPara>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m:rPr>
                      <m:sty m:val="p"/>
                    </m:rPr>
                    <w:rPr>
                      <w:rFonts w:ascii="Cambria Math" w:hAnsi="Cambria Math"/>
                    </w:rPr>
                    <m:t>Π</m:t>
                  </m:r>
                </m:e>
                <m:sub>
                  <m:r>
                    <w:rPr>
                      <w:rFonts w:ascii="Cambria Math" w:hAnsi="Cambria Math"/>
                    </w:rPr>
                    <m:t>A</m:t>
                  </m:r>
                </m:sub>
              </m:sSub>
            </m:num>
            <m:den>
              <m:r>
                <m:rPr>
                  <m:sty m:val="p"/>
                </m:rPr>
                <w:rPr>
                  <w:rFonts w:ascii="Cambria Math" w:hAnsi="Cambria Math"/>
                </w:rPr>
                <m:t>∂X</m:t>
              </m:r>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9β-2θ</m:t>
                  </m:r>
                </m:e>
              </m:d>
              <m:d>
                <m:dPr>
                  <m:ctrlPr>
                    <w:rPr>
                      <w:rFonts w:ascii="Cambria Math" w:hAnsi="Cambria Math"/>
                      <w:i/>
                    </w:rPr>
                  </m:ctrlPr>
                </m:dPr>
                <m:e>
                  <m:r>
                    <w:rPr>
                      <w:rFonts w:ascii="Cambria Math" w:hAnsi="Cambria Math"/>
                    </w:rPr>
                    <m:t>α-c</m:t>
                  </m:r>
                </m:e>
              </m:d>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(9</m:t>
              </m:r>
              <m:sSup>
                <m:sSupPr>
                  <m:ctrlPr>
                    <w:rPr>
                      <w:rFonts w:ascii="Cambria Math" w:hAnsi="Cambria Math"/>
                      <w:i/>
                    </w:rPr>
                  </m:ctrlPr>
                </m:sSupPr>
                <m:e>
                  <m:r>
                    <w:rPr>
                      <w:rFonts w:ascii="Cambria Math" w:hAnsi="Cambria Math"/>
                    </w:rPr>
                    <m:t>β</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θ</m:t>
                  </m:r>
                </m:e>
                <m:sup>
                  <m:r>
                    <w:rPr>
                      <w:rFonts w:ascii="Cambria Math" w:hAnsi="Cambria Math"/>
                    </w:rPr>
                    <m:t>2</m:t>
                  </m:r>
                </m:sup>
              </m:sSup>
              <m:r>
                <w:rPr>
                  <w:rFonts w:ascii="Cambria Math" w:hAnsi="Cambria Math"/>
                </w:rPr>
                <m:t>)</m:t>
              </m:r>
            </m:num>
            <m:den>
              <m:r>
                <w:rPr>
                  <w:rFonts w:ascii="Cambria Math" w:hAnsi="Cambria Math"/>
                </w:rPr>
                <m:t>9β</m:t>
              </m:r>
            </m:den>
          </m:f>
          <m:r>
            <w:rPr>
              <w:rFonts w:ascii="Cambria Math" w:hAnsi="Cambria Math"/>
            </w:rPr>
            <m:t>=0⇔</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(α-c)</m:t>
              </m:r>
            </m:num>
            <m:den>
              <m:r>
                <w:rPr>
                  <w:rFonts w:ascii="Cambria Math" w:hAnsi="Cambria Math"/>
                </w:rPr>
                <m:t>2</m:t>
              </m:r>
            </m:den>
          </m:f>
          <m:f>
            <m:fPr>
              <m:ctrlPr>
                <w:rPr>
                  <w:rFonts w:ascii="Cambria Math" w:hAnsi="Cambria Math"/>
                  <w:i/>
                </w:rPr>
              </m:ctrlPr>
            </m:fPr>
            <m:num>
              <m:r>
                <w:rPr>
                  <w:rFonts w:ascii="Cambria Math" w:hAnsi="Cambria Math"/>
                </w:rPr>
                <m:t>9β-2θ</m:t>
              </m:r>
            </m:num>
            <m:den>
              <m:r>
                <w:rPr>
                  <w:rFonts w:ascii="Cambria Math" w:hAnsi="Cambria Math"/>
                </w:rPr>
                <m:t>(3β+θ)(3β-θ)</m:t>
              </m:r>
            </m:den>
          </m:f>
        </m:oMath>
      </m:oMathPara>
    </w:p>
    <w:p w14:paraId="41228996" w14:textId="77777777" w:rsidR="003812D6" w:rsidRDefault="003812D6" w:rsidP="007C24E3">
      <w:pPr>
        <w:spacing w:line="480" w:lineRule="auto"/>
        <w:rPr>
          <w:rFonts w:eastAsiaTheme="minorEastAsia"/>
        </w:rPr>
      </w:pPr>
      <w:r>
        <w:rPr>
          <w:rFonts w:eastAsiaTheme="minorEastAsia"/>
        </w:rPr>
        <w:t>The maximum level of profits will be then:</w:t>
      </w:r>
    </w:p>
    <w:p w14:paraId="65050F4A" w14:textId="77777777" w:rsidR="003812D6" w:rsidRDefault="009E7792" w:rsidP="007C24E3">
      <w:pPr>
        <w:spacing w:line="480" w:lineRule="auto"/>
        <w:rPr>
          <w:rFonts w:eastAsiaTheme="minorEastAsia"/>
        </w:rPr>
      </w:pPr>
      <m:oMathPara>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rPr>
                      </m:ctrlPr>
                    </m:sSubPr>
                    <m:e>
                      <m:r>
                        <m:rPr>
                          <m:sty m:val="p"/>
                        </m:rPr>
                        <w:rPr>
                          <w:rFonts w:ascii="Cambria Math" w:hAnsi="Cambria Math"/>
                        </w:rPr>
                        <m:t>Π</m:t>
                      </m:r>
                    </m:e>
                    <m:sub>
                      <m:r>
                        <w:rPr>
                          <w:rFonts w:ascii="Cambria Math" w:hAnsi="Cambria Math"/>
                        </w:rPr>
                        <m:t>A</m:t>
                      </m:r>
                    </m:sub>
                  </m:sSub>
                  <m:r>
                    <w:rPr>
                      <w:rFonts w:ascii="Cambria Math" w:hAnsi="Cambria Math"/>
                    </w:rPr>
                    <m:t>(X)</m:t>
                  </m:r>
                </m:e>
              </m:d>
            </m:e>
            <m:sub>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(α-c)</m:t>
                  </m:r>
                </m:e>
                <m:sup>
                  <m:r>
                    <w:rPr>
                      <w:rFonts w:ascii="Cambria Math" w:hAnsi="Cambria Math"/>
                    </w:rPr>
                    <m:t>2</m:t>
                  </m:r>
                </m:sup>
              </m:sSup>
            </m:num>
            <m:den>
              <m:r>
                <w:rPr>
                  <w:rFonts w:ascii="Cambria Math" w:hAnsi="Cambria Math"/>
                </w:rPr>
                <m:t>4</m:t>
              </m:r>
            </m:den>
          </m:f>
          <m:r>
            <w:rPr>
              <w:rFonts w:ascii="Cambria Math" w:hAnsi="Cambria Math"/>
            </w:rPr>
            <m:t xml:space="preserve"> </m:t>
          </m:r>
          <m:f>
            <m:fPr>
              <m:ctrlPr>
                <w:rPr>
                  <w:rFonts w:ascii="Cambria Math" w:hAnsi="Cambria Math"/>
                  <w:i/>
                </w:rPr>
              </m:ctrlPr>
            </m:fPr>
            <m:num>
              <m:r>
                <w:rPr>
                  <w:rFonts w:ascii="Cambria Math" w:hAnsi="Cambria Math"/>
                </w:rPr>
                <m:t>13β-4θ</m:t>
              </m:r>
            </m:num>
            <m:den>
              <m:r>
                <w:rPr>
                  <w:rFonts w:ascii="Cambria Math" w:hAnsi="Cambria Math"/>
                </w:rPr>
                <m:t>9</m:t>
              </m:r>
              <m:sSup>
                <m:sSupPr>
                  <m:ctrlPr>
                    <w:rPr>
                      <w:rFonts w:ascii="Cambria Math" w:hAnsi="Cambria Math"/>
                      <w:i/>
                    </w:rPr>
                  </m:ctrlPr>
                </m:sSupPr>
                <m:e>
                  <m:r>
                    <w:rPr>
                      <w:rFonts w:ascii="Cambria Math" w:hAnsi="Cambria Math"/>
                    </w:rPr>
                    <m:t>β</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θ</m:t>
                  </m:r>
                </m:e>
                <m:sup>
                  <m:r>
                    <w:rPr>
                      <w:rFonts w:ascii="Cambria Math" w:hAnsi="Cambria Math"/>
                    </w:rPr>
                    <m:t>2</m:t>
                  </m:r>
                </m:sup>
              </m:sSup>
            </m:den>
          </m:f>
        </m:oMath>
      </m:oMathPara>
    </w:p>
    <w:p w14:paraId="0E2874E2" w14:textId="77777777" w:rsidR="003812D6" w:rsidRDefault="003812D6" w:rsidP="007C24E3">
      <w:pPr>
        <w:spacing w:line="480" w:lineRule="auto"/>
        <w:rPr>
          <w:rFonts w:eastAsiaTheme="minorEastAsia"/>
        </w:rPr>
      </w:pPr>
      <w:r>
        <w:rPr>
          <w:rFonts w:eastAsiaTheme="minorEastAsia"/>
        </w:rPr>
        <w:t xml:space="preserve">Finally, it can be verified that when </w:t>
      </w:r>
      <m:oMath>
        <m:r>
          <w:rPr>
            <w:rFonts w:ascii="Cambria Math" w:eastAsiaTheme="minorEastAsia" w:hAnsi="Cambria Math"/>
          </w:rPr>
          <m:t>θ&lt;2β</m:t>
        </m:r>
      </m:oMath>
      <w:r>
        <w:rPr>
          <w:rFonts w:eastAsiaTheme="minorEastAsia"/>
        </w:rPr>
        <w:t>:</w:t>
      </w:r>
    </w:p>
    <w:p w14:paraId="4118C443" w14:textId="77777777" w:rsidR="003812D6" w:rsidRDefault="009E7792" w:rsidP="007C24E3">
      <w:pPr>
        <w:spacing w:line="480" w:lineRule="auto"/>
        <w:rPr>
          <w:rFonts w:eastAsiaTheme="minorEastAsia"/>
        </w:rPr>
      </w:pPr>
      <m:oMathPara>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rPr>
                      </m:ctrlPr>
                    </m:sSubPr>
                    <m:e>
                      <m:r>
                        <m:rPr>
                          <m:sty m:val="p"/>
                        </m:rPr>
                        <w:rPr>
                          <w:rFonts w:ascii="Cambria Math" w:hAnsi="Cambria Math"/>
                        </w:rPr>
                        <m:t>Π</m:t>
                      </m:r>
                    </m:e>
                    <m:sub>
                      <m:r>
                        <w:rPr>
                          <w:rFonts w:ascii="Cambria Math" w:hAnsi="Cambria Math"/>
                        </w:rPr>
                        <m:t>A</m:t>
                      </m:r>
                    </m:sub>
                  </m:sSub>
                  <m:r>
                    <w:rPr>
                      <w:rFonts w:ascii="Cambria Math" w:hAnsi="Cambria Math"/>
                    </w:rPr>
                    <m:t>(X)</m:t>
                  </m:r>
                </m:e>
              </m:d>
            </m:e>
            <m:sub>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(α-c)</m:t>
                  </m:r>
                </m:e>
                <m:sup>
                  <m:r>
                    <w:rPr>
                      <w:rFonts w:ascii="Cambria Math" w:hAnsi="Cambria Math"/>
                    </w:rPr>
                    <m:t>2</m:t>
                  </m:r>
                </m:sup>
              </m:sSup>
            </m:num>
            <m:den>
              <m:r>
                <w:rPr>
                  <w:rFonts w:ascii="Cambria Math" w:hAnsi="Cambria Math"/>
                </w:rPr>
                <m:t>4</m:t>
              </m:r>
            </m:den>
          </m:f>
          <m:r>
            <w:rPr>
              <w:rFonts w:ascii="Cambria Math" w:hAnsi="Cambria Math"/>
            </w:rPr>
            <m:t xml:space="preserve"> </m:t>
          </m:r>
          <m:f>
            <m:fPr>
              <m:ctrlPr>
                <w:rPr>
                  <w:rFonts w:ascii="Cambria Math" w:hAnsi="Cambria Math"/>
                  <w:i/>
                </w:rPr>
              </m:ctrlPr>
            </m:fPr>
            <m:num>
              <m:r>
                <w:rPr>
                  <w:rFonts w:ascii="Cambria Math" w:hAnsi="Cambria Math"/>
                </w:rPr>
                <m:t>13β-4θ</m:t>
              </m:r>
            </m:num>
            <m:den>
              <m:r>
                <w:rPr>
                  <w:rFonts w:ascii="Cambria Math" w:hAnsi="Cambria Math"/>
                </w:rPr>
                <m:t>9</m:t>
              </m:r>
              <m:sSup>
                <m:sSupPr>
                  <m:ctrlPr>
                    <w:rPr>
                      <w:rFonts w:ascii="Cambria Math" w:hAnsi="Cambria Math"/>
                      <w:i/>
                    </w:rPr>
                  </m:ctrlPr>
                </m:sSupPr>
                <m:e>
                  <m:r>
                    <w:rPr>
                      <w:rFonts w:ascii="Cambria Math" w:hAnsi="Cambria Math"/>
                    </w:rPr>
                    <m:t>β</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θ</m:t>
                  </m:r>
                </m:e>
                <m:sup>
                  <m:r>
                    <w:rPr>
                      <w:rFonts w:ascii="Cambria Math" w:hAnsi="Cambria Math"/>
                    </w:rPr>
                    <m:t>2</m:t>
                  </m:r>
                </m:sup>
              </m:sSup>
            </m:den>
          </m:f>
          <m:r>
            <w:rPr>
              <w:rFonts w:ascii="Cambria Math" w:hAnsi="Cambria Math"/>
            </w:rPr>
            <m:t xml:space="preserve"> &gt; </m:t>
          </m:r>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rPr>
                      </m:ctrlPr>
                    </m:sSubPr>
                    <m:e>
                      <m:r>
                        <m:rPr>
                          <m:sty m:val="p"/>
                        </m:rPr>
                        <w:rPr>
                          <w:rFonts w:ascii="Cambria Math" w:hAnsi="Cambria Math"/>
                        </w:rPr>
                        <m:t>Π</m:t>
                      </m:r>
                    </m:e>
                    <m:sub>
                      <m:r>
                        <w:rPr>
                          <w:rFonts w:ascii="Cambria Math" w:hAnsi="Cambria Math"/>
                        </w:rPr>
                        <m:t>E</m:t>
                      </m:r>
                    </m:sub>
                  </m:sSub>
                  <m:r>
                    <w:rPr>
                      <w:rFonts w:ascii="Cambria Math" w:hAnsi="Cambria Math"/>
                    </w:rPr>
                    <m:t>(X)</m:t>
                  </m:r>
                </m:e>
              </m:d>
            </m:e>
            <m:sub>
              <m:r>
                <w:rPr>
                  <w:rFonts w:ascii="Cambria Math" w:hAnsi="Cambria Math"/>
                </w:rPr>
                <m:t>X=</m:t>
              </m:r>
              <m:f>
                <m:fPr>
                  <m:ctrlPr>
                    <w:rPr>
                      <w:rFonts w:ascii="Cambria Math" w:hAnsi="Cambria Math"/>
                      <w:i/>
                    </w:rPr>
                  </m:ctrlPr>
                </m:fPr>
                <m:num>
                  <m:r>
                    <w:rPr>
                      <w:rFonts w:ascii="Cambria Math" w:hAnsi="Cambria Math"/>
                    </w:rPr>
                    <m:t>α-c</m:t>
                  </m:r>
                </m:num>
                <m:den>
                  <m:r>
                    <w:rPr>
                      <w:rFonts w:ascii="Cambria Math" w:hAnsi="Cambria Math"/>
                    </w:rPr>
                    <m:t>θ</m:t>
                  </m:r>
                </m:den>
              </m:f>
            </m:sub>
          </m:sSub>
          <m:r>
            <w:rPr>
              <w:rFonts w:ascii="Cambria Math" w:hAnsi="Cambria Math"/>
            </w:rPr>
            <m:t>=</m:t>
          </m:r>
          <m:sSup>
            <m:sSupPr>
              <m:ctrlPr>
                <w:rPr>
                  <w:rFonts w:ascii="Cambria Math" w:hAnsi="Cambria Math"/>
                  <w:i/>
                </w:rPr>
              </m:ctrlPr>
            </m:sSupPr>
            <m:e>
              <m:r>
                <w:rPr>
                  <w:rFonts w:ascii="Cambria Math" w:hAnsi="Cambria Math"/>
                </w:rPr>
                <m:t>(α-c)</m:t>
              </m:r>
            </m:e>
            <m:sup>
              <m:r>
                <w:rPr>
                  <w:rFonts w:ascii="Cambria Math" w:hAnsi="Cambria Math"/>
                </w:rPr>
                <m:t>2</m:t>
              </m:r>
            </m:sup>
          </m:sSup>
          <m:r>
            <w:rPr>
              <w:rFonts w:ascii="Cambria Math" w:hAnsi="Cambria Math"/>
            </w:rPr>
            <m:t xml:space="preserve"> </m:t>
          </m:r>
          <m:f>
            <m:fPr>
              <m:ctrlPr>
                <w:rPr>
                  <w:rFonts w:ascii="Cambria Math" w:hAnsi="Cambria Math"/>
                  <w:i/>
                </w:rPr>
              </m:ctrlPr>
            </m:fPr>
            <m:num>
              <m:r>
                <w:rPr>
                  <w:rFonts w:ascii="Cambria Math" w:hAnsi="Cambria Math"/>
                </w:rPr>
                <m:t>θ-β</m:t>
              </m:r>
            </m:num>
            <m:den>
              <m:sSup>
                <m:sSupPr>
                  <m:ctrlPr>
                    <w:rPr>
                      <w:rFonts w:ascii="Cambria Math" w:hAnsi="Cambria Math"/>
                      <w:i/>
                    </w:rPr>
                  </m:ctrlPr>
                </m:sSupPr>
                <m:e>
                  <m:r>
                    <w:rPr>
                      <w:rFonts w:ascii="Cambria Math" w:hAnsi="Cambria Math"/>
                    </w:rPr>
                    <m:t>θ</m:t>
                  </m:r>
                </m:e>
                <m:sup>
                  <m:r>
                    <w:rPr>
                      <w:rFonts w:ascii="Cambria Math" w:hAnsi="Cambria Math"/>
                    </w:rPr>
                    <m:t>2</m:t>
                  </m:r>
                </m:sup>
              </m:sSup>
            </m:den>
          </m:f>
        </m:oMath>
      </m:oMathPara>
    </w:p>
    <w:p w14:paraId="6E2E2716" w14:textId="77777777" w:rsidR="003812D6" w:rsidRDefault="003812D6" w:rsidP="007C24E3">
      <w:pPr>
        <w:spacing w:line="480" w:lineRule="auto"/>
        <w:rPr>
          <w:rFonts w:eastAsiaTheme="minorEastAsia"/>
        </w:rPr>
      </w:pPr>
      <w:r>
        <w:rPr>
          <w:rFonts w:eastAsiaTheme="minorEastAsia"/>
        </w:rPr>
        <w:t xml:space="preserve">so that </w:t>
      </w:r>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(α-c)</m:t>
            </m:r>
          </m:num>
          <m:den>
            <m:r>
              <w:rPr>
                <w:rFonts w:ascii="Cambria Math" w:hAnsi="Cambria Math"/>
              </w:rPr>
              <m:t>2</m:t>
            </m:r>
          </m:den>
        </m:f>
        <m:f>
          <m:fPr>
            <m:ctrlPr>
              <w:rPr>
                <w:rFonts w:ascii="Cambria Math" w:hAnsi="Cambria Math"/>
                <w:i/>
              </w:rPr>
            </m:ctrlPr>
          </m:fPr>
          <m:num>
            <m:r>
              <w:rPr>
                <w:rFonts w:ascii="Cambria Math" w:hAnsi="Cambria Math"/>
              </w:rPr>
              <m:t>9β-2θ</m:t>
            </m:r>
          </m:num>
          <m:den>
            <m:r>
              <w:rPr>
                <w:rFonts w:ascii="Cambria Math" w:hAnsi="Cambria Math"/>
              </w:rPr>
              <m:t>(3β+θ)(3β-θ)</m:t>
            </m:r>
          </m:den>
        </m:f>
      </m:oMath>
      <w:r>
        <w:rPr>
          <w:rFonts w:eastAsiaTheme="minorEastAsia"/>
        </w:rPr>
        <w:t xml:space="preserve"> is the global maximum for the incumbent’s profits when </w:t>
      </w:r>
      <m:oMath>
        <m:r>
          <w:rPr>
            <w:rFonts w:ascii="Cambria Math" w:eastAsiaTheme="minorEastAsia" w:hAnsi="Cambria Math"/>
          </w:rPr>
          <m:t>θ&lt;2β</m:t>
        </m:r>
      </m:oMath>
      <w:r>
        <w:rPr>
          <w:rFonts w:eastAsiaTheme="minorEastAsia"/>
        </w:rPr>
        <w:t xml:space="preserve">: generic entry will always be accommodated. </w:t>
      </w:r>
    </w:p>
    <w:p w14:paraId="7B9E74A5" w14:textId="77777777" w:rsidR="003812D6" w:rsidRDefault="003812D6" w:rsidP="007C24E3">
      <w:pPr>
        <w:spacing w:line="480" w:lineRule="auto"/>
        <w:rPr>
          <w:rFonts w:eastAsiaTheme="minorEastAsia"/>
        </w:rPr>
      </w:pPr>
      <w:r>
        <w:rPr>
          <w:rFonts w:eastAsiaTheme="minorEastAsia"/>
        </w:rPr>
        <w:t xml:space="preserve">We note further that the optimal output exceeds the output that would be chosen by an incumbent in case generic entry were not possible during the second period –as would be the case with a longer patent duration.  From Appendix A we know that a two-period monopolist would choose first-period output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2β+θ</m:t>
            </m:r>
          </m:den>
        </m:f>
      </m:oMath>
      <w:r>
        <w:rPr>
          <w:rFonts w:eastAsiaTheme="minorEastAsia"/>
        </w:rPr>
        <w:t xml:space="preserve">, whereas the accommodating incumbent’s profit maximizing output would be set at </w:t>
      </w:r>
      <m:oMath>
        <m:r>
          <w:rPr>
            <w:rFonts w:ascii="Cambria Math" w:eastAsiaTheme="minorEastAsia" w:hAnsi="Cambria Math"/>
          </w:rPr>
          <m:t>X</m:t>
        </m:r>
        <m:r>
          <w:rPr>
            <w:rFonts w:ascii="Cambria Math" w:hAnsi="Cambria Math"/>
          </w:rPr>
          <m:t>=</m:t>
        </m:r>
        <m:f>
          <m:fPr>
            <m:ctrlPr>
              <w:rPr>
                <w:rFonts w:ascii="Cambria Math" w:hAnsi="Cambria Math"/>
                <w:i/>
              </w:rPr>
            </m:ctrlPr>
          </m:fPr>
          <m:num>
            <m:r>
              <w:rPr>
                <w:rFonts w:ascii="Cambria Math" w:hAnsi="Cambria Math"/>
              </w:rPr>
              <m:t>(α-c)</m:t>
            </m:r>
          </m:num>
          <m:den>
            <m:r>
              <w:rPr>
                <w:rFonts w:ascii="Cambria Math" w:hAnsi="Cambria Math"/>
              </w:rPr>
              <m:t>2</m:t>
            </m:r>
          </m:den>
        </m:f>
        <m:f>
          <m:fPr>
            <m:ctrlPr>
              <w:rPr>
                <w:rFonts w:ascii="Cambria Math" w:hAnsi="Cambria Math"/>
                <w:i/>
              </w:rPr>
            </m:ctrlPr>
          </m:fPr>
          <m:num>
            <m:r>
              <w:rPr>
                <w:rFonts w:ascii="Cambria Math" w:hAnsi="Cambria Math"/>
              </w:rPr>
              <m:t>9β-2θ</m:t>
            </m:r>
          </m:num>
          <m:den>
            <m:r>
              <w:rPr>
                <w:rFonts w:ascii="Cambria Math" w:hAnsi="Cambria Math"/>
              </w:rPr>
              <m:t>(3β+θ)(3β-θ)</m:t>
            </m:r>
          </m:den>
        </m:f>
      </m:oMath>
      <w:r>
        <w:rPr>
          <w:rFonts w:eastAsiaTheme="minorEastAsia"/>
        </w:rPr>
        <w:t>.  It is easy to verify then that:</w:t>
      </w:r>
    </w:p>
    <w:p w14:paraId="08EDCF50" w14:textId="77777777" w:rsidR="003812D6" w:rsidRDefault="009E7792" w:rsidP="007C24E3">
      <w:pPr>
        <w:spacing w:line="480" w:lineRule="auto"/>
        <w:rPr>
          <w:rFonts w:eastAsiaTheme="minorEastAsia"/>
        </w:rPr>
      </w:pPr>
      <m:oMathPara>
        <m:oMath>
          <m:f>
            <m:fPr>
              <m:ctrlPr>
                <w:rPr>
                  <w:rFonts w:ascii="Cambria Math" w:hAnsi="Cambria Math"/>
                  <w:i/>
                </w:rPr>
              </m:ctrlPr>
            </m:fPr>
            <m:num>
              <m:r>
                <w:rPr>
                  <w:rFonts w:ascii="Cambria Math" w:hAnsi="Cambria Math"/>
                </w:rPr>
                <m:t>(α-c)</m:t>
              </m:r>
            </m:num>
            <m:den>
              <m:r>
                <w:rPr>
                  <w:rFonts w:ascii="Cambria Math" w:hAnsi="Cambria Math"/>
                </w:rPr>
                <m:t>2</m:t>
              </m:r>
            </m:den>
          </m:f>
          <m:f>
            <m:fPr>
              <m:ctrlPr>
                <w:rPr>
                  <w:rFonts w:ascii="Cambria Math" w:hAnsi="Cambria Math"/>
                  <w:i/>
                </w:rPr>
              </m:ctrlPr>
            </m:fPr>
            <m:num>
              <m:r>
                <w:rPr>
                  <w:rFonts w:ascii="Cambria Math" w:hAnsi="Cambria Math"/>
                </w:rPr>
                <m:t>9β-2θ</m:t>
              </m:r>
            </m:num>
            <m:den>
              <m:r>
                <w:rPr>
                  <w:rFonts w:ascii="Cambria Math" w:hAnsi="Cambria Math"/>
                </w:rPr>
                <m:t>(3β+θ)(3β-θ)</m:t>
              </m:r>
            </m:den>
          </m:f>
          <m:r>
            <w:rPr>
              <w:rFonts w:ascii="Cambria Math" w:hAnsi="Cambria Math"/>
            </w:rPr>
            <m:t xml:space="preserve"> &gt; </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2β+θ</m:t>
              </m:r>
            </m:den>
          </m:f>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2β+θ</m:t>
              </m:r>
            </m:e>
          </m:d>
          <m:d>
            <m:dPr>
              <m:ctrlPr>
                <w:rPr>
                  <w:rFonts w:ascii="Cambria Math" w:eastAsiaTheme="minorEastAsia" w:hAnsi="Cambria Math"/>
                  <w:i/>
                </w:rPr>
              </m:ctrlPr>
            </m:dPr>
            <m:e>
              <m:r>
                <w:rPr>
                  <w:rFonts w:ascii="Cambria Math" w:eastAsiaTheme="minorEastAsia" w:hAnsi="Cambria Math"/>
                </w:rPr>
                <m:t>9β-2θ</m:t>
              </m:r>
            </m:e>
          </m:d>
          <m:r>
            <w:rPr>
              <w:rFonts w:ascii="Cambria Math" w:eastAsiaTheme="minorEastAsia" w:hAnsi="Cambria Math"/>
            </w:rPr>
            <m:t>&gt;18</m:t>
          </m:r>
          <m:sSup>
            <m:sSupPr>
              <m:ctrlPr>
                <w:rPr>
                  <w:rFonts w:ascii="Cambria Math" w:eastAsiaTheme="minorEastAsia" w:hAnsi="Cambria Math"/>
                  <w:i/>
                </w:rPr>
              </m:ctrlPr>
            </m:sSupPr>
            <m:e>
              <m:r>
                <w:rPr>
                  <w:rFonts w:ascii="Cambria Math" w:eastAsiaTheme="minorEastAsia" w:hAnsi="Cambria Math"/>
                </w:rPr>
                <m:t>β</m:t>
              </m:r>
            </m:e>
            <m:sup>
              <m:r>
                <w:rPr>
                  <w:rFonts w:ascii="Cambria Math" w:eastAsiaTheme="minorEastAsia" w:hAnsi="Cambria Math"/>
                </w:rPr>
                <m:t>2</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θ</m:t>
              </m:r>
            </m:e>
            <m:sup>
              <m:r>
                <w:rPr>
                  <w:rFonts w:ascii="Cambria Math" w:eastAsiaTheme="minorEastAsia" w:hAnsi="Cambria Math"/>
                </w:rPr>
                <m:t>2</m:t>
              </m:r>
            </m:sup>
          </m:sSup>
          <m:r>
            <w:rPr>
              <w:rFonts w:ascii="Cambria Math" w:eastAsiaTheme="minorEastAsia" w:hAnsi="Cambria Math"/>
            </w:rPr>
            <m:t>⇔5βθ&gt;0</m:t>
          </m:r>
        </m:oMath>
      </m:oMathPara>
    </w:p>
    <w:p w14:paraId="2636DCCC" w14:textId="77777777" w:rsidR="003812D6" w:rsidRDefault="003812D6" w:rsidP="007C24E3">
      <w:pPr>
        <w:spacing w:line="480" w:lineRule="auto"/>
        <w:rPr>
          <w:rFonts w:eastAsiaTheme="minorEastAsia"/>
        </w:rPr>
      </w:pPr>
    </w:p>
    <w:p w14:paraId="21C14272" w14:textId="77777777" w:rsidR="00D17558" w:rsidRPr="003F635B" w:rsidRDefault="00D17558" w:rsidP="007A3399">
      <w:pPr>
        <w:spacing w:line="480" w:lineRule="auto"/>
        <w:ind w:firstLine="0"/>
        <w:rPr>
          <w:b/>
          <w:bCs/>
        </w:rPr>
      </w:pPr>
      <w:r w:rsidRPr="003F635B">
        <w:rPr>
          <w:b/>
          <w:bCs/>
        </w:rPr>
        <w:t xml:space="preserve">APPENDIX </w:t>
      </w:r>
      <w:r>
        <w:rPr>
          <w:b/>
          <w:bCs/>
        </w:rPr>
        <w:t>C</w:t>
      </w:r>
      <w:r w:rsidRPr="003F635B">
        <w:rPr>
          <w:b/>
          <w:bCs/>
        </w:rPr>
        <w:t xml:space="preserve"> – Proof of </w:t>
      </w:r>
      <w:r>
        <w:rPr>
          <w:b/>
          <w:bCs/>
        </w:rPr>
        <w:t>P</w:t>
      </w:r>
      <w:r w:rsidRPr="003F635B">
        <w:rPr>
          <w:b/>
          <w:bCs/>
        </w:rPr>
        <w:t xml:space="preserve">roposition </w:t>
      </w:r>
      <w:r>
        <w:rPr>
          <w:b/>
          <w:bCs/>
        </w:rPr>
        <w:t>3</w:t>
      </w:r>
    </w:p>
    <w:p w14:paraId="0E1EDC12" w14:textId="77777777" w:rsidR="00D17558" w:rsidRDefault="00D17558" w:rsidP="007C24E3">
      <w:pPr>
        <w:spacing w:line="480" w:lineRule="auto"/>
        <w:rPr>
          <w:rFonts w:eastAsiaTheme="minorEastAsia"/>
        </w:rPr>
      </w:pPr>
      <w:r>
        <w:t>When generic entry is costly (</w:t>
      </w:r>
      <m:oMath>
        <m:r>
          <w:rPr>
            <w:rFonts w:ascii="Cambria Math" w:hAnsi="Cambria Math"/>
          </w:rPr>
          <m:t>R&gt;0</m:t>
        </m:r>
      </m:oMath>
      <w:r>
        <w:rPr>
          <w:rFonts w:eastAsiaTheme="minorEastAsia"/>
        </w:rPr>
        <w:t xml:space="preserve">), then the partition of the set of possible values of </w:t>
      </w:r>
      <m:oMath>
        <m:r>
          <w:rPr>
            <w:rFonts w:ascii="Cambria Math" w:eastAsiaTheme="minorEastAsia" w:hAnsi="Cambria Math"/>
          </w:rPr>
          <m:t>X</m:t>
        </m:r>
      </m:oMath>
      <w:r>
        <w:rPr>
          <w:rFonts w:eastAsiaTheme="minorEastAsia"/>
        </w:rPr>
        <w:t xml:space="preserve"> at (14a-c) in the text identifies the possible second-period market structures (duopoly, monopoly, or an inactive market), and corresponding characteristics of the incumbent’s profit function (see equation (16) in the </w:t>
      </w:r>
      <w:r>
        <w:rPr>
          <w:rFonts w:eastAsiaTheme="minorEastAsia"/>
        </w:rPr>
        <w:lastRenderedPageBreak/>
        <w:t xml:space="preserve">text).  We will show that the incumbent’s profit-maximizing first-period output choice is a function of generic entry costs </w:t>
      </w:r>
      <m:oMath>
        <m:r>
          <w:rPr>
            <w:rFonts w:ascii="Cambria Math" w:eastAsiaTheme="minorEastAsia" w:hAnsi="Cambria Math"/>
          </w:rPr>
          <m:t>R</m:t>
        </m:r>
      </m:oMath>
      <w:r>
        <w:rPr>
          <w:rFonts w:eastAsiaTheme="minorEastAsia"/>
        </w:rPr>
        <w:t xml:space="preserve">, and that for </w:t>
      </w:r>
      <m:oMath>
        <m:r>
          <w:rPr>
            <w:rFonts w:ascii="Cambria Math" w:eastAsiaTheme="minorEastAsia" w:hAnsi="Cambria Math"/>
          </w:rPr>
          <m:t>R</m:t>
        </m:r>
      </m:oMath>
      <w:r>
        <w:rPr>
          <w:rFonts w:eastAsiaTheme="minorEastAsia"/>
        </w:rPr>
        <w:t xml:space="preserve"> large enough entry deterrence will be optimal.  </w:t>
      </w:r>
    </w:p>
    <w:p w14:paraId="50ED4B0C" w14:textId="77777777" w:rsidR="00D17558" w:rsidRDefault="00D17558" w:rsidP="007C24E3">
      <w:pPr>
        <w:spacing w:line="480" w:lineRule="auto"/>
        <w:rPr>
          <w:rFonts w:eastAsiaTheme="minorEastAsia"/>
        </w:rPr>
      </w:pPr>
      <w:r>
        <w:rPr>
          <w:rFonts w:eastAsiaTheme="minorEastAsia"/>
        </w:rPr>
        <w:t xml:space="preserve">We will first identify the profit-maximizing output choices within the restricted domains of the functions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A</m:t>
            </m:r>
          </m:sub>
        </m:sSub>
      </m:oMath>
      <w:r>
        <w:rPr>
          <w:rFonts w:eastAsiaTheme="minorEastAsia"/>
        </w:rPr>
        <w:t xml:space="preserve">,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oMath>
      <w:r>
        <w:rPr>
          <w:rFonts w:eastAsiaTheme="minorEastAsia"/>
        </w:rPr>
        <w:t xml:space="preserve">, and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E</m:t>
            </m:r>
          </m:sub>
        </m:sSub>
      </m:oMath>
      <w:r>
        <w:rPr>
          <w:rFonts w:eastAsiaTheme="minorEastAsia"/>
        </w:rPr>
        <w:t xml:space="preserve">, and show that those pertaining to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A</m:t>
            </m:r>
          </m:sub>
        </m:sSub>
      </m:oMath>
      <w:r>
        <w:rPr>
          <w:rFonts w:eastAsiaTheme="minorEastAsia"/>
        </w:rPr>
        <w:t xml:space="preserve"> and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oMath>
      <w:r>
        <w:rPr>
          <w:rFonts w:eastAsiaTheme="minorEastAsia"/>
        </w:rPr>
        <w:t xml:space="preserve"> are functions of </w:t>
      </w:r>
      <m:oMath>
        <m:r>
          <w:rPr>
            <w:rFonts w:ascii="Cambria Math" w:eastAsiaTheme="minorEastAsia" w:hAnsi="Cambria Math"/>
          </w:rPr>
          <m:t>R</m:t>
        </m:r>
      </m:oMath>
      <w:r>
        <w:rPr>
          <w:rFonts w:eastAsiaTheme="minorEastAsia"/>
        </w:rPr>
        <w:t>.</w:t>
      </w:r>
    </w:p>
    <w:p w14:paraId="3A64E127" w14:textId="77777777" w:rsidR="00D17558" w:rsidRPr="00A26F6B" w:rsidRDefault="00D17558" w:rsidP="007C24E3">
      <w:pPr>
        <w:pStyle w:val="ListParagraph"/>
        <w:numPr>
          <w:ilvl w:val="0"/>
          <w:numId w:val="7"/>
        </w:numPr>
        <w:spacing w:line="480" w:lineRule="auto"/>
        <w:ind w:left="360"/>
        <w:rPr>
          <w:rFonts w:eastAsiaTheme="minorEastAsia"/>
        </w:rPr>
      </w:pPr>
      <w:r w:rsidRPr="00A26F6B">
        <w:rPr>
          <w:rFonts w:eastAsiaTheme="minorEastAsia"/>
        </w:rPr>
        <w:t xml:space="preserve">We already established that for </w:t>
      </w:r>
      <m:oMath>
        <m:r>
          <w:rPr>
            <w:rFonts w:ascii="Cambria Math" w:eastAsiaTheme="minorEastAsia" w:hAnsi="Cambria Math"/>
          </w:rPr>
          <m:t>θ&lt;2β</m:t>
        </m:r>
      </m:oMath>
      <w:r w:rsidRPr="00A26F6B">
        <w:rPr>
          <w:rFonts w:eastAsiaTheme="minorEastAsia"/>
        </w:rPr>
        <w:t xml:space="preserve">,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E</m:t>
            </m:r>
          </m:sub>
        </m:sSub>
      </m:oMath>
      <w:r w:rsidRPr="00A26F6B">
        <w:rPr>
          <w:rFonts w:eastAsiaTheme="minorEastAsia"/>
        </w:rPr>
        <w:t xml:space="preserve"> is a concave function attaining its maximum at the lower bound value of </w:t>
      </w:r>
      <m:oMath>
        <m:sSub>
          <m:sSubPr>
            <m:ctrlPr>
              <w:rPr>
                <w:rFonts w:ascii="Cambria Math" w:eastAsiaTheme="minorEastAsia" w:hAnsi="Cambria Math"/>
                <w:i/>
              </w:rPr>
            </m:ctrlPr>
          </m:sSubPr>
          <m:e>
            <m:r>
              <m:rPr>
                <m:scr m:val="double-struck"/>
              </m:rPr>
              <w:rPr>
                <w:rFonts w:ascii="Cambria Math" w:eastAsiaTheme="minorEastAsia" w:hAnsi="Cambria Math"/>
              </w:rPr>
              <m:t>X</m:t>
            </m:r>
          </m:e>
          <m:sub>
            <m:r>
              <w:rPr>
                <w:rFonts w:ascii="Cambria Math" w:eastAsiaTheme="minorEastAsia" w:hAnsi="Cambria Math"/>
              </w:rPr>
              <m:t>E</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 xml:space="preserve">X </m:t>
            </m:r>
          </m:e>
          <m:e>
            <m:r>
              <w:rPr>
                <w:rFonts w:ascii="Cambria Math" w:eastAsiaTheme="minorEastAsia" w:hAnsi="Cambria Math"/>
              </w:rPr>
              <m:t xml:space="preserve">  X≥</m:t>
            </m:r>
            <m:f>
              <m:fPr>
                <m:ctrlPr>
                  <w:rPr>
                    <w:rFonts w:ascii="Cambria Math" w:hAnsi="Cambria Math"/>
                    <w:i/>
                  </w:rPr>
                </m:ctrlPr>
              </m:fPr>
              <m:num>
                <m:r>
                  <w:rPr>
                    <w:rFonts w:ascii="Cambria Math" w:hAnsi="Cambria Math"/>
                  </w:rPr>
                  <m:t>α-c</m:t>
                </m:r>
              </m:num>
              <m:den>
                <m:r>
                  <w:rPr>
                    <w:rFonts w:ascii="Cambria Math" w:hAnsi="Cambria Math"/>
                  </w:rPr>
                  <m:t>θ</m:t>
                </m:r>
              </m:den>
            </m:f>
          </m:e>
        </m:d>
      </m:oMath>
      <w:r w:rsidRPr="00A26F6B">
        <w:rPr>
          <w:rFonts w:eastAsiaTheme="minorEastAsia"/>
        </w:rPr>
        <w:t>.  The maximum level of profits will then be</w:t>
      </w:r>
      <w:r>
        <w:rPr>
          <w:rFonts w:eastAsiaTheme="minorEastAsia"/>
        </w:rPr>
        <w:t xml:space="preserve"> independent of the costs of generic entry </w:t>
      </w:r>
      <m:oMath>
        <m:r>
          <w:rPr>
            <w:rFonts w:ascii="Cambria Math" w:eastAsiaTheme="minorEastAsia" w:hAnsi="Cambria Math"/>
          </w:rPr>
          <m:t>R</m:t>
        </m:r>
      </m:oMath>
      <w:r w:rsidRPr="00A26F6B">
        <w:rPr>
          <w:rFonts w:eastAsiaTheme="minorEastAsia"/>
        </w:rPr>
        <w:t>:</w:t>
      </w:r>
    </w:p>
    <w:p w14:paraId="4B1E6E2F" w14:textId="77777777" w:rsidR="00D17558" w:rsidRDefault="009E7792" w:rsidP="007C24E3">
      <w:pPr>
        <w:spacing w:line="480" w:lineRule="auto"/>
        <w:ind w:left="360"/>
        <w:rPr>
          <w:rFonts w:eastAsiaTheme="minorEastAsia"/>
        </w:rPr>
      </w:pPr>
      <m:oMathPara>
        <m:oMath>
          <m:sSub>
            <m:sSubPr>
              <m:ctrlPr>
                <w:rPr>
                  <w:rFonts w:ascii="Cambria Math" w:hAnsi="Cambria Math"/>
                  <w:i/>
                </w:rPr>
              </m:ctrlPr>
            </m:sSubPr>
            <m:e>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E</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d>
                <m:dPr>
                  <m:begChr m:val=""/>
                  <m:endChr m:val="|"/>
                  <m:ctrlPr>
                    <w:rPr>
                      <w:rFonts w:ascii="Cambria Math" w:hAnsi="Cambria Math"/>
                      <w:i/>
                    </w:rPr>
                  </m:ctrlPr>
                </m:dPr>
                <m:e>
                  <m:r>
                    <w:rPr>
                      <w:rFonts w:ascii="Cambria Math" w:hAnsi="Cambria Math"/>
                    </w:rPr>
                    <m:t xml:space="preserve"> </m:t>
                  </m:r>
                  <m:sSub>
                    <m:sSubPr>
                      <m:ctrlPr>
                        <w:rPr>
                          <w:rFonts w:ascii="Cambria Math" w:hAnsi="Cambria Math"/>
                        </w:rPr>
                      </m:ctrlPr>
                    </m:sSubPr>
                    <m:e>
                      <m:r>
                        <m:rPr>
                          <m:sty m:val="p"/>
                        </m:rPr>
                        <w:rPr>
                          <w:rFonts w:ascii="Cambria Math" w:hAnsi="Cambria Math"/>
                        </w:rPr>
                        <m:t>=Π</m:t>
                      </m:r>
                    </m:e>
                    <m:sub>
                      <m:r>
                        <w:rPr>
                          <w:rFonts w:ascii="Cambria Math" w:hAnsi="Cambria Math"/>
                        </w:rPr>
                        <m:t>E</m:t>
                      </m:r>
                    </m:sub>
                  </m:sSub>
                  <m:r>
                    <w:rPr>
                      <w:rFonts w:ascii="Cambria Math" w:hAnsi="Cambria Math"/>
                    </w:rPr>
                    <m:t>(X)</m:t>
                  </m:r>
                </m:e>
              </m:d>
            </m:e>
            <m:sub>
              <m:r>
                <w:rPr>
                  <w:rFonts w:ascii="Cambria Math" w:hAnsi="Cambria Math"/>
                </w:rPr>
                <m:t>X=</m:t>
              </m:r>
              <m:f>
                <m:fPr>
                  <m:ctrlPr>
                    <w:rPr>
                      <w:rFonts w:ascii="Cambria Math" w:hAnsi="Cambria Math"/>
                      <w:i/>
                    </w:rPr>
                  </m:ctrlPr>
                </m:fPr>
                <m:num>
                  <m:r>
                    <w:rPr>
                      <w:rFonts w:ascii="Cambria Math" w:hAnsi="Cambria Math"/>
                    </w:rPr>
                    <m:t>α-c</m:t>
                  </m:r>
                </m:num>
                <m:den>
                  <m:r>
                    <w:rPr>
                      <w:rFonts w:ascii="Cambria Math" w:hAnsi="Cambria Math"/>
                    </w:rPr>
                    <m:t>θ</m:t>
                  </m:r>
                </m:den>
              </m:f>
            </m:sub>
          </m:sSub>
          <m:r>
            <w:rPr>
              <w:rFonts w:ascii="Cambria Math" w:hAnsi="Cambria Math"/>
            </w:rPr>
            <m:t>=</m:t>
          </m:r>
          <m:sSup>
            <m:sSupPr>
              <m:ctrlPr>
                <w:rPr>
                  <w:rFonts w:ascii="Cambria Math" w:hAnsi="Cambria Math"/>
                  <w:i/>
                </w:rPr>
              </m:ctrlPr>
            </m:sSupPr>
            <m:e>
              <m:r>
                <w:rPr>
                  <w:rFonts w:ascii="Cambria Math" w:hAnsi="Cambria Math"/>
                </w:rPr>
                <m:t>(α-c)</m:t>
              </m:r>
            </m:e>
            <m:sup>
              <m:r>
                <w:rPr>
                  <w:rFonts w:ascii="Cambria Math" w:hAnsi="Cambria Math"/>
                </w:rPr>
                <m:t>2</m:t>
              </m:r>
            </m:sup>
          </m:sSup>
          <m:f>
            <m:fPr>
              <m:ctrlPr>
                <w:rPr>
                  <w:rFonts w:ascii="Cambria Math" w:hAnsi="Cambria Math"/>
                  <w:i/>
                </w:rPr>
              </m:ctrlPr>
            </m:fPr>
            <m:num>
              <m:r>
                <w:rPr>
                  <w:rFonts w:ascii="Cambria Math" w:hAnsi="Cambria Math"/>
                </w:rPr>
                <m:t>θ-β</m:t>
              </m:r>
            </m:num>
            <m:den>
              <m:sSup>
                <m:sSupPr>
                  <m:ctrlPr>
                    <w:rPr>
                      <w:rFonts w:ascii="Cambria Math" w:hAnsi="Cambria Math"/>
                      <w:i/>
                    </w:rPr>
                  </m:ctrlPr>
                </m:sSupPr>
                <m:e>
                  <m:r>
                    <w:rPr>
                      <w:rFonts w:ascii="Cambria Math" w:hAnsi="Cambria Math"/>
                    </w:rPr>
                    <m:t>θ</m:t>
                  </m:r>
                </m:e>
                <m:sup>
                  <m:r>
                    <w:rPr>
                      <w:rFonts w:ascii="Cambria Math" w:hAnsi="Cambria Math"/>
                    </w:rPr>
                    <m:t>2</m:t>
                  </m:r>
                </m:sup>
              </m:sSup>
            </m:den>
          </m:f>
        </m:oMath>
      </m:oMathPara>
    </w:p>
    <w:p w14:paraId="6975D2D2" w14:textId="77777777" w:rsidR="00D17558" w:rsidRDefault="00D17558" w:rsidP="007C24E3">
      <w:pPr>
        <w:pStyle w:val="ListParagraph"/>
        <w:numPr>
          <w:ilvl w:val="0"/>
          <w:numId w:val="7"/>
        </w:numPr>
        <w:spacing w:line="480" w:lineRule="auto"/>
        <w:ind w:left="360"/>
        <w:rPr>
          <w:rFonts w:eastAsiaTheme="minorEastAsia"/>
        </w:rPr>
      </w:pPr>
      <w:r w:rsidRPr="002B3BF4">
        <w:rPr>
          <w:rFonts w:eastAsiaTheme="minorEastAsia"/>
        </w:rPr>
        <w:t xml:space="preserve">We show in Appendix B that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A</m:t>
            </m:r>
          </m:sub>
        </m:sSub>
        <m:d>
          <m:dPr>
            <m:ctrlPr>
              <w:rPr>
                <w:rFonts w:ascii="Cambria Math" w:eastAsiaTheme="minorEastAsia" w:hAnsi="Cambria Math"/>
                <w:i/>
              </w:rPr>
            </m:ctrlPr>
          </m:dPr>
          <m:e>
            <m:r>
              <w:rPr>
                <w:rFonts w:ascii="Cambria Math" w:eastAsiaTheme="minorEastAsia" w:hAnsi="Cambria Math"/>
              </w:rPr>
              <m:t>X</m:t>
            </m:r>
          </m:e>
        </m:d>
      </m:oMath>
      <w:r w:rsidRPr="002B3BF4">
        <w:rPr>
          <w:rFonts w:eastAsiaTheme="minorEastAsia"/>
        </w:rPr>
        <w:t xml:space="preserve"> is a concave function of </w:t>
      </w:r>
      <m:oMath>
        <m:r>
          <w:rPr>
            <w:rFonts w:ascii="Cambria Math" w:eastAsiaTheme="minorEastAsia" w:hAnsi="Cambria Math"/>
          </w:rPr>
          <m:t>X</m:t>
        </m:r>
      </m:oMath>
      <w:r w:rsidRPr="002B3BF4">
        <w:rPr>
          <w:rFonts w:eastAsiaTheme="minorEastAsia"/>
        </w:rPr>
        <w:t xml:space="preserve"> over its domain.  When </w:t>
      </w:r>
      <m:oMath>
        <m:r>
          <w:rPr>
            <w:rFonts w:ascii="Cambria Math" w:eastAsiaTheme="minorEastAsia" w:hAnsi="Cambria Math"/>
          </w:rPr>
          <m:t>R=0</m:t>
        </m:r>
      </m:oMath>
      <w:r w:rsidRPr="002B3BF4">
        <w:rPr>
          <w:rFonts w:eastAsiaTheme="minorEastAsia"/>
        </w:rPr>
        <w:t xml:space="preserve">, an interior maximum exists at </w:t>
      </w:r>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(α-c)</m:t>
            </m:r>
          </m:num>
          <m:den>
            <m:r>
              <w:rPr>
                <w:rFonts w:ascii="Cambria Math" w:hAnsi="Cambria Math"/>
              </w:rPr>
              <m:t>2</m:t>
            </m:r>
          </m:den>
        </m:f>
        <m:f>
          <m:fPr>
            <m:ctrlPr>
              <w:rPr>
                <w:rFonts w:ascii="Cambria Math" w:hAnsi="Cambria Math"/>
                <w:i/>
              </w:rPr>
            </m:ctrlPr>
          </m:fPr>
          <m:num>
            <m:r>
              <w:rPr>
                <w:rFonts w:ascii="Cambria Math" w:hAnsi="Cambria Math"/>
              </w:rPr>
              <m:t>9β-2θ</m:t>
            </m:r>
          </m:num>
          <m:den>
            <m:r>
              <w:rPr>
                <w:rFonts w:ascii="Cambria Math" w:hAnsi="Cambria Math"/>
              </w:rPr>
              <m:t>(3β+θ)(3β-θ)</m:t>
            </m:r>
          </m:den>
        </m:f>
      </m:oMath>
      <w:r w:rsidRPr="002B3BF4">
        <w:rPr>
          <w:rFonts w:eastAsiaTheme="minorEastAsia"/>
        </w:rPr>
        <w:t xml:space="preserve">.  However, as </w:t>
      </w:r>
      <m:oMath>
        <m:r>
          <w:rPr>
            <w:rFonts w:ascii="Cambria Math" w:eastAsiaTheme="minorEastAsia" w:hAnsi="Cambria Math"/>
          </w:rPr>
          <m:t>R</m:t>
        </m:r>
      </m:oMath>
      <w:r w:rsidRPr="002B3BF4">
        <w:rPr>
          <w:rFonts w:eastAsiaTheme="minorEastAsia"/>
        </w:rPr>
        <w:t xml:space="preserve"> increases, the upper bound of the domain of </w:t>
      </w:r>
      <m:oMath>
        <m:sSub>
          <m:sSubPr>
            <m:ctrlPr>
              <w:rPr>
                <w:rFonts w:ascii="Cambria Math" w:eastAsiaTheme="minorEastAsia" w:hAnsi="Cambria Math"/>
                <w:i/>
              </w:rPr>
            </m:ctrlPr>
          </m:sSubPr>
          <m:e>
            <m:r>
              <m:rPr>
                <m:scr m:val="double-struck"/>
              </m:rPr>
              <w:rPr>
                <w:rFonts w:ascii="Cambria Math" w:eastAsiaTheme="minorEastAsia" w:hAnsi="Cambria Math"/>
              </w:rPr>
              <m:t>X</m:t>
            </m:r>
          </m:e>
          <m:sub>
            <m:r>
              <w:rPr>
                <w:rFonts w:ascii="Cambria Math" w:eastAsiaTheme="minorEastAsia" w:hAnsi="Cambria Math"/>
              </w:rPr>
              <m:t>A</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 xml:space="preserve">X </m:t>
            </m:r>
          </m:e>
          <m:e>
            <m:r>
              <w:rPr>
                <w:rFonts w:ascii="Cambria Math" w:eastAsiaTheme="minorEastAsia" w:hAnsi="Cambria Math"/>
              </w:rPr>
              <m:t xml:space="preserve"> X&lt; </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βR</m:t>
                        </m:r>
                      </m:e>
                    </m:d>
                  </m:e>
                  <m:sup>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sup>
                </m:sSup>
              </m:num>
              <m:den>
                <m:r>
                  <w:rPr>
                    <w:rFonts w:ascii="Cambria Math" w:eastAsiaTheme="minorEastAsia" w:hAnsi="Cambria Math"/>
                  </w:rPr>
                  <m:t>θ</m:t>
                </m:r>
              </m:den>
            </m:f>
          </m:e>
        </m:d>
      </m:oMath>
      <w:r w:rsidRPr="002B3BF4">
        <w:rPr>
          <w:rFonts w:eastAsiaTheme="minorEastAsia"/>
        </w:rPr>
        <w:t xml:space="preserve"> decreases to zero.  There is therefore a threshold value </w:t>
      </w:r>
      <m:oMath>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A</m:t>
            </m:r>
          </m:sub>
        </m:sSub>
      </m:oMath>
      <w:r w:rsidRPr="002B3BF4">
        <w:rPr>
          <w:rFonts w:eastAsiaTheme="minorEastAsia"/>
        </w:rPr>
        <w:t xml:space="preserve"> for entry costs such that for </w:t>
      </w:r>
      <m:oMath>
        <m:r>
          <w:rPr>
            <w:rFonts w:ascii="Cambria Math" w:eastAsiaTheme="minorEastAsia" w:hAnsi="Cambria Math"/>
          </w:rPr>
          <m:t>R≥</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A</m:t>
            </m:r>
          </m:sub>
        </m:sSub>
      </m:oMath>
      <w:r w:rsidRPr="002B3BF4">
        <w:rPr>
          <w:rFonts w:eastAsiaTheme="minorEastAsia"/>
        </w:rPr>
        <w:t xml:space="preserve">,  </w:t>
      </w:r>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(α-c)</m:t>
            </m:r>
          </m:num>
          <m:den>
            <m:r>
              <w:rPr>
                <w:rFonts w:ascii="Cambria Math" w:hAnsi="Cambria Math"/>
              </w:rPr>
              <m:t>2</m:t>
            </m:r>
          </m:den>
        </m:f>
        <m:f>
          <m:fPr>
            <m:ctrlPr>
              <w:rPr>
                <w:rFonts w:ascii="Cambria Math" w:hAnsi="Cambria Math"/>
                <w:i/>
              </w:rPr>
            </m:ctrlPr>
          </m:fPr>
          <m:num>
            <m:r>
              <w:rPr>
                <w:rFonts w:ascii="Cambria Math" w:hAnsi="Cambria Math"/>
              </w:rPr>
              <m:t>9β-2θ</m:t>
            </m:r>
          </m:num>
          <m:den>
            <m:r>
              <w:rPr>
                <w:rFonts w:ascii="Cambria Math" w:hAnsi="Cambria Math"/>
              </w:rPr>
              <m:t>(3β+θ)(3β-θ)</m:t>
            </m:r>
          </m:den>
        </m:f>
        <m:r>
          <w:rPr>
            <w:rFonts w:ascii="Cambria Math" w:hAnsi="Cambria Math"/>
          </w:rPr>
          <m:t>∉</m:t>
        </m:r>
        <m:sSub>
          <m:sSubPr>
            <m:ctrlPr>
              <w:rPr>
                <w:rFonts w:ascii="Cambria Math" w:eastAsiaTheme="minorEastAsia" w:hAnsi="Cambria Math"/>
                <w:i/>
              </w:rPr>
            </m:ctrlPr>
          </m:sSubPr>
          <m:e>
            <m:r>
              <m:rPr>
                <m:scr m:val="double-struck"/>
              </m:rPr>
              <w:rPr>
                <w:rFonts w:ascii="Cambria Math" w:eastAsiaTheme="minorEastAsia" w:hAnsi="Cambria Math"/>
              </w:rPr>
              <m:t>X</m:t>
            </m:r>
          </m:e>
          <m:sub>
            <m:r>
              <w:rPr>
                <w:rFonts w:ascii="Cambria Math" w:eastAsiaTheme="minorEastAsia" w:hAnsi="Cambria Math"/>
              </w:rPr>
              <m:t>A</m:t>
            </m:r>
          </m:sub>
        </m:sSub>
      </m:oMath>
      <w:r w:rsidRPr="002B3BF4">
        <w:rPr>
          <w:rFonts w:eastAsiaTheme="minorEastAsia"/>
        </w:rPr>
        <w:t xml:space="preserve"> and the function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A</m:t>
            </m:r>
          </m:sub>
        </m:sSub>
        <m:d>
          <m:dPr>
            <m:ctrlPr>
              <w:rPr>
                <w:rFonts w:ascii="Cambria Math" w:eastAsiaTheme="minorEastAsia" w:hAnsi="Cambria Math"/>
                <w:i/>
              </w:rPr>
            </m:ctrlPr>
          </m:dPr>
          <m:e>
            <m:r>
              <w:rPr>
                <w:rFonts w:ascii="Cambria Math" w:eastAsiaTheme="minorEastAsia" w:hAnsi="Cambria Math"/>
              </w:rPr>
              <m:t>X</m:t>
            </m:r>
          </m:e>
        </m:d>
      </m:oMath>
      <w:r w:rsidRPr="002B3BF4">
        <w:rPr>
          <w:rFonts w:eastAsiaTheme="minorEastAsia"/>
        </w:rPr>
        <w:t xml:space="preserve"> will have a supremum at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βR</m:t>
                    </m:r>
                  </m:e>
                </m:d>
              </m:e>
              <m:sup>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sup>
            </m:sSup>
          </m:num>
          <m:den>
            <m:r>
              <w:rPr>
                <w:rFonts w:ascii="Cambria Math" w:eastAsiaTheme="minorEastAsia" w:hAnsi="Cambria Math"/>
              </w:rPr>
              <m:t>θ</m:t>
            </m:r>
          </m:den>
        </m:f>
      </m:oMath>
      <w:r w:rsidRPr="002B3BF4">
        <w:rPr>
          <w:rFonts w:eastAsiaTheme="minorEastAsia"/>
        </w:rPr>
        <w:t xml:space="preserve">.  Since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A</m:t>
            </m:r>
          </m:sub>
        </m:sSub>
        <m:d>
          <m:dPr>
            <m:ctrlPr>
              <w:rPr>
                <w:rFonts w:ascii="Cambria Math" w:eastAsiaTheme="minorEastAsia" w:hAnsi="Cambria Math"/>
                <w:i/>
              </w:rPr>
            </m:ctrlPr>
          </m:dPr>
          <m:e>
            <m:r>
              <w:rPr>
                <w:rFonts w:ascii="Cambria Math" w:eastAsiaTheme="minorEastAsia" w:hAnsi="Cambria Math"/>
              </w:rPr>
              <m:t>X</m:t>
            </m:r>
          </m:e>
        </m:d>
      </m:oMath>
      <w:r w:rsidRPr="002B3BF4">
        <w:rPr>
          <w:rFonts w:eastAsiaTheme="minorEastAsia"/>
        </w:rPr>
        <w:t xml:space="preserve"> is an increasing function of </w:t>
      </w:r>
      <m:oMath>
        <m:r>
          <w:rPr>
            <w:rFonts w:ascii="Cambria Math" w:eastAsiaTheme="minorEastAsia" w:hAnsi="Cambria Math"/>
          </w:rPr>
          <m:t>X</m:t>
        </m:r>
      </m:oMath>
      <w:r w:rsidRPr="002B3BF4">
        <w:rPr>
          <w:rFonts w:eastAsiaTheme="minorEastAsia"/>
        </w:rPr>
        <w:t xml:space="preserve"> for </w:t>
      </w:r>
      <m:oMath>
        <m:r>
          <w:rPr>
            <w:rFonts w:ascii="Cambria Math" w:eastAsiaTheme="minorEastAsia" w:hAnsi="Cambria Math"/>
          </w:rPr>
          <m:t>0≤X&lt;</m:t>
        </m:r>
        <m:sSup>
          <m:sSupPr>
            <m:ctrlPr>
              <w:rPr>
                <w:rFonts w:ascii="Cambria Math" w:hAnsi="Cambria Math"/>
                <w:i/>
              </w:rPr>
            </m:ctrlPr>
          </m:sSupPr>
          <m:e>
            <m:r>
              <w:rPr>
                <w:rFonts w:ascii="Cambria Math" w:hAnsi="Cambria Math"/>
              </w:rPr>
              <m:t>X</m:t>
            </m:r>
          </m:e>
          <m:sup>
            <m:r>
              <w:rPr>
                <w:rFonts w:ascii="Cambria Math" w:hAnsi="Cambria Math"/>
              </w:rPr>
              <m:t>*</m:t>
            </m:r>
          </m:sup>
        </m:sSup>
      </m:oMath>
      <w:r w:rsidRPr="002B3BF4">
        <w:rPr>
          <w:rFonts w:eastAsiaTheme="minorEastAsia"/>
        </w:rPr>
        <w:t xml:space="preserve">, we can </w:t>
      </w:r>
      <w:r>
        <w:rPr>
          <w:rFonts w:eastAsiaTheme="minorEastAsia"/>
        </w:rPr>
        <w:t xml:space="preserve">define the function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A</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rPr>
          <w:rFonts w:eastAsiaTheme="minorEastAsia"/>
        </w:rPr>
        <w:t xml:space="preserve"> representing th</w:t>
      </w:r>
      <w:r w:rsidRPr="002B3BF4">
        <w:rPr>
          <w:rFonts w:eastAsiaTheme="minorEastAsia"/>
        </w:rPr>
        <w:t>e maximum profits attainable by the accommodating incumbent</w:t>
      </w:r>
      <w:r>
        <w:rPr>
          <w:rFonts w:eastAsiaTheme="minorEastAsia"/>
        </w:rPr>
        <w:t xml:space="preserve"> as follows:</w:t>
      </w:r>
    </w:p>
    <w:p w14:paraId="6825A2A5" w14:textId="77777777" w:rsidR="00D17558" w:rsidRPr="00C13928" w:rsidRDefault="009E7792" w:rsidP="007C24E3">
      <w:pPr>
        <w:pStyle w:val="ListParagraph"/>
        <w:spacing w:line="480" w:lineRule="auto"/>
        <w:ind w:left="360"/>
        <w:rPr>
          <w:rFonts w:eastAsiaTheme="minorEastAsia"/>
        </w:rPr>
      </w:pPr>
      <m:oMathPara>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A</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A</m:t>
                              </m:r>
                            </m:sub>
                          </m:sSub>
                          <m:r>
                            <w:rPr>
                              <w:rFonts w:ascii="Cambria Math" w:eastAsiaTheme="minorEastAsia" w:hAnsi="Cambria Math"/>
                            </w:rPr>
                            <m:t xml:space="preserve">(X) </m:t>
                          </m:r>
                        </m:e>
                      </m:d>
                    </m:e>
                    <m:sub>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(α-c)</m:t>
                          </m:r>
                        </m:num>
                        <m:den>
                          <m:r>
                            <w:rPr>
                              <w:rFonts w:ascii="Cambria Math" w:hAnsi="Cambria Math"/>
                            </w:rPr>
                            <m:t>2</m:t>
                          </m:r>
                        </m:den>
                      </m:f>
                      <m:f>
                        <m:fPr>
                          <m:ctrlPr>
                            <w:rPr>
                              <w:rFonts w:ascii="Cambria Math" w:hAnsi="Cambria Math"/>
                              <w:i/>
                            </w:rPr>
                          </m:ctrlPr>
                        </m:fPr>
                        <m:num>
                          <m:r>
                            <w:rPr>
                              <w:rFonts w:ascii="Cambria Math" w:hAnsi="Cambria Math"/>
                            </w:rPr>
                            <m:t>9β-2θ</m:t>
                          </m:r>
                        </m:num>
                        <m:den>
                          <m:r>
                            <w:rPr>
                              <w:rFonts w:ascii="Cambria Math" w:hAnsi="Cambria Math"/>
                            </w:rPr>
                            <m:t>(3β+θ)(3β-θ)</m:t>
                          </m:r>
                        </m:den>
                      </m:f>
                    </m:sub>
                  </m:sSub>
                  <m:r>
                    <w:rPr>
                      <w:rFonts w:ascii="Cambria Math" w:eastAsiaTheme="minorEastAsia" w:hAnsi="Cambria Math"/>
                    </w:rPr>
                    <m:t xml:space="preserve">            for 0≤R&lt;</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A</m:t>
                      </m:r>
                    </m:sub>
                  </m:sSub>
                  <m:r>
                    <w:rPr>
                      <w:rFonts w:ascii="Cambria Math" w:eastAsiaTheme="minorEastAsia" w:hAnsi="Cambria Math"/>
                    </w:rPr>
                    <m:t xml:space="preserve"> </m:t>
                  </m:r>
                </m:e>
                <m:e/>
                <m:e>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A</m:t>
                              </m:r>
                            </m:sub>
                          </m:sSub>
                          <m:r>
                            <w:rPr>
                              <w:rFonts w:ascii="Cambria Math" w:eastAsiaTheme="minorEastAsia" w:hAnsi="Cambria Math"/>
                            </w:rPr>
                            <m:t xml:space="preserve">(X) </m:t>
                          </m:r>
                        </m:e>
                      </m:d>
                    </m:e>
                    <m:sub>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βR</m:t>
                                  </m:r>
                                </m:e>
                              </m:d>
                            </m:e>
                            <m:sup>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sup>
                          </m:sSup>
                        </m:num>
                        <m:den>
                          <m:r>
                            <w:rPr>
                              <w:rFonts w:ascii="Cambria Math" w:eastAsiaTheme="minorEastAsia" w:hAnsi="Cambria Math"/>
                            </w:rPr>
                            <m:t>θ</m:t>
                          </m:r>
                        </m:den>
                      </m:f>
                    </m:sub>
                  </m:sSub>
                  <m:r>
                    <w:rPr>
                      <w:rFonts w:ascii="Cambria Math" w:eastAsiaTheme="minorEastAsia" w:hAnsi="Cambria Math"/>
                    </w:rPr>
                    <m:t xml:space="preserve">                                   for R≥</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A</m:t>
                      </m:r>
                    </m:sub>
                  </m:sSub>
                </m:e>
              </m:eqArr>
            </m:e>
          </m:d>
        </m:oMath>
      </m:oMathPara>
    </w:p>
    <w:p w14:paraId="06DD846A" w14:textId="77777777" w:rsidR="00D17558" w:rsidRDefault="00D17558" w:rsidP="007C24E3">
      <w:pPr>
        <w:pStyle w:val="ListParagraph"/>
        <w:spacing w:line="480" w:lineRule="auto"/>
        <w:ind w:left="360"/>
        <w:rPr>
          <w:rFonts w:eastAsiaTheme="minorEastAsia"/>
        </w:rPr>
      </w:pPr>
      <w:r>
        <w:rPr>
          <w:rFonts w:eastAsiaTheme="minorEastAsia"/>
        </w:rPr>
        <w:t xml:space="preserve">Accordingly,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A</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rPr>
          <w:rFonts w:eastAsiaTheme="minorEastAsia"/>
        </w:rPr>
        <w:t xml:space="preserve"> is </w:t>
      </w:r>
      <w:r w:rsidRPr="002B3BF4">
        <w:rPr>
          <w:rFonts w:eastAsiaTheme="minorEastAsia"/>
        </w:rPr>
        <w:t xml:space="preserve">independent of entry costs for </w:t>
      </w:r>
      <m:oMath>
        <m:r>
          <w:rPr>
            <w:rFonts w:ascii="Cambria Math" w:eastAsiaTheme="minorEastAsia" w:hAnsi="Cambria Math"/>
          </w:rPr>
          <m:t>0≤R&lt;</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A</m:t>
            </m:r>
          </m:sub>
        </m:sSub>
      </m:oMath>
      <w:r w:rsidRPr="002B3BF4">
        <w:rPr>
          <w:rFonts w:eastAsiaTheme="minorEastAsia"/>
        </w:rPr>
        <w:t xml:space="preserve">, and a decreasing function of </w:t>
      </w:r>
      <m:oMath>
        <m:r>
          <w:rPr>
            <w:rFonts w:ascii="Cambria Math" w:eastAsiaTheme="minorEastAsia" w:hAnsi="Cambria Math"/>
          </w:rPr>
          <m:t>R</m:t>
        </m:r>
      </m:oMath>
      <w:r w:rsidRPr="002B3BF4">
        <w:rPr>
          <w:rFonts w:eastAsiaTheme="minorEastAsia"/>
        </w:rPr>
        <w:t xml:space="preserve"> for </w:t>
      </w:r>
      <m:oMath>
        <m:r>
          <w:rPr>
            <w:rFonts w:ascii="Cambria Math" w:eastAsiaTheme="minorEastAsia" w:hAnsi="Cambria Math"/>
          </w:rPr>
          <m:t>R≥</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A</m:t>
            </m:r>
          </m:sub>
        </m:sSub>
      </m:oMath>
      <w:r w:rsidRPr="002B3BF4">
        <w:rPr>
          <w:rFonts w:eastAsiaTheme="minorEastAsia"/>
        </w:rPr>
        <w:t xml:space="preserve">. </w:t>
      </w:r>
      <w:r>
        <w:rPr>
          <w:rFonts w:eastAsiaTheme="minorEastAsia"/>
        </w:rPr>
        <w:t xml:space="preserve">  </w:t>
      </w:r>
      <w:r w:rsidRPr="002B3BF4">
        <w:rPr>
          <w:rFonts w:eastAsiaTheme="minorEastAsia"/>
        </w:rPr>
        <w:t xml:space="preserve"> </w:t>
      </w:r>
    </w:p>
    <w:p w14:paraId="7B2D7C45" w14:textId="77777777" w:rsidR="00D17558" w:rsidRDefault="00D17558" w:rsidP="007C24E3">
      <w:pPr>
        <w:pStyle w:val="ListParagraph"/>
        <w:numPr>
          <w:ilvl w:val="0"/>
          <w:numId w:val="7"/>
        </w:numPr>
        <w:spacing w:line="480" w:lineRule="auto"/>
        <w:ind w:left="360"/>
        <w:rPr>
          <w:rFonts w:eastAsiaTheme="minorEastAsia"/>
        </w:rPr>
      </w:pPr>
      <w:r w:rsidRPr="004640DF">
        <w:rPr>
          <w:rFonts w:eastAsiaTheme="minorEastAsia"/>
        </w:rPr>
        <w:lastRenderedPageBreak/>
        <w:t xml:space="preserve">The function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d>
          <m:dPr>
            <m:ctrlPr>
              <w:rPr>
                <w:rFonts w:ascii="Cambria Math" w:eastAsiaTheme="minorEastAsia" w:hAnsi="Cambria Math"/>
                <w:i/>
              </w:rPr>
            </m:ctrlPr>
          </m:dPr>
          <m:e>
            <m:r>
              <w:rPr>
                <w:rFonts w:ascii="Cambria Math" w:eastAsiaTheme="minorEastAsia" w:hAnsi="Cambria Math"/>
              </w:rPr>
              <m:t>X</m:t>
            </m:r>
          </m:e>
        </m:d>
      </m:oMath>
      <w:r w:rsidRPr="004640DF">
        <w:rPr>
          <w:rFonts w:eastAsiaTheme="minorEastAsia"/>
        </w:rPr>
        <w:t xml:space="preserve"> is a concave function of </w:t>
      </w:r>
      <m:oMath>
        <m:r>
          <w:rPr>
            <w:rFonts w:ascii="Cambria Math" w:eastAsiaTheme="minorEastAsia" w:hAnsi="Cambria Math"/>
          </w:rPr>
          <m:t>X</m:t>
        </m:r>
      </m:oMath>
      <w:r w:rsidRPr="004640DF">
        <w:rPr>
          <w:rFonts w:eastAsiaTheme="minorEastAsia"/>
        </w:rPr>
        <w:t xml:space="preserve"> over </w:t>
      </w:r>
      <m:oMath>
        <m:sSub>
          <m:sSubPr>
            <m:ctrlPr>
              <w:rPr>
                <w:rFonts w:ascii="Cambria Math" w:eastAsiaTheme="minorEastAsia" w:hAnsi="Cambria Math"/>
                <w:i/>
              </w:rPr>
            </m:ctrlPr>
          </m:sSubPr>
          <m:e>
            <m:r>
              <m:rPr>
                <m:scr m:val="double-struck"/>
              </m:rPr>
              <w:rPr>
                <w:rFonts w:ascii="Cambria Math" w:eastAsiaTheme="minorEastAsia" w:hAnsi="Cambria Math"/>
              </w:rPr>
              <m:t>X</m:t>
            </m:r>
          </m:e>
          <m:sub>
            <m:r>
              <w:rPr>
                <w:rFonts w:ascii="Cambria Math" w:eastAsiaTheme="minorEastAsia" w:hAnsi="Cambria Math"/>
              </w:rPr>
              <m:t>D</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 xml:space="preserve">X </m:t>
            </m:r>
          </m:e>
          <m:e>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βR</m:t>
                        </m:r>
                      </m:e>
                    </m:d>
                  </m:e>
                  <m:sup>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sup>
                </m:sSup>
              </m:num>
              <m:den>
                <m:r>
                  <w:rPr>
                    <w:rFonts w:ascii="Cambria Math" w:eastAsiaTheme="minorEastAsia" w:hAnsi="Cambria Math"/>
                  </w:rPr>
                  <m:t>θ</m:t>
                </m:r>
              </m:den>
            </m:f>
            <m:r>
              <w:rPr>
                <w:rFonts w:ascii="Cambria Math" w:eastAsiaTheme="minorEastAsia" w:hAnsi="Cambria Math"/>
              </w:rPr>
              <m:t>≤X&lt;</m:t>
            </m:r>
            <m:f>
              <m:fPr>
                <m:ctrlPr>
                  <w:rPr>
                    <w:rFonts w:ascii="Cambria Math" w:hAnsi="Cambria Math"/>
                    <w:i/>
                  </w:rPr>
                </m:ctrlPr>
              </m:fPr>
              <m:num>
                <m:r>
                  <w:rPr>
                    <w:rFonts w:ascii="Cambria Math" w:hAnsi="Cambria Math"/>
                  </w:rPr>
                  <m:t>α-c</m:t>
                </m:r>
              </m:num>
              <m:den>
                <m:r>
                  <w:rPr>
                    <w:rFonts w:ascii="Cambria Math" w:hAnsi="Cambria Math"/>
                  </w:rPr>
                  <m:t>θ</m:t>
                </m:r>
              </m:den>
            </m:f>
          </m:e>
        </m:d>
      </m:oMath>
      <w:r w:rsidRPr="004640DF">
        <w:rPr>
          <w:rFonts w:eastAsiaTheme="minorEastAsia"/>
        </w:rPr>
        <w:t xml:space="preserve">.  When an interior maximum exists,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d>
          <m:dPr>
            <m:ctrlPr>
              <w:rPr>
                <w:rFonts w:ascii="Cambria Math" w:eastAsiaTheme="minorEastAsia" w:hAnsi="Cambria Math"/>
                <w:i/>
              </w:rPr>
            </m:ctrlPr>
          </m:dPr>
          <m:e>
            <m:r>
              <w:rPr>
                <w:rFonts w:ascii="Cambria Math" w:eastAsiaTheme="minorEastAsia" w:hAnsi="Cambria Math"/>
              </w:rPr>
              <m:t>X</m:t>
            </m:r>
          </m:e>
        </m:d>
      </m:oMath>
      <w:r w:rsidRPr="004640DF">
        <w:rPr>
          <w:rFonts w:eastAsiaTheme="minorEastAsia"/>
        </w:rPr>
        <w:t xml:space="preserve"> attains a maximum at </w:t>
      </w:r>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(α-c)</m:t>
            </m:r>
          </m:num>
          <m:den>
            <m:r>
              <w:rPr>
                <w:rFonts w:ascii="Cambria Math" w:hAnsi="Cambria Math"/>
              </w:rPr>
              <m:t>2β+θ</m:t>
            </m:r>
          </m:den>
        </m:f>
        <m:r>
          <w:rPr>
            <w:rFonts w:ascii="Cambria Math" w:eastAsiaTheme="minorEastAsia" w:hAnsi="Cambria Math"/>
          </w:rPr>
          <m:t>&lt;</m:t>
        </m:r>
        <m:f>
          <m:fPr>
            <m:ctrlPr>
              <w:rPr>
                <w:rFonts w:ascii="Cambria Math" w:hAnsi="Cambria Math"/>
                <w:i/>
              </w:rPr>
            </m:ctrlPr>
          </m:fPr>
          <m:num>
            <m:r>
              <w:rPr>
                <w:rFonts w:ascii="Cambria Math" w:hAnsi="Cambria Math"/>
              </w:rPr>
              <m:t>(α-c)</m:t>
            </m:r>
          </m:num>
          <m:den>
            <m:r>
              <w:rPr>
                <w:rFonts w:ascii="Cambria Math" w:hAnsi="Cambria Math"/>
              </w:rPr>
              <m:t>θ</m:t>
            </m:r>
          </m:den>
        </m:f>
      </m:oMath>
      <w:r w:rsidRPr="004640DF">
        <w:rPr>
          <w:rFonts w:eastAsiaTheme="minorEastAsia"/>
        </w:rPr>
        <w:t xml:space="preserve"> .  However, an interior maximum will exist only when the costs of generic entry are large enough to ensure that</w:t>
      </w:r>
      <w:r>
        <w:rPr>
          <w:rFonts w:eastAsiaTheme="minorEastAsia"/>
        </w:rPr>
        <w:t xml:space="preserve"> the lower bound of </w:t>
      </w:r>
      <m:oMath>
        <m:sSub>
          <m:sSubPr>
            <m:ctrlPr>
              <w:rPr>
                <w:rFonts w:ascii="Cambria Math" w:eastAsiaTheme="minorEastAsia" w:hAnsi="Cambria Math"/>
                <w:i/>
              </w:rPr>
            </m:ctrlPr>
          </m:sSubPr>
          <m:e>
            <m:r>
              <m:rPr>
                <m:scr m:val="double-struck"/>
              </m:rPr>
              <w:rPr>
                <w:rFonts w:ascii="Cambria Math" w:eastAsiaTheme="minorEastAsia" w:hAnsi="Cambria Math"/>
              </w:rPr>
              <m:t>X</m:t>
            </m:r>
          </m:e>
          <m:sub>
            <m:r>
              <w:rPr>
                <w:rFonts w:ascii="Cambria Math" w:eastAsiaTheme="minorEastAsia" w:hAnsi="Cambria Math"/>
              </w:rPr>
              <m:t>D</m:t>
            </m:r>
          </m:sub>
        </m:sSub>
      </m:oMath>
      <w:r>
        <w:rPr>
          <w:rFonts w:eastAsiaTheme="minorEastAsia"/>
        </w:rPr>
        <w:t xml:space="preserve"> is smaller than </w:t>
      </w:r>
      <m:oMath>
        <m:sSup>
          <m:sSupPr>
            <m:ctrlPr>
              <w:rPr>
                <w:rFonts w:ascii="Cambria Math" w:hAnsi="Cambria Math"/>
                <w:i/>
              </w:rPr>
            </m:ctrlPr>
          </m:sSupPr>
          <m:e>
            <m:r>
              <w:rPr>
                <w:rFonts w:ascii="Cambria Math" w:hAnsi="Cambria Math"/>
              </w:rPr>
              <m:t>X</m:t>
            </m:r>
          </m:e>
          <m:sup>
            <m:r>
              <w:rPr>
                <w:rFonts w:ascii="Cambria Math" w:hAnsi="Cambria Math"/>
              </w:rPr>
              <m:t>*</m:t>
            </m:r>
          </m:sup>
        </m:sSup>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βR</m:t>
                    </m:r>
                  </m:e>
                </m:d>
              </m:e>
              <m:sup>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sup>
            </m:sSup>
          </m:num>
          <m:den>
            <m:r>
              <w:rPr>
                <w:rFonts w:ascii="Cambria Math" w:eastAsiaTheme="minorEastAsia" w:hAnsi="Cambria Math"/>
              </w:rPr>
              <m:t>θ</m:t>
            </m:r>
          </m:den>
        </m:f>
        <m:r>
          <w:rPr>
            <w:rFonts w:ascii="Cambria Math" w:eastAsiaTheme="minorEastAsia" w:hAnsi="Cambria Math"/>
          </w:rPr>
          <m:t>≤</m:t>
        </m:r>
        <m:f>
          <m:fPr>
            <m:ctrlPr>
              <w:rPr>
                <w:rFonts w:ascii="Cambria Math" w:hAnsi="Cambria Math"/>
                <w:i/>
              </w:rPr>
            </m:ctrlPr>
          </m:fPr>
          <m:num>
            <m:r>
              <w:rPr>
                <w:rFonts w:ascii="Cambria Math" w:hAnsi="Cambria Math"/>
              </w:rPr>
              <m:t>α-c</m:t>
            </m:r>
          </m:num>
          <m:den>
            <m:r>
              <w:rPr>
                <w:rFonts w:ascii="Cambria Math" w:hAnsi="Cambria Math"/>
              </w:rPr>
              <m:t>2β+θ</m:t>
            </m:r>
          </m:den>
        </m:f>
      </m:oMath>
      <w:r>
        <w:rPr>
          <w:rFonts w:eastAsiaTheme="minorEastAsia"/>
        </w:rPr>
        <w:t xml:space="preserve"> if and only if </w:t>
      </w:r>
      <m:oMath>
        <m:r>
          <w:rPr>
            <w:rFonts w:ascii="Cambria Math" w:eastAsiaTheme="minorEastAsia" w:hAnsi="Cambria Math"/>
          </w:rPr>
          <m:t>R≥</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D</m:t>
            </m:r>
          </m:sub>
        </m:sSub>
      </m:oMath>
      <w:r>
        <w:rPr>
          <w:rFonts w:eastAsiaTheme="minorEastAsia"/>
        </w:rPr>
        <w:t xml:space="preserve">.  When </w:t>
      </w:r>
      <m:oMath>
        <m:sSub>
          <m:sSubPr>
            <m:ctrlPr>
              <w:rPr>
                <w:rFonts w:ascii="Cambria Math" w:eastAsiaTheme="minorEastAsia" w:hAnsi="Cambria Math"/>
                <w:i/>
              </w:rPr>
            </m:ctrlPr>
          </m:sSubPr>
          <m:e>
            <m:r>
              <w:rPr>
                <w:rFonts w:ascii="Cambria Math" w:eastAsiaTheme="minorEastAsia" w:hAnsi="Cambria Math"/>
              </w:rPr>
              <m:t>R&lt;</m:t>
            </m:r>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D</m:t>
            </m:r>
          </m:sub>
        </m:sSub>
      </m:oMath>
      <w:r w:rsidRPr="001B6ADC">
        <w:rPr>
          <w:rFonts w:eastAsiaTheme="minorEastAsia"/>
        </w:rPr>
        <w:t xml:space="preserve">,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d>
          <m:dPr>
            <m:ctrlPr>
              <w:rPr>
                <w:rFonts w:ascii="Cambria Math" w:eastAsiaTheme="minorEastAsia" w:hAnsi="Cambria Math"/>
                <w:i/>
              </w:rPr>
            </m:ctrlPr>
          </m:dPr>
          <m:e>
            <m:r>
              <w:rPr>
                <w:rFonts w:ascii="Cambria Math" w:eastAsiaTheme="minorEastAsia" w:hAnsi="Cambria Math"/>
              </w:rPr>
              <m:t>X</m:t>
            </m:r>
          </m:e>
        </m:d>
      </m:oMath>
      <w:r w:rsidRPr="001B6ADC">
        <w:rPr>
          <w:rFonts w:eastAsiaTheme="minorEastAsia"/>
        </w:rPr>
        <w:t xml:space="preserve"> is maximized at the lower bound of </w:t>
      </w:r>
      <m:oMath>
        <m:sSub>
          <m:sSubPr>
            <m:ctrlPr>
              <w:rPr>
                <w:rFonts w:ascii="Cambria Math" w:eastAsiaTheme="minorEastAsia" w:hAnsi="Cambria Math"/>
                <w:i/>
              </w:rPr>
            </m:ctrlPr>
          </m:sSubPr>
          <m:e>
            <m:r>
              <m:rPr>
                <m:scr m:val="double-struck"/>
              </m:rPr>
              <w:rPr>
                <w:rFonts w:ascii="Cambria Math" w:eastAsiaTheme="minorEastAsia" w:hAnsi="Cambria Math"/>
              </w:rPr>
              <m:t>X</m:t>
            </m:r>
          </m:e>
          <m:sub>
            <m:r>
              <w:rPr>
                <w:rFonts w:ascii="Cambria Math" w:eastAsiaTheme="minorEastAsia" w:hAnsi="Cambria Math"/>
              </w:rPr>
              <m:t>D</m:t>
            </m:r>
          </m:sub>
        </m:sSub>
        <m:r>
          <w:rPr>
            <w:rFonts w:ascii="Cambria Math" w:eastAsiaTheme="minorEastAsia" w:hAnsi="Cambria Math"/>
          </w:rPr>
          <m:t xml:space="preserve">.  </m:t>
        </m:r>
      </m:oMath>
      <w:r>
        <w:rPr>
          <w:rFonts w:eastAsiaTheme="minorEastAsia"/>
        </w:rPr>
        <w:t xml:space="preserve">Since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d>
          <m:dPr>
            <m:ctrlPr>
              <w:rPr>
                <w:rFonts w:ascii="Cambria Math" w:eastAsiaTheme="minorEastAsia" w:hAnsi="Cambria Math"/>
                <w:i/>
              </w:rPr>
            </m:ctrlPr>
          </m:dPr>
          <m:e>
            <m:r>
              <w:rPr>
                <w:rFonts w:ascii="Cambria Math" w:eastAsiaTheme="minorEastAsia" w:hAnsi="Cambria Math"/>
              </w:rPr>
              <m:t>X</m:t>
            </m:r>
          </m:e>
        </m:d>
      </m:oMath>
      <w:r>
        <w:rPr>
          <w:rFonts w:eastAsiaTheme="minorEastAsia"/>
        </w:rPr>
        <w:t xml:space="preserve"> is a decreasing function of </w:t>
      </w:r>
      <m:oMath>
        <m:r>
          <w:rPr>
            <w:rFonts w:ascii="Cambria Math" w:eastAsiaTheme="minorEastAsia" w:hAnsi="Cambria Math"/>
          </w:rPr>
          <m:t>X</m:t>
        </m:r>
      </m:oMath>
      <w:r>
        <w:rPr>
          <w:rFonts w:eastAsiaTheme="minorEastAsia"/>
        </w:rPr>
        <w:t xml:space="preserve"> for </w:t>
      </w:r>
      <m:oMath>
        <m:r>
          <w:rPr>
            <w:rFonts w:ascii="Cambria Math" w:eastAsiaTheme="minorEastAsia" w:hAnsi="Cambria Math"/>
          </w:rPr>
          <m:t>X&gt;</m:t>
        </m:r>
        <m:f>
          <m:fPr>
            <m:ctrlPr>
              <w:rPr>
                <w:rFonts w:ascii="Cambria Math" w:hAnsi="Cambria Math"/>
                <w:i/>
              </w:rPr>
            </m:ctrlPr>
          </m:fPr>
          <m:num>
            <m:r>
              <w:rPr>
                <w:rFonts w:ascii="Cambria Math" w:hAnsi="Cambria Math"/>
              </w:rPr>
              <m:t>(α-c)</m:t>
            </m:r>
          </m:num>
          <m:den>
            <m:r>
              <w:rPr>
                <w:rFonts w:ascii="Cambria Math" w:hAnsi="Cambria Math"/>
              </w:rPr>
              <m:t>2β+θ</m:t>
            </m:r>
          </m:den>
        </m:f>
      </m:oMath>
      <w:r>
        <w:rPr>
          <w:rFonts w:eastAsiaTheme="minorEastAsia"/>
        </w:rPr>
        <w:t xml:space="preserve">, we can conclude that the maximum profits attainable while deterring entry are an increasing function of </w:t>
      </w:r>
      <m:oMath>
        <m:r>
          <w:rPr>
            <w:rFonts w:ascii="Cambria Math" w:eastAsiaTheme="minorEastAsia" w:hAnsi="Cambria Math"/>
          </w:rPr>
          <m:t>R</m:t>
        </m:r>
      </m:oMath>
      <w:r>
        <w:rPr>
          <w:rFonts w:eastAsiaTheme="minorEastAsia"/>
        </w:rPr>
        <w:t xml:space="preserve"> for </w:t>
      </w:r>
      <m:oMath>
        <m:sSub>
          <m:sSubPr>
            <m:ctrlPr>
              <w:rPr>
                <w:rFonts w:ascii="Cambria Math" w:eastAsiaTheme="minorEastAsia" w:hAnsi="Cambria Math"/>
                <w:i/>
              </w:rPr>
            </m:ctrlPr>
          </m:sSubPr>
          <m:e>
            <m:r>
              <w:rPr>
                <w:rFonts w:ascii="Cambria Math" w:eastAsiaTheme="minorEastAsia" w:hAnsi="Cambria Math"/>
              </w:rPr>
              <m:t>R&lt;</m:t>
            </m:r>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D</m:t>
            </m:r>
          </m:sub>
        </m:sSub>
      </m:oMath>
      <w:r w:rsidRPr="001B6ADC">
        <w:rPr>
          <w:rFonts w:eastAsiaTheme="minorEastAsia"/>
        </w:rPr>
        <w:t xml:space="preserve"> </w:t>
      </w:r>
      <w:r>
        <w:rPr>
          <w:rFonts w:eastAsiaTheme="minorEastAsia"/>
        </w:rPr>
        <w:t xml:space="preserve">and independent of </w:t>
      </w:r>
      <m:oMath>
        <m:r>
          <w:rPr>
            <w:rFonts w:ascii="Cambria Math" w:eastAsiaTheme="minorEastAsia" w:hAnsi="Cambria Math"/>
          </w:rPr>
          <m:t>R</m:t>
        </m:r>
      </m:oMath>
      <w:r>
        <w:rPr>
          <w:rFonts w:eastAsiaTheme="minorEastAsia"/>
        </w:rPr>
        <w:t xml:space="preserve"> for </w:t>
      </w:r>
      <m:oMath>
        <m:r>
          <w:rPr>
            <w:rFonts w:ascii="Cambria Math" w:eastAsiaTheme="minorEastAsia" w:hAnsi="Cambria Math"/>
          </w:rPr>
          <m:t>R≥</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D</m:t>
            </m:r>
          </m:sub>
        </m:sSub>
        <m:r>
          <w:rPr>
            <w:rFonts w:ascii="Cambria Math" w:eastAsiaTheme="minorEastAsia" w:hAnsi="Cambria Math"/>
          </w:rPr>
          <m:t>:</m:t>
        </m:r>
      </m:oMath>
    </w:p>
    <w:p w14:paraId="1B0551E3" w14:textId="77777777" w:rsidR="00D17558" w:rsidRPr="00C13928" w:rsidRDefault="009E7792" w:rsidP="007C24E3">
      <w:pPr>
        <w:pStyle w:val="ListParagraph"/>
        <w:spacing w:line="480" w:lineRule="auto"/>
        <w:ind w:left="360"/>
        <w:rPr>
          <w:rFonts w:eastAsiaTheme="minorEastAsia"/>
        </w:rPr>
      </w:pPr>
      <m:oMathPara>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r>
                            <w:rPr>
                              <w:rFonts w:ascii="Cambria Math" w:eastAsiaTheme="minorEastAsia" w:hAnsi="Cambria Math"/>
                            </w:rPr>
                            <m:t xml:space="preserve">(X) </m:t>
                          </m:r>
                        </m:e>
                      </m:d>
                    </m:e>
                    <m:sub>
                      <m:r>
                        <w:rPr>
                          <w:rFonts w:ascii="Cambria Math" w:hAnsi="Cambria Math"/>
                        </w:rPr>
                        <m:t>X=</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βR</m:t>
                                  </m:r>
                                </m:e>
                              </m:d>
                            </m:e>
                            <m:sup>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sup>
                          </m:sSup>
                        </m:num>
                        <m:den>
                          <m:r>
                            <w:rPr>
                              <w:rFonts w:ascii="Cambria Math" w:eastAsiaTheme="minorEastAsia" w:hAnsi="Cambria Math"/>
                            </w:rPr>
                            <m:t>θ</m:t>
                          </m:r>
                        </m:den>
                      </m:f>
                    </m:sub>
                  </m:sSub>
                  <m:r>
                    <w:rPr>
                      <w:rFonts w:ascii="Cambria Math" w:eastAsiaTheme="minorEastAsia" w:hAnsi="Cambria Math"/>
                    </w:rPr>
                    <m:t xml:space="preserve">                       for 0≤R&lt;</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D</m:t>
                      </m:r>
                    </m:sub>
                  </m:sSub>
                  <m:r>
                    <w:rPr>
                      <w:rFonts w:ascii="Cambria Math" w:eastAsiaTheme="minorEastAsia" w:hAnsi="Cambria Math"/>
                    </w:rPr>
                    <m:t xml:space="preserve"> </m:t>
                  </m:r>
                </m:e>
                <m:e/>
                <m:e>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r>
                            <w:rPr>
                              <w:rFonts w:ascii="Cambria Math" w:eastAsiaTheme="minorEastAsia" w:hAnsi="Cambria Math"/>
                            </w:rPr>
                            <m:t xml:space="preserve">(X) </m:t>
                          </m:r>
                        </m:e>
                      </m:d>
                    </m:e>
                    <m:sub>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2β+θ</m:t>
                          </m:r>
                        </m:den>
                      </m:f>
                    </m:sub>
                  </m:sSub>
                  <m:r>
                    <w:rPr>
                      <w:rFonts w:ascii="Cambria Math" w:eastAsiaTheme="minorEastAsia" w:hAnsi="Cambria Math"/>
                    </w:rPr>
                    <m:t xml:space="preserve">                                           for R≥</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D</m:t>
                      </m:r>
                    </m:sub>
                  </m:sSub>
                </m:e>
              </m:eqArr>
            </m:e>
          </m:d>
        </m:oMath>
      </m:oMathPara>
    </w:p>
    <w:p w14:paraId="36233DD1" w14:textId="77777777" w:rsidR="00D17558" w:rsidRPr="00AB4600" w:rsidRDefault="00D17558" w:rsidP="007C24E3">
      <w:pPr>
        <w:spacing w:line="480" w:lineRule="auto"/>
        <w:rPr>
          <w:rFonts w:eastAsiaTheme="minorEastAsia"/>
        </w:rPr>
      </w:pPr>
      <w:r>
        <w:rPr>
          <w:rFonts w:eastAsiaTheme="minorEastAsia"/>
        </w:rPr>
        <w:t xml:space="preserve">Having defined the three functions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A</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rPr>
          <w:rFonts w:eastAsiaTheme="minorEastAsia"/>
        </w:rPr>
        <w:t xml:space="preserve">,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rPr>
          <w:rFonts w:eastAsiaTheme="minorEastAsia"/>
        </w:rPr>
        <w:t xml:space="preserve">, and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E</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rPr>
          <w:rFonts w:eastAsiaTheme="minorEastAsia"/>
        </w:rPr>
        <w:t xml:space="preserve">, it follows that the optimal choice of first-period output for the incumbent firm will be contingent on the costs of generic entry.  Since we already established that accommodating entry dominates choosing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A</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&gt;</m:t>
        </m:r>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E</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rPr>
          <w:rFonts w:eastAsiaTheme="minorEastAsia"/>
        </w:rPr>
        <w:t xml:space="preserve"> when </w:t>
      </w:r>
      <m:oMath>
        <m:r>
          <w:rPr>
            <w:rFonts w:ascii="Cambria Math" w:eastAsiaTheme="minorEastAsia" w:hAnsi="Cambria Math"/>
          </w:rPr>
          <m:t>R=0</m:t>
        </m:r>
      </m:oMath>
      <w:r>
        <w:rPr>
          <w:rFonts w:eastAsiaTheme="minorEastAsia"/>
        </w:rPr>
        <w:t xml:space="preserve">, and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&gt;</m:t>
        </m:r>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E</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rPr>
          <w:rFonts w:eastAsiaTheme="minorEastAsia"/>
        </w:rPr>
        <w:t xml:space="preserve"> for </w:t>
      </w:r>
      <m:oMath>
        <m:r>
          <w:rPr>
            <w:rFonts w:ascii="Cambria Math" w:eastAsiaTheme="minorEastAsia" w:hAnsi="Cambria Math"/>
          </w:rPr>
          <m:t xml:space="preserve">R&gt;0, </m:t>
        </m:r>
      </m:oMath>
      <w:r>
        <w:rPr>
          <w:rFonts w:eastAsiaTheme="minorEastAsia"/>
        </w:rPr>
        <w:t xml:space="preserve">then the optimal choice of output cannot be a value </w:t>
      </w:r>
      <m:oMath>
        <m:sSub>
          <m:sSubPr>
            <m:ctrlPr>
              <w:rPr>
                <w:rFonts w:ascii="Cambria Math" w:eastAsiaTheme="minorEastAsia" w:hAnsi="Cambria Math"/>
                <w:i/>
              </w:rPr>
            </m:ctrlPr>
          </m:sSubPr>
          <m:e>
            <m:r>
              <w:rPr>
                <w:rFonts w:ascii="Cambria Math" w:eastAsiaTheme="minorEastAsia" w:hAnsi="Cambria Math"/>
              </w:rPr>
              <m:t>X∈</m:t>
            </m:r>
            <m:r>
              <m:rPr>
                <m:scr m:val="double-struck"/>
              </m:rPr>
              <w:rPr>
                <w:rFonts w:ascii="Cambria Math" w:eastAsiaTheme="minorEastAsia" w:hAnsi="Cambria Math"/>
              </w:rPr>
              <m:t>X</m:t>
            </m:r>
          </m:e>
          <m:sub>
            <m:r>
              <w:rPr>
                <w:rFonts w:ascii="Cambria Math" w:eastAsiaTheme="minorEastAsia" w:hAnsi="Cambria Math"/>
              </w:rPr>
              <m:t>E</m:t>
            </m:r>
          </m:sub>
        </m:sSub>
      </m:oMath>
      <w:r>
        <w:rPr>
          <w:rFonts w:eastAsiaTheme="minorEastAsia"/>
        </w:rPr>
        <w:t xml:space="preserve">.  We note further that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A</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&gt;</m:t>
        </m:r>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rPr>
          <w:rFonts w:eastAsiaTheme="minorEastAsia"/>
        </w:rPr>
        <w:t xml:space="preserve"> for </w:t>
      </w:r>
      <m:oMath>
        <m:r>
          <w:rPr>
            <w:rFonts w:ascii="Cambria Math" w:eastAsiaTheme="minorEastAsia" w:hAnsi="Cambria Math"/>
          </w:rPr>
          <m:t>R=0</m:t>
        </m:r>
      </m:oMath>
      <w:r>
        <w:rPr>
          <w:rFonts w:eastAsiaTheme="minorEastAsia"/>
        </w:rPr>
        <w:t xml:space="preserve">, and that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&gt;</m:t>
        </m:r>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A</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rPr>
          <w:rFonts w:eastAsiaTheme="minorEastAsia"/>
        </w:rPr>
        <w:t xml:space="preserve"> for </w:t>
      </w:r>
      <m:oMath>
        <m:r>
          <w:rPr>
            <w:rFonts w:ascii="Cambria Math" w:eastAsiaTheme="minorEastAsia" w:hAnsi="Cambria Math"/>
          </w:rPr>
          <m:t>R=</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A</m:t>
            </m:r>
          </m:sub>
        </m:sSub>
      </m:oMath>
      <w:r>
        <w:rPr>
          <w:rFonts w:eastAsiaTheme="minorEastAsia"/>
        </w:rPr>
        <w:t xml:space="preserve">.  Since both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A</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rPr>
          <w:rFonts w:eastAsiaTheme="minorEastAsia"/>
        </w:rPr>
        <w:t xml:space="preserve"> and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m:t>
            </m:r>
          </m:sub>
          <m:sup>
            <m:r>
              <w:rPr>
                <w:rFonts w:ascii="Cambria Math" w:eastAsiaTheme="minorEastAsia" w:hAnsi="Cambria Math"/>
              </w:rPr>
              <m:t>*</m:t>
            </m:r>
          </m:sup>
        </m:sSubSup>
        <m:r>
          <w:rPr>
            <w:rFonts w:ascii="Cambria Math" w:eastAsiaTheme="minorEastAsia" w:hAnsi="Cambria Math"/>
          </w:rPr>
          <m:t>(R)</m:t>
        </m:r>
      </m:oMath>
      <w:r>
        <w:rPr>
          <w:rFonts w:eastAsiaTheme="minorEastAsia"/>
        </w:rPr>
        <w:t xml:space="preserve"> are continuous functions of </w:t>
      </w:r>
      <m:oMath>
        <m:r>
          <w:rPr>
            <w:rFonts w:ascii="Cambria Math" w:eastAsiaTheme="minorEastAsia" w:hAnsi="Cambria Math"/>
          </w:rPr>
          <m:t>R</m:t>
        </m:r>
      </m:oMath>
      <w:r>
        <w:rPr>
          <w:rFonts w:eastAsiaTheme="minorEastAsia"/>
        </w:rPr>
        <w:t xml:space="preserve">, then there exists a value </w:t>
      </w:r>
      <m:oMath>
        <m:bar>
          <m:barPr>
            <m:pos m:val="top"/>
            <m:ctrlPr>
              <w:rPr>
                <w:rFonts w:ascii="Cambria Math" w:eastAsiaTheme="minorEastAsia" w:hAnsi="Cambria Math"/>
                <w:i/>
              </w:rPr>
            </m:ctrlPr>
          </m:barPr>
          <m:e>
            <m:r>
              <w:rPr>
                <w:rFonts w:ascii="Cambria Math" w:eastAsiaTheme="minorEastAsia" w:hAnsi="Cambria Math"/>
              </w:rPr>
              <m:t>R</m:t>
            </m:r>
          </m:e>
        </m:bar>
      </m:oMath>
      <w:r>
        <w:rPr>
          <w:rFonts w:eastAsiaTheme="minorEastAsia"/>
        </w:rPr>
        <w:t xml:space="preserve">  (where </w:t>
      </w:r>
      <m:oMath>
        <m:r>
          <w:rPr>
            <w:rFonts w:ascii="Cambria Math" w:eastAsiaTheme="minorEastAsia" w:hAnsi="Cambria Math"/>
          </w:rPr>
          <m:t>0&lt;</m:t>
        </m:r>
        <m:bar>
          <m:barPr>
            <m:pos m:val="top"/>
            <m:ctrlPr>
              <w:rPr>
                <w:rFonts w:ascii="Cambria Math" w:eastAsiaTheme="minorEastAsia" w:hAnsi="Cambria Math"/>
                <w:i/>
              </w:rPr>
            </m:ctrlPr>
          </m:barPr>
          <m:e>
            <m:r>
              <w:rPr>
                <w:rFonts w:ascii="Cambria Math" w:eastAsiaTheme="minorEastAsia" w:hAnsi="Cambria Math"/>
              </w:rPr>
              <m:t>R</m:t>
            </m:r>
          </m:e>
        </m:bar>
        <m:r>
          <w:rPr>
            <w:rFonts w:ascii="Cambria Math" w:eastAsiaTheme="minorEastAsia" w:hAnsi="Cambria Math"/>
          </w:rPr>
          <m:t>&lt;</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A</m:t>
            </m:r>
          </m:sub>
        </m:sSub>
      </m:oMath>
      <w:r>
        <w:rPr>
          <w:rFonts w:eastAsiaTheme="minorEastAsia"/>
        </w:rPr>
        <w:t xml:space="preserve">) such that </w:t>
      </w:r>
      <m:oMath>
        <m:sSub>
          <m:sSubPr>
            <m:ctrlPr>
              <w:rPr>
                <w:rFonts w:ascii="Cambria Math" w:eastAsiaTheme="minorEastAsia" w:hAnsi="Cambria Math"/>
                <w:i/>
              </w:rPr>
            </m:ctrlPr>
          </m:sSubPr>
          <m:e>
            <m:d>
              <m:dPr>
                <m:begChr m:val=""/>
                <m:endChr m:val="|"/>
                <m:ctrlPr>
                  <w:rPr>
                    <w:rFonts w:ascii="Cambria Math" w:eastAsiaTheme="minorEastAsia" w:hAnsi="Cambria Math"/>
                    <w:i/>
                  </w:rPr>
                </m:ctrlPr>
              </m:dPr>
              <m:e>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A</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e>
            </m:d>
          </m:e>
          <m:sub>
            <m:r>
              <w:rPr>
                <w:rFonts w:ascii="Cambria Math" w:eastAsiaTheme="minorEastAsia" w:hAnsi="Cambria Math"/>
              </w:rPr>
              <m:t>R=</m:t>
            </m:r>
            <m:bar>
              <m:barPr>
                <m:pos m:val="top"/>
                <m:ctrlPr>
                  <w:rPr>
                    <w:rFonts w:ascii="Cambria Math" w:eastAsiaTheme="minorEastAsia" w:hAnsi="Cambria Math"/>
                    <w:i/>
                  </w:rPr>
                </m:ctrlPr>
              </m:barPr>
              <m:e>
                <m:r>
                  <w:rPr>
                    <w:rFonts w:ascii="Cambria Math" w:eastAsiaTheme="minorEastAsia" w:hAnsi="Cambria Math"/>
                  </w:rPr>
                  <m:t>R</m:t>
                </m:r>
              </m:e>
            </m:ba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e>
            </m:d>
          </m:e>
          <m:sub>
            <m:r>
              <w:rPr>
                <w:rFonts w:ascii="Cambria Math" w:eastAsiaTheme="minorEastAsia" w:hAnsi="Cambria Math"/>
              </w:rPr>
              <m:t>R=</m:t>
            </m:r>
            <m:bar>
              <m:barPr>
                <m:pos m:val="top"/>
                <m:ctrlPr>
                  <w:rPr>
                    <w:rFonts w:ascii="Cambria Math" w:eastAsiaTheme="minorEastAsia" w:hAnsi="Cambria Math"/>
                    <w:i/>
                  </w:rPr>
                </m:ctrlPr>
              </m:barPr>
              <m:e>
                <m:r>
                  <w:rPr>
                    <w:rFonts w:ascii="Cambria Math" w:eastAsiaTheme="minorEastAsia" w:hAnsi="Cambria Math"/>
                  </w:rPr>
                  <m:t>R</m:t>
                </m:r>
              </m:e>
            </m:bar>
          </m:sub>
        </m:sSub>
      </m:oMath>
      <w:r>
        <w:rPr>
          <w:rFonts w:eastAsiaTheme="minorEastAsia"/>
        </w:rPr>
        <w:t xml:space="preserve">.  Accordingly, the optimal first-period output choice for the incumbent will be to choose </w:t>
      </w:r>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(α-c)</m:t>
            </m:r>
          </m:num>
          <m:den>
            <m:r>
              <w:rPr>
                <w:rFonts w:ascii="Cambria Math" w:hAnsi="Cambria Math"/>
              </w:rPr>
              <m:t>2</m:t>
            </m:r>
          </m:den>
        </m:f>
        <m:f>
          <m:fPr>
            <m:ctrlPr>
              <w:rPr>
                <w:rFonts w:ascii="Cambria Math" w:hAnsi="Cambria Math"/>
                <w:i/>
              </w:rPr>
            </m:ctrlPr>
          </m:fPr>
          <m:num>
            <m:r>
              <w:rPr>
                <w:rFonts w:ascii="Cambria Math" w:hAnsi="Cambria Math"/>
              </w:rPr>
              <m:t>9β-2θ</m:t>
            </m:r>
          </m:num>
          <m:den>
            <m:r>
              <w:rPr>
                <w:rFonts w:ascii="Cambria Math" w:hAnsi="Cambria Math"/>
              </w:rPr>
              <m:t>(3β+θ)(3β-θ)</m:t>
            </m:r>
          </m:den>
        </m:f>
      </m:oMath>
      <w:r>
        <w:rPr>
          <w:rFonts w:eastAsiaTheme="minorEastAsia"/>
        </w:rPr>
        <w:t xml:space="preserve"> and accommodate entry when </w:t>
      </w:r>
      <m:oMath>
        <m:r>
          <w:rPr>
            <w:rFonts w:ascii="Cambria Math" w:eastAsiaTheme="minorEastAsia" w:hAnsi="Cambria Math"/>
          </w:rPr>
          <m:t>0≤R&lt;</m:t>
        </m:r>
        <m:bar>
          <m:barPr>
            <m:pos m:val="top"/>
            <m:ctrlPr>
              <w:rPr>
                <w:rFonts w:ascii="Cambria Math" w:eastAsiaTheme="minorEastAsia" w:hAnsi="Cambria Math"/>
                <w:i/>
              </w:rPr>
            </m:ctrlPr>
          </m:barPr>
          <m:e>
            <m:r>
              <w:rPr>
                <w:rFonts w:ascii="Cambria Math" w:eastAsiaTheme="minorEastAsia" w:hAnsi="Cambria Math"/>
              </w:rPr>
              <m:t>R</m:t>
            </m:r>
          </m:e>
        </m:bar>
      </m:oMath>
      <w:r>
        <w:rPr>
          <w:rFonts w:eastAsiaTheme="minorEastAsia"/>
        </w:rPr>
        <w:t xml:space="preserve">, and to choose </w:t>
      </w:r>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=max</m:t>
        </m:r>
        <m:d>
          <m:dPr>
            <m:begChr m:val="{"/>
            <m:endChr m:val="}"/>
            <m:ctrlPr>
              <w:rPr>
                <w:rFonts w:ascii="Cambria Math" w:hAnsi="Cambria Math"/>
                <w:i/>
              </w:rPr>
            </m:ctrlPr>
          </m:dPr>
          <m:e>
            <m:f>
              <m:fPr>
                <m:ctrlPr>
                  <w:rPr>
                    <w:rFonts w:ascii="Cambria Math" w:hAnsi="Cambria Math"/>
                    <w:i/>
                  </w:rPr>
                </m:ctrlPr>
              </m:fPr>
              <m:num>
                <m:r>
                  <w:rPr>
                    <w:rFonts w:ascii="Cambria Math" w:hAnsi="Cambria Math"/>
                  </w:rPr>
                  <m:t>(α-c)</m:t>
                </m:r>
              </m:num>
              <m:den>
                <m:r>
                  <w:rPr>
                    <w:rFonts w:ascii="Cambria Math" w:hAnsi="Cambria Math"/>
                  </w:rPr>
                  <m:t>2β+θ</m:t>
                </m:r>
              </m:den>
            </m:f>
            <m:r>
              <w:rPr>
                <w:rFonts w:ascii="Cambria Math" w:hAnsi="Cambria Math"/>
              </w:rPr>
              <m:t xml:space="preserve">,  </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θ</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βR</m:t>
                        </m:r>
                      </m:e>
                    </m:d>
                  </m:e>
                  <m:sup>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box>
                  </m:sup>
                </m:sSup>
              </m:num>
              <m:den>
                <m:r>
                  <w:rPr>
                    <w:rFonts w:ascii="Cambria Math" w:eastAsiaTheme="minorEastAsia" w:hAnsi="Cambria Math"/>
                  </w:rPr>
                  <m:t>θ</m:t>
                </m:r>
              </m:den>
            </m:f>
          </m:e>
        </m:d>
      </m:oMath>
      <w:r>
        <w:rPr>
          <w:rFonts w:eastAsiaTheme="minorEastAsia"/>
        </w:rPr>
        <w:t xml:space="preserve"> and deter entry when </w:t>
      </w:r>
      <m:oMath>
        <m:r>
          <w:rPr>
            <w:rFonts w:ascii="Cambria Math" w:eastAsiaTheme="minorEastAsia" w:hAnsi="Cambria Math"/>
          </w:rPr>
          <m:t>R≥</m:t>
        </m:r>
        <m:bar>
          <m:barPr>
            <m:pos m:val="top"/>
            <m:ctrlPr>
              <w:rPr>
                <w:rFonts w:ascii="Cambria Math" w:eastAsiaTheme="minorEastAsia" w:hAnsi="Cambria Math"/>
                <w:i/>
              </w:rPr>
            </m:ctrlPr>
          </m:barPr>
          <m:e>
            <m:r>
              <w:rPr>
                <w:rFonts w:ascii="Cambria Math" w:eastAsiaTheme="minorEastAsia" w:hAnsi="Cambria Math"/>
              </w:rPr>
              <m:t>R</m:t>
            </m:r>
          </m:e>
        </m:bar>
      </m:oMath>
      <w:r>
        <w:rPr>
          <w:rFonts w:eastAsiaTheme="minorEastAsia"/>
        </w:rPr>
        <w:t xml:space="preserve">.   Moreover, for  </w:t>
      </w:r>
      <m:oMath>
        <m:r>
          <w:rPr>
            <w:rFonts w:ascii="Cambria Math" w:eastAsiaTheme="minorEastAsia" w:hAnsi="Cambria Math"/>
          </w:rPr>
          <m:t>R≥</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R</m:t>
                </m:r>
              </m:e>
            </m:bar>
          </m:e>
          <m:sub>
            <m:r>
              <w:rPr>
                <w:rFonts w:ascii="Cambria Math" w:eastAsiaTheme="minorEastAsia" w:hAnsi="Cambria Math"/>
              </w:rPr>
              <m:t>D</m:t>
            </m:r>
          </m:sub>
        </m:sSub>
      </m:oMath>
      <w:r>
        <w:rPr>
          <w:rFonts w:eastAsiaTheme="minorEastAsia"/>
        </w:rPr>
        <w:t xml:space="preserve"> the incumbent will choose the same profit-maximizing output as a two-period monopolist and entry will be blockaded.</w:t>
      </w:r>
    </w:p>
    <w:p w14:paraId="0107584A" w14:textId="77777777" w:rsidR="003812D6" w:rsidRPr="003812D6" w:rsidRDefault="003812D6" w:rsidP="007C24E3">
      <w:pPr>
        <w:spacing w:line="480" w:lineRule="auto"/>
        <w:rPr>
          <w:rFonts w:eastAsiaTheme="minorEastAsia"/>
        </w:rPr>
      </w:pPr>
      <w:r>
        <w:rPr>
          <w:b/>
          <w:bCs/>
        </w:rPr>
        <w:br w:type="page"/>
      </w:r>
    </w:p>
    <w:p w14:paraId="11D2CECD" w14:textId="77777777" w:rsidR="009B04A9" w:rsidRPr="003F635B" w:rsidRDefault="009B04A9" w:rsidP="007C24E3">
      <w:pPr>
        <w:spacing w:line="480" w:lineRule="auto"/>
        <w:ind w:firstLine="0"/>
        <w:rPr>
          <w:b/>
          <w:bCs/>
        </w:rPr>
      </w:pPr>
      <w:r w:rsidRPr="003F635B">
        <w:rPr>
          <w:b/>
          <w:bCs/>
        </w:rPr>
        <w:lastRenderedPageBreak/>
        <w:t xml:space="preserve">APPENDIX </w:t>
      </w:r>
      <w:r>
        <w:rPr>
          <w:b/>
          <w:bCs/>
        </w:rPr>
        <w:t>D</w:t>
      </w:r>
      <w:r w:rsidRPr="003F635B">
        <w:rPr>
          <w:b/>
          <w:bCs/>
        </w:rPr>
        <w:t xml:space="preserve"> </w:t>
      </w:r>
    </w:p>
    <w:p w14:paraId="5F543FA0" w14:textId="31F3CCFF" w:rsidR="009B04A9" w:rsidRDefault="00507138" w:rsidP="007C24E3">
      <w:pPr>
        <w:spacing w:line="480" w:lineRule="auto"/>
      </w:pPr>
      <w:r>
        <w:t>W</w:t>
      </w:r>
      <w:r w:rsidR="009B04A9">
        <w:t xml:space="preserve">hen </w:t>
      </w:r>
      <m:oMath>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β</m:t>
            </m:r>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3</m:t>
                    </m:r>
                  </m:den>
                </m:f>
              </m:e>
            </m:d>
          </m:e>
          <m:sup>
            <m:r>
              <w:rPr>
                <w:rFonts w:ascii="Cambria Math" w:eastAsiaTheme="minorEastAsia" w:hAnsi="Cambria Math"/>
              </w:rPr>
              <m:t>2</m:t>
            </m:r>
          </m:sup>
        </m:sSup>
      </m:oMath>
      <w:r>
        <w:rPr>
          <w:rFonts w:eastAsiaTheme="minorEastAsia"/>
        </w:rPr>
        <w:t xml:space="preserve">, </w:t>
      </w:r>
      <w:r w:rsidR="009B04A9">
        <w:rPr>
          <w:rFonts w:eastAsiaTheme="minorEastAsia"/>
        </w:rPr>
        <w:t>partition (31b) applies</w:t>
      </w:r>
      <w:r w:rsidR="007C78B1">
        <w:rPr>
          <w:rFonts w:eastAsiaTheme="minorEastAsia"/>
        </w:rPr>
        <w:t xml:space="preserve">.  We show that </w:t>
      </w:r>
      <w:r w:rsidR="009B04A9">
        <w:rPr>
          <w:rFonts w:eastAsiaTheme="minorEastAsia"/>
        </w:rPr>
        <w:t xml:space="preserve">there is a threshold value of entry costs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R</m:t>
                </m:r>
              </m:e>
            </m:acc>
          </m:e>
          <m:sub>
            <m:r>
              <w:rPr>
                <w:rFonts w:ascii="Cambria Math" w:eastAsiaTheme="minorEastAsia" w:hAnsi="Cambria Math"/>
              </w:rPr>
              <m:t>L</m:t>
            </m:r>
          </m:sub>
        </m:sSub>
      </m:oMath>
      <w:r w:rsidR="009B04A9">
        <w:rPr>
          <w:rFonts w:eastAsiaTheme="minorEastAsia"/>
        </w:rPr>
        <w:t xml:space="preserve"> such that preemption will be carried out by choosing </w:t>
      </w:r>
      <m:oMath>
        <m:r>
          <w:rPr>
            <w:rFonts w:ascii="Cambria Math" w:eastAsiaTheme="minorEastAsia" w:hAnsi="Cambria Math"/>
          </w:rPr>
          <m:t>X=min</m:t>
        </m:r>
        <m:d>
          <m:dPr>
            <m:ctrlPr>
              <w:rPr>
                <w:rFonts w:ascii="Cambria Math" w:eastAsiaTheme="minorEastAsia" w:hAnsi="Cambria Math"/>
                <w:i/>
              </w:rPr>
            </m:ctrlPr>
          </m:dPr>
          <m:e>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L</m:t>
                </m:r>
              </m:sub>
            </m:sSub>
            <m:r>
              <w:rPr>
                <w:rFonts w:ascii="Cambria Math" w:eastAsiaTheme="minorEastAsia" w:hAnsi="Cambria Math"/>
              </w:rPr>
              <m:t xml:space="preserve">(R); </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2β+θ</m:t>
                </m:r>
              </m:den>
            </m:f>
          </m:e>
        </m:d>
      </m:oMath>
      <w:r w:rsidR="009B04A9">
        <w:rPr>
          <w:rFonts w:eastAsiaTheme="minorEastAsia"/>
        </w:rPr>
        <w:t xml:space="preserve"> rather than </w:t>
      </w:r>
      <m:oMath>
        <m:r>
          <w:rPr>
            <w:rFonts w:ascii="Cambria Math" w:eastAsiaTheme="minorEastAsia" w:hAnsi="Cambria Math"/>
          </w:rPr>
          <m:t>X=</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H</m:t>
            </m:r>
          </m:sub>
        </m:sSub>
        <m:d>
          <m:dPr>
            <m:ctrlPr>
              <w:rPr>
                <w:rFonts w:ascii="Cambria Math" w:eastAsiaTheme="minorEastAsia" w:hAnsi="Cambria Math"/>
                <w:i/>
              </w:rPr>
            </m:ctrlPr>
          </m:dPr>
          <m:e>
            <m:r>
              <w:rPr>
                <w:rFonts w:ascii="Cambria Math" w:eastAsiaTheme="minorEastAsia" w:hAnsi="Cambria Math"/>
              </w:rPr>
              <m:t>R</m:t>
            </m:r>
          </m:e>
        </m:d>
      </m:oMath>
      <w:r w:rsidR="00267093">
        <w:rPr>
          <w:rFonts w:eastAsiaTheme="minorEastAsia"/>
        </w:rPr>
        <w:t xml:space="preserve">, and a threshold value  </w:t>
      </w:r>
      <m:oMath>
        <m:acc>
          <m:accPr>
            <m:chr m:val="̅"/>
            <m:ctrlPr>
              <w:rPr>
                <w:rFonts w:ascii="Cambria Math" w:eastAsiaTheme="minorEastAsia" w:hAnsi="Cambria Math"/>
                <w:i/>
              </w:rPr>
            </m:ctrlPr>
          </m:accPr>
          <m:e>
            <m:r>
              <w:rPr>
                <w:rFonts w:ascii="Cambria Math" w:eastAsiaTheme="minorEastAsia" w:hAnsi="Cambria Math"/>
              </w:rPr>
              <m:t>R</m:t>
            </m:r>
          </m:e>
        </m:acc>
        <m:r>
          <w:rPr>
            <w:rFonts w:ascii="Cambria Math" w:eastAsiaTheme="minorEastAsia" w:hAnsi="Cambria Math"/>
          </w:rPr>
          <m:t>≥</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R</m:t>
                </m:r>
              </m:e>
            </m:acc>
          </m:e>
          <m:sub>
            <m:r>
              <w:rPr>
                <w:rFonts w:ascii="Cambria Math" w:eastAsiaTheme="minorEastAsia" w:hAnsi="Cambria Math"/>
              </w:rPr>
              <m:t>L</m:t>
            </m:r>
          </m:sub>
        </m:sSub>
      </m:oMath>
      <w:r w:rsidR="001352F5">
        <w:rPr>
          <w:rFonts w:eastAsiaTheme="minorEastAsia"/>
        </w:rPr>
        <w:t xml:space="preserve"> such that preemption will be </w:t>
      </w:r>
      <w:r w:rsidR="00576E82">
        <w:rPr>
          <w:rFonts w:eastAsiaTheme="minorEastAsia"/>
        </w:rPr>
        <w:t>the incumbent’s optimal strategy</w:t>
      </w:r>
      <w:r w:rsidR="00355554">
        <w:rPr>
          <w:rFonts w:eastAsiaTheme="minorEastAsia"/>
        </w:rPr>
        <w:t xml:space="preserve"> or entry will be blockaded.</w:t>
      </w:r>
    </w:p>
    <w:p w14:paraId="3E19C876" w14:textId="77777777" w:rsidR="009B04A9" w:rsidRDefault="009B04A9" w:rsidP="007C24E3">
      <w:pPr>
        <w:spacing w:line="480" w:lineRule="auto"/>
        <w:rPr>
          <w:rFonts w:eastAsiaTheme="minorEastAsia"/>
        </w:rPr>
      </w:pPr>
      <w:r>
        <w:t xml:space="preserve">Note first that entry will never profitable when </w:t>
      </w:r>
      <m:oMath>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β</m:t>
            </m:r>
          </m:den>
        </m:f>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α-c</m:t>
                </m:r>
              </m:e>
            </m:d>
          </m:e>
          <m:sup>
            <m:r>
              <w:rPr>
                <w:rFonts w:ascii="Cambria Math" w:eastAsiaTheme="minorEastAsia" w:hAnsi="Cambria Math"/>
              </w:rPr>
              <m:t>2</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θ-ϕ</m:t>
                    </m:r>
                  </m:num>
                  <m:den>
                    <m:r>
                      <w:rPr>
                        <w:rFonts w:ascii="Cambria Math" w:eastAsiaTheme="minorEastAsia" w:hAnsi="Cambria Math"/>
                      </w:rPr>
                      <m:t>2θ-ϕ</m:t>
                    </m:r>
                  </m:den>
                </m:f>
              </m:e>
            </m:d>
          </m:e>
          <m:sup>
            <m:r>
              <w:rPr>
                <w:rFonts w:ascii="Cambria Math" w:eastAsiaTheme="minorEastAsia" w:hAnsi="Cambria Math"/>
              </w:rPr>
              <m:t>2</m:t>
            </m:r>
          </m:sup>
        </m:sSup>
      </m:oMath>
      <w:r>
        <w:rPr>
          <w:rFonts w:eastAsiaTheme="minorEastAsia"/>
        </w:rPr>
        <w:t xml:space="preserve">.  Furthermore, both functions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 H</m:t>
            </m:r>
          </m:sub>
          <m:sup>
            <m:r>
              <w:rPr>
                <w:rFonts w:ascii="Cambria Math" w:eastAsiaTheme="minorEastAsia" w:hAnsi="Cambria Math"/>
              </w:rPr>
              <m:t>*</m:t>
            </m:r>
          </m:sup>
        </m:sSubSup>
        <m:r>
          <w:rPr>
            <w:rFonts w:ascii="Cambria Math" w:eastAsiaTheme="minorEastAsia" w:hAnsi="Cambria Math"/>
          </w:rPr>
          <m:t>(R)</m:t>
        </m:r>
      </m:oMath>
      <w:r>
        <w:rPr>
          <w:rFonts w:eastAsiaTheme="minorEastAsia"/>
        </w:rPr>
        <w:t xml:space="preserve"> and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 L</m:t>
            </m:r>
          </m:sub>
          <m:sup>
            <m:r>
              <w:rPr>
                <w:rFonts w:ascii="Cambria Math" w:eastAsiaTheme="minorEastAsia" w:hAnsi="Cambria Math"/>
              </w:rPr>
              <m:t>*</m:t>
            </m:r>
          </m:sup>
        </m:sSubSup>
        <m:r>
          <w:rPr>
            <w:rFonts w:ascii="Cambria Math" w:eastAsiaTheme="minorEastAsia" w:hAnsi="Cambria Math"/>
          </w:rPr>
          <m:t>(R)</m:t>
        </m:r>
      </m:oMath>
      <w:r>
        <w:rPr>
          <w:rFonts w:eastAsiaTheme="minorEastAsia"/>
          <w:iCs/>
        </w:rPr>
        <w:t xml:space="preserve"> are continuous increasing functions of </w:t>
      </w:r>
      <m:oMath>
        <m:r>
          <w:rPr>
            <w:rFonts w:ascii="Cambria Math" w:eastAsiaTheme="minorEastAsia" w:hAnsi="Cambria Math"/>
          </w:rPr>
          <m:t>R</m:t>
        </m:r>
      </m:oMath>
      <w:r>
        <w:rPr>
          <w:rFonts w:eastAsiaTheme="minorEastAsia"/>
          <w:iCs/>
        </w:rPr>
        <w:t xml:space="preserve"> for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β</m:t>
            </m:r>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3</m:t>
                    </m:r>
                  </m:den>
                </m:f>
              </m:e>
            </m:d>
          </m:e>
          <m:sup>
            <m:r>
              <w:rPr>
                <w:rFonts w:ascii="Cambria Math" w:eastAsiaTheme="minorEastAsia" w:hAnsi="Cambria Math"/>
              </w:rPr>
              <m:t>2</m:t>
            </m:r>
          </m:sup>
        </m:sSup>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β</m:t>
            </m:r>
          </m:den>
        </m:f>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α-c</m:t>
                </m:r>
              </m:e>
            </m:d>
          </m:e>
          <m:sup>
            <m:r>
              <w:rPr>
                <w:rFonts w:ascii="Cambria Math" w:eastAsiaTheme="minorEastAsia" w:hAnsi="Cambria Math"/>
              </w:rPr>
              <m:t>2</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θ-ϕ</m:t>
                    </m:r>
                  </m:num>
                  <m:den>
                    <m:r>
                      <w:rPr>
                        <w:rFonts w:ascii="Cambria Math" w:eastAsiaTheme="minorEastAsia" w:hAnsi="Cambria Math"/>
                      </w:rPr>
                      <m:t>2θ-ϕ</m:t>
                    </m:r>
                  </m:den>
                </m:f>
              </m:e>
            </m:d>
          </m:e>
          <m:sup>
            <m:r>
              <w:rPr>
                <w:rFonts w:ascii="Cambria Math" w:eastAsiaTheme="minorEastAsia" w:hAnsi="Cambria Math"/>
              </w:rPr>
              <m:t>2</m:t>
            </m:r>
          </m:sup>
        </m:sSup>
      </m:oMath>
      <w:r>
        <w:rPr>
          <w:rFonts w:eastAsiaTheme="minorEastAsia"/>
        </w:rPr>
        <w:t xml:space="preserve">.  </w:t>
      </w:r>
    </w:p>
    <w:p w14:paraId="7E2C253D" w14:textId="77777777" w:rsidR="009B04A9" w:rsidRPr="008013D9" w:rsidRDefault="009B04A9" w:rsidP="007C24E3">
      <w:pPr>
        <w:pStyle w:val="ListParagraph"/>
        <w:numPr>
          <w:ilvl w:val="0"/>
          <w:numId w:val="6"/>
        </w:numPr>
        <w:spacing w:line="480" w:lineRule="auto"/>
        <w:ind w:left="360"/>
        <w:rPr>
          <w:rFonts w:eastAsiaTheme="minorEastAsia"/>
        </w:rPr>
      </w:pPr>
      <w:r w:rsidRPr="008013D9">
        <w:rPr>
          <w:rFonts w:eastAsiaTheme="minorEastAsia"/>
        </w:rPr>
        <w:t>At the upper bound of this interval:</w:t>
      </w:r>
    </w:p>
    <w:p w14:paraId="7E9D9536" w14:textId="77777777" w:rsidR="009B04A9" w:rsidRPr="008013D9" w:rsidRDefault="009E7792" w:rsidP="007C24E3">
      <w:pPr>
        <w:pStyle w:val="ListParagraph"/>
        <w:spacing w:line="480" w:lineRule="auto"/>
        <w:ind w:left="360"/>
        <w:rPr>
          <w:rFonts w:eastAsiaTheme="minorEastAsia"/>
        </w:rPr>
      </w:pPr>
      <m:oMathPara>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L</m:t>
              </m:r>
            </m:sub>
          </m:sSub>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H</m:t>
              </m:r>
            </m:sub>
          </m:sSub>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2θ-ϕ</m:t>
              </m:r>
            </m:den>
          </m:f>
        </m:oMath>
      </m:oMathPara>
    </w:p>
    <w:p w14:paraId="7E7222C9" w14:textId="77777777" w:rsidR="009B04A9" w:rsidRDefault="009B04A9" w:rsidP="007C24E3">
      <w:pPr>
        <w:pStyle w:val="ListParagraph"/>
        <w:spacing w:line="480" w:lineRule="auto"/>
        <w:ind w:left="360"/>
        <w:rPr>
          <w:rFonts w:eastAsiaTheme="minorEastAsia"/>
        </w:rPr>
      </w:pPr>
      <w:r w:rsidRPr="008013D9">
        <w:rPr>
          <w:rFonts w:eastAsiaTheme="minorEastAsia"/>
        </w:rPr>
        <w:t xml:space="preserve">Therefore,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 H</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r>
                  <w:rPr>
                    <w:rFonts w:ascii="Cambria Math" w:eastAsiaTheme="minorEastAsia" w:hAnsi="Cambria Math"/>
                  </w:rPr>
                  <m:t xml:space="preserve">(X) </m:t>
                </m:r>
              </m:e>
            </m:d>
          </m:e>
          <m:sub>
            <m:sSub>
              <m:sSubPr>
                <m:ctrlPr>
                  <w:rPr>
                    <w:rFonts w:ascii="Cambria Math" w:eastAsiaTheme="minorEastAsia" w:hAnsi="Cambria Math"/>
                    <w:i/>
                  </w:rPr>
                </m:ctrlPr>
              </m:sSubPr>
              <m:e>
                <m:r>
                  <w:rPr>
                    <w:rFonts w:ascii="Cambria Math" w:eastAsiaTheme="minorEastAsia" w:hAnsi="Cambria Math"/>
                  </w:rPr>
                  <m:t>X=</m:t>
                </m:r>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H</m:t>
                </m:r>
              </m:sub>
            </m:sSub>
            <m:d>
              <m:dPr>
                <m:ctrlPr>
                  <w:rPr>
                    <w:rFonts w:ascii="Cambria Math" w:eastAsiaTheme="minorEastAsia" w:hAnsi="Cambria Math"/>
                    <w:i/>
                  </w:rPr>
                </m:ctrlPr>
              </m:dPr>
              <m:e>
                <m:r>
                  <w:rPr>
                    <w:rFonts w:ascii="Cambria Math" w:eastAsiaTheme="minorEastAsia" w:hAnsi="Cambria Math"/>
                  </w:rPr>
                  <m:t>R</m:t>
                </m:r>
              </m:e>
            </m:d>
          </m:sub>
        </m:sSub>
      </m:oMath>
      <w:r w:rsidRPr="008013D9">
        <w:rPr>
          <w:rFonts w:eastAsiaTheme="minorEastAsia"/>
        </w:rPr>
        <w:t xml:space="preserve">, whereas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 L</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r>
                  <w:rPr>
                    <w:rFonts w:ascii="Cambria Math" w:eastAsiaTheme="minorEastAsia" w:hAnsi="Cambria Math"/>
                  </w:rPr>
                  <m:t xml:space="preserve">(X) </m:t>
                </m:r>
              </m:e>
            </m:d>
          </m:e>
          <m:sub>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2β+θ</m:t>
                </m:r>
              </m:den>
            </m:f>
          </m:sub>
        </m:sSub>
      </m:oMath>
      <w:r w:rsidRPr="008013D9">
        <w:rPr>
          <w:rFonts w:eastAsiaTheme="minorEastAsia"/>
        </w:rPr>
        <w:t xml:space="preserve">  since </w:t>
      </w:r>
      <m:oMath>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2β+θ</m:t>
            </m:r>
          </m:den>
        </m:f>
        <m:r>
          <w:rPr>
            <w:rFonts w:ascii="Cambria Math" w:eastAsiaTheme="minorEastAsia" w:hAnsi="Cambria Math"/>
          </w:rPr>
          <m:t>&lt;</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2θ-ϕ</m:t>
            </m:r>
          </m:den>
        </m:f>
      </m:oMath>
      <w:r>
        <w:t xml:space="preserve">.  Since </w:t>
      </w:r>
      <m:oMath>
        <m:r>
          <w:rPr>
            <w:rFonts w:ascii="Cambria Math" w:hAnsi="Cambria Math"/>
          </w:rPr>
          <m:t>X=</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2β+θ</m:t>
            </m:r>
          </m:den>
        </m:f>
      </m:oMath>
      <w:r w:rsidRPr="008013D9">
        <w:rPr>
          <w:rFonts w:eastAsiaTheme="minorEastAsia"/>
        </w:rPr>
        <w:t xml:space="preserve"> is the unconstrained maximum of the function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r>
          <w:rPr>
            <w:rFonts w:ascii="Cambria Math" w:eastAsiaTheme="minorEastAsia" w:hAnsi="Cambria Math"/>
          </w:rPr>
          <m:t>(X)</m:t>
        </m:r>
      </m:oMath>
      <w:r w:rsidRPr="008013D9">
        <w:rPr>
          <w:rFonts w:eastAsiaTheme="minorEastAsia"/>
        </w:rPr>
        <w:t xml:space="preserve">, it follows that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 L</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&gt;</m:t>
        </m:r>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 H</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t xml:space="preserve"> when </w:t>
      </w:r>
      <m:oMath>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β</m:t>
            </m:r>
          </m:den>
        </m:f>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α-c</m:t>
                </m:r>
              </m:e>
            </m:d>
          </m:e>
          <m:sup>
            <m:r>
              <w:rPr>
                <w:rFonts w:ascii="Cambria Math" w:eastAsiaTheme="minorEastAsia" w:hAnsi="Cambria Math"/>
              </w:rPr>
              <m:t>2</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θ-ϕ</m:t>
                    </m:r>
                  </m:num>
                  <m:den>
                    <m:r>
                      <w:rPr>
                        <w:rFonts w:ascii="Cambria Math" w:eastAsiaTheme="minorEastAsia" w:hAnsi="Cambria Math"/>
                      </w:rPr>
                      <m:t>2θ-ϕ</m:t>
                    </m:r>
                  </m:den>
                </m:f>
              </m:e>
            </m:d>
          </m:e>
          <m:sup>
            <m:r>
              <w:rPr>
                <w:rFonts w:ascii="Cambria Math" w:eastAsiaTheme="minorEastAsia" w:hAnsi="Cambria Math"/>
              </w:rPr>
              <m:t>2</m:t>
            </m:r>
          </m:sup>
        </m:sSup>
      </m:oMath>
      <w:r w:rsidRPr="008013D9">
        <w:rPr>
          <w:rFonts w:eastAsiaTheme="minorEastAsia"/>
        </w:rPr>
        <w:t>.</w:t>
      </w:r>
    </w:p>
    <w:p w14:paraId="7BAD880E" w14:textId="77777777" w:rsidR="009B04A9" w:rsidRDefault="009B04A9" w:rsidP="007C24E3">
      <w:pPr>
        <w:pStyle w:val="ListParagraph"/>
        <w:numPr>
          <w:ilvl w:val="0"/>
          <w:numId w:val="6"/>
        </w:numPr>
        <w:spacing w:line="480" w:lineRule="auto"/>
        <w:ind w:left="360"/>
      </w:pPr>
      <w:r>
        <w:t>At the lower bound of the interval:</w:t>
      </w:r>
    </w:p>
    <w:p w14:paraId="4B4977D9" w14:textId="77777777" w:rsidR="009B04A9" w:rsidRPr="008013D9" w:rsidRDefault="009E7792" w:rsidP="007C24E3">
      <w:pPr>
        <w:pStyle w:val="ListParagraph"/>
        <w:spacing w:line="480" w:lineRule="auto"/>
        <w:ind w:left="360"/>
        <w:rPr>
          <w:rFonts w:eastAsiaTheme="minorEastAsia"/>
        </w:rPr>
      </w:pPr>
      <m:oMathPara>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L</m:t>
              </m:r>
            </m:sub>
          </m:sSub>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 xml:space="preserve">=0  ,   </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H</m:t>
              </m:r>
            </m:sub>
          </m:sSub>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3ϕ</m:t>
              </m:r>
            </m:den>
          </m:f>
        </m:oMath>
      </m:oMathPara>
    </w:p>
    <w:p w14:paraId="588F739F" w14:textId="6F9BDF7D" w:rsidR="00246E74" w:rsidRDefault="009B04A9" w:rsidP="002D24CE">
      <w:pPr>
        <w:pStyle w:val="ListParagraph"/>
        <w:spacing w:line="480" w:lineRule="auto"/>
        <w:ind w:left="360"/>
        <w:rPr>
          <w:rFonts w:eastAsiaTheme="minorEastAsia"/>
        </w:rPr>
      </w:pPr>
      <w:r>
        <w:t xml:space="preserve">Substituting these values into the function </w:t>
      </w:r>
      <m:oMath>
        <m:sSub>
          <m:sSubPr>
            <m:ctrlPr>
              <w:rPr>
                <w:rFonts w:ascii="Cambria Math" w:eastAsiaTheme="minorEastAsia" w:hAnsi="Cambria Math"/>
                <w:i/>
              </w:rPr>
            </m:ctrlPr>
          </m:sSubPr>
          <m:e>
            <m:r>
              <m:rPr>
                <m:sty m:val="p"/>
              </m:rPr>
              <w:rPr>
                <w:rFonts w:ascii="Cambria Math" w:eastAsiaTheme="minorEastAsia" w:hAnsi="Cambria Math"/>
              </w:rPr>
              <m:t>Π</m:t>
            </m:r>
          </m:e>
          <m:sub>
            <m:r>
              <w:rPr>
                <w:rFonts w:ascii="Cambria Math" w:eastAsiaTheme="minorEastAsia" w:hAnsi="Cambria Math"/>
              </w:rPr>
              <m:t>D</m:t>
            </m:r>
          </m:sub>
        </m:sSub>
        <m:r>
          <w:rPr>
            <w:rFonts w:ascii="Cambria Math" w:eastAsiaTheme="minorEastAsia" w:hAnsi="Cambria Math"/>
          </w:rPr>
          <m:t>(X)</m:t>
        </m:r>
      </m:oMath>
      <w:r>
        <w:rPr>
          <w:rFonts w:eastAsiaTheme="minorEastAsia"/>
        </w:rPr>
        <w:t xml:space="preserve">, it can be established that </w:t>
      </w:r>
      <m:oMath>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 L</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&gt;</m:t>
        </m:r>
        <m:sSubSup>
          <m:sSubSupPr>
            <m:ctrlPr>
              <w:rPr>
                <w:rFonts w:ascii="Cambria Math" w:eastAsiaTheme="minorEastAsia" w:hAnsi="Cambria Math"/>
                <w:i/>
              </w:rPr>
            </m:ctrlPr>
          </m:sSubSupPr>
          <m:e>
            <m:r>
              <m:rPr>
                <m:sty m:val="p"/>
              </m:rPr>
              <w:rPr>
                <w:rFonts w:ascii="Cambria Math" w:eastAsiaTheme="minorEastAsia" w:hAnsi="Cambria Math"/>
              </w:rPr>
              <m:t>Π</m:t>
            </m:r>
          </m:e>
          <m:sub>
            <m:r>
              <w:rPr>
                <w:rFonts w:ascii="Cambria Math" w:eastAsiaTheme="minorEastAsia" w:hAnsi="Cambria Math"/>
              </w:rPr>
              <m:t>D, H</m:t>
            </m:r>
          </m:sub>
          <m:sup>
            <m:r>
              <w:rPr>
                <w:rFonts w:ascii="Cambria Math" w:eastAsiaTheme="minorEastAsia" w:hAnsi="Cambria Math"/>
              </w:rPr>
              <m:t>*</m:t>
            </m:r>
          </m:sup>
        </m:sSubSup>
        <m:d>
          <m:dPr>
            <m:ctrlPr>
              <w:rPr>
                <w:rFonts w:ascii="Cambria Math" w:eastAsiaTheme="minorEastAsia" w:hAnsi="Cambria Math"/>
                <w:i/>
              </w:rPr>
            </m:ctrlPr>
          </m:dPr>
          <m:e>
            <m:r>
              <w:rPr>
                <w:rFonts w:ascii="Cambria Math" w:eastAsiaTheme="minorEastAsia" w:hAnsi="Cambria Math"/>
              </w:rPr>
              <m:t>R</m:t>
            </m:r>
          </m:e>
        </m:d>
      </m:oMath>
      <w:r>
        <w:rPr>
          <w:rFonts w:eastAsiaTheme="minorEastAsia"/>
        </w:rPr>
        <w:t xml:space="preserve"> if and only if </w:t>
      </w:r>
      <m:oMath>
        <m:r>
          <w:rPr>
            <w:rFonts w:ascii="Cambria Math" w:eastAsiaTheme="minorEastAsia" w:hAnsi="Cambria Math"/>
          </w:rPr>
          <m:t>6ϕ&lt;2β+θ</m:t>
        </m:r>
      </m:oMath>
      <w:r>
        <w:rPr>
          <w:rFonts w:eastAsiaTheme="minorEastAsia"/>
        </w:rPr>
        <w:t>.</w:t>
      </w:r>
      <w:r w:rsidR="007D283A">
        <w:rPr>
          <w:rFonts w:eastAsiaTheme="minorEastAsia"/>
        </w:rPr>
        <w:t xml:space="preserve">  This condition </w:t>
      </w:r>
      <w:r w:rsidR="00CA7544">
        <w:rPr>
          <w:rFonts w:eastAsiaTheme="minorEastAsia"/>
        </w:rPr>
        <w:t xml:space="preserve">holds when </w:t>
      </w:r>
      <m:oMath>
        <m:r>
          <w:rPr>
            <w:rFonts w:ascii="Cambria Math" w:eastAsiaTheme="minorEastAsia" w:hAnsi="Cambria Math"/>
          </w:rPr>
          <m:t>θ&lt;β</m:t>
        </m:r>
      </m:oMath>
      <w:r w:rsidR="007C3505">
        <w:rPr>
          <w:rFonts w:eastAsiaTheme="minorEastAsia"/>
        </w:rPr>
        <w:t xml:space="preserve"> and </w:t>
      </w:r>
      <m:oMath>
        <m:r>
          <w:rPr>
            <w:rFonts w:ascii="Cambria Math" w:eastAsiaTheme="minorEastAsia" w:hAnsi="Cambria Math"/>
          </w:rPr>
          <m:t>ϕ&lt;</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oMath>
      <w:r>
        <w:rPr>
          <w:rFonts w:eastAsiaTheme="minorEastAsia"/>
        </w:rPr>
        <w:t xml:space="preserve"> </w:t>
      </w:r>
      <w:r w:rsidR="00D62984">
        <w:rPr>
          <w:rFonts w:eastAsiaTheme="minorEastAsia"/>
        </w:rPr>
        <w:t xml:space="preserve">, </w:t>
      </w:r>
      <w:r w:rsidRPr="00495347">
        <w:rPr>
          <w:rFonts w:eastAsiaTheme="minorEastAsia"/>
        </w:rPr>
        <w:t xml:space="preserve"> </w:t>
      </w:r>
      <w:r w:rsidR="004A5B05">
        <w:rPr>
          <w:rFonts w:eastAsiaTheme="minorEastAsia"/>
        </w:rPr>
        <w:t xml:space="preserve">so </w:t>
      </w:r>
      <w:r w:rsidRPr="00495347">
        <w:rPr>
          <w:rFonts w:eastAsiaTheme="minorEastAsia"/>
        </w:rPr>
        <w:t xml:space="preserve">we can conclude that preemption will always be carried out by selecting </w:t>
      </w:r>
      <m:oMath>
        <m:r>
          <w:rPr>
            <w:rFonts w:ascii="Cambria Math" w:eastAsiaTheme="minorEastAsia" w:hAnsi="Cambria Math"/>
          </w:rPr>
          <m:t>X=min</m:t>
        </m:r>
        <m:d>
          <m:dPr>
            <m:ctrlPr>
              <w:rPr>
                <w:rFonts w:ascii="Cambria Math" w:eastAsiaTheme="minorEastAsia" w:hAnsi="Cambria Math"/>
                <w:i/>
              </w:rPr>
            </m:ctrlPr>
          </m:dPr>
          <m:e>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L</m:t>
                </m:r>
              </m:sub>
            </m:sSub>
            <m:r>
              <w:rPr>
                <w:rFonts w:ascii="Cambria Math" w:eastAsiaTheme="minorEastAsia" w:hAnsi="Cambria Math"/>
              </w:rPr>
              <m:t xml:space="preserve">(R); </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2β+θ</m:t>
                </m:r>
              </m:den>
            </m:f>
          </m:e>
        </m:d>
      </m:oMath>
      <w:r w:rsidRPr="00495347">
        <w:rPr>
          <w:rFonts w:eastAsiaTheme="minorEastAsia"/>
        </w:rPr>
        <w:t xml:space="preserve"> for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β</m:t>
            </m:r>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3</m:t>
                    </m:r>
                  </m:den>
                </m:f>
              </m:e>
            </m:d>
          </m:e>
          <m:sup>
            <m:r>
              <w:rPr>
                <w:rFonts w:ascii="Cambria Math" w:eastAsiaTheme="minorEastAsia" w:hAnsi="Cambria Math"/>
              </w:rPr>
              <m:t>2</m:t>
            </m:r>
          </m:sup>
        </m:sSup>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β</m:t>
            </m:r>
          </m:den>
        </m:f>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α-c</m:t>
                </m:r>
              </m:e>
            </m:d>
          </m:e>
          <m:sup>
            <m:r>
              <w:rPr>
                <w:rFonts w:ascii="Cambria Math" w:eastAsiaTheme="minorEastAsia" w:hAnsi="Cambria Math"/>
              </w:rPr>
              <m:t>2</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θ-ϕ</m:t>
                    </m:r>
                  </m:num>
                  <m:den>
                    <m:r>
                      <w:rPr>
                        <w:rFonts w:ascii="Cambria Math" w:eastAsiaTheme="minorEastAsia" w:hAnsi="Cambria Math"/>
                      </w:rPr>
                      <m:t>2θ-ϕ</m:t>
                    </m:r>
                  </m:den>
                </m:f>
              </m:e>
            </m:d>
          </m:e>
          <m:sup>
            <m:r>
              <w:rPr>
                <w:rFonts w:ascii="Cambria Math" w:eastAsiaTheme="minorEastAsia" w:hAnsi="Cambria Math"/>
              </w:rPr>
              <m:t>2</m:t>
            </m:r>
          </m:sup>
        </m:sSup>
      </m:oMath>
      <w:r w:rsidRPr="00495347">
        <w:rPr>
          <w:rFonts w:eastAsiaTheme="minorEastAsia"/>
        </w:rPr>
        <w:t xml:space="preserve">.   </w:t>
      </w:r>
      <w:r w:rsidR="007866BF">
        <w:rPr>
          <w:rFonts w:eastAsiaTheme="minorEastAsia"/>
        </w:rPr>
        <w:t xml:space="preserve">Moreover, </w:t>
      </w:r>
      <w:r w:rsidRPr="00495347">
        <w:rPr>
          <w:rFonts w:eastAsiaTheme="minorEastAsia"/>
        </w:rPr>
        <w:t xml:space="preserve">there exists a value </w:t>
      </w:r>
      <m:oMath>
        <m:acc>
          <m:accPr>
            <m:chr m:val="̅"/>
            <m:ctrlPr>
              <w:rPr>
                <w:rFonts w:ascii="Cambria Math" w:eastAsiaTheme="minorEastAsia" w:hAnsi="Cambria Math"/>
                <w:i/>
              </w:rPr>
            </m:ctrlPr>
          </m:accPr>
          <m:e>
            <m:r>
              <w:rPr>
                <w:rFonts w:ascii="Cambria Math" w:eastAsiaTheme="minorEastAsia" w:hAnsi="Cambria Math"/>
              </w:rPr>
              <m:t>R</m:t>
            </m:r>
          </m:e>
        </m:acc>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R</m:t>
                    </m:r>
                  </m:e>
                </m:acc>
              </m:e>
              <m:sub>
                <m:r>
                  <w:rPr>
                    <w:rFonts w:ascii="Cambria Math" w:eastAsiaTheme="minorEastAsia" w:hAnsi="Cambria Math"/>
                  </w:rPr>
                  <m:t>L</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β</m:t>
                </m:r>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3</m:t>
                        </m:r>
                      </m:den>
                    </m:f>
                  </m:e>
                </m:d>
              </m:e>
              <m:sup>
                <m:r>
                  <w:rPr>
                    <w:rFonts w:ascii="Cambria Math" w:eastAsiaTheme="minorEastAsia" w:hAnsi="Cambria Math"/>
                  </w:rPr>
                  <m:t>2</m:t>
                </m:r>
              </m:sup>
            </m:sSup>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β</m:t>
                </m:r>
              </m:den>
            </m:f>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α-c</m:t>
                    </m:r>
                  </m:e>
                </m:d>
              </m:e>
              <m:sup>
                <m:r>
                  <w:rPr>
                    <w:rFonts w:ascii="Cambria Math" w:eastAsiaTheme="minorEastAsia" w:hAnsi="Cambria Math"/>
                  </w:rPr>
                  <m:t>2</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θ-ϕ</m:t>
                        </m:r>
                      </m:num>
                      <m:den>
                        <m:r>
                          <w:rPr>
                            <w:rFonts w:ascii="Cambria Math" w:eastAsiaTheme="minorEastAsia" w:hAnsi="Cambria Math"/>
                          </w:rPr>
                          <m:t>2θ-ϕ</m:t>
                        </m:r>
                      </m:den>
                    </m:f>
                  </m:e>
                </m:d>
              </m:e>
              <m:sup>
                <m:r>
                  <w:rPr>
                    <w:rFonts w:ascii="Cambria Math" w:eastAsiaTheme="minorEastAsia" w:hAnsi="Cambria Math"/>
                  </w:rPr>
                  <m:t>2</m:t>
                </m:r>
              </m:sup>
            </m:sSup>
          </m:e>
        </m:d>
      </m:oMath>
      <w:r w:rsidRPr="00495347">
        <w:rPr>
          <w:rFonts w:eastAsiaTheme="minorEastAsia"/>
        </w:rPr>
        <w:t xml:space="preserve"> </w:t>
      </w:r>
      <w:r w:rsidRPr="00495347">
        <w:rPr>
          <w:rFonts w:eastAsiaTheme="minorEastAsia"/>
        </w:rPr>
        <w:lastRenderedPageBreak/>
        <w:t>such that</w:t>
      </w:r>
      <w:r w:rsidR="00C14FE3">
        <w:rPr>
          <w:rFonts w:eastAsiaTheme="minorEastAsia"/>
        </w:rPr>
        <w:t xml:space="preserve">entry </w:t>
      </w:r>
      <w:r w:rsidR="00817988">
        <w:rPr>
          <w:rFonts w:eastAsiaTheme="minorEastAsia"/>
        </w:rPr>
        <w:t xml:space="preserve">will be preempted or blockaded and first-period output will be </w:t>
      </w:r>
      <m:oMath>
        <m:r>
          <w:rPr>
            <w:rFonts w:ascii="Cambria Math" w:eastAsiaTheme="minorEastAsia" w:hAnsi="Cambria Math"/>
          </w:rPr>
          <m:t>X=min</m:t>
        </m:r>
        <m:d>
          <m:dPr>
            <m:ctrlPr>
              <w:rPr>
                <w:rFonts w:ascii="Cambria Math" w:eastAsiaTheme="minorEastAsia" w:hAnsi="Cambria Math"/>
                <w:i/>
              </w:rPr>
            </m:ctrlPr>
          </m:dPr>
          <m:e>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L</m:t>
                </m:r>
              </m:sub>
            </m:sSub>
            <m:r>
              <w:rPr>
                <w:rFonts w:ascii="Cambria Math" w:eastAsiaTheme="minorEastAsia" w:hAnsi="Cambria Math"/>
              </w:rPr>
              <m:t xml:space="preserve">(R); </m:t>
            </m:r>
            <m:f>
              <m:fPr>
                <m:ctrlPr>
                  <w:rPr>
                    <w:rFonts w:ascii="Cambria Math" w:eastAsiaTheme="minorEastAsia" w:hAnsi="Cambria Math"/>
                    <w:i/>
                  </w:rPr>
                </m:ctrlPr>
              </m:fPr>
              <m:num>
                <m:r>
                  <w:rPr>
                    <w:rFonts w:ascii="Cambria Math" w:eastAsiaTheme="minorEastAsia" w:hAnsi="Cambria Math"/>
                  </w:rPr>
                  <m:t>α-c</m:t>
                </m:r>
              </m:num>
              <m:den>
                <m:r>
                  <w:rPr>
                    <w:rFonts w:ascii="Cambria Math" w:eastAsiaTheme="minorEastAsia" w:hAnsi="Cambria Math"/>
                  </w:rPr>
                  <m:t>2β+θ</m:t>
                </m:r>
              </m:den>
            </m:f>
          </m:e>
        </m:d>
      </m:oMath>
      <w:r w:rsidRPr="00495347">
        <w:rPr>
          <w:rFonts w:eastAsiaTheme="minorEastAsia"/>
        </w:rPr>
        <w:t xml:space="preserve"> .</w:t>
      </w:r>
    </w:p>
    <w:sectPr w:rsidR="00246E74" w:rsidSect="003F1C80">
      <w:footerReference w:type="default" r:id="rId11"/>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49EB5" w14:textId="77777777" w:rsidR="009E7792" w:rsidRDefault="009E7792" w:rsidP="00AD6879">
      <w:r>
        <w:separator/>
      </w:r>
    </w:p>
  </w:endnote>
  <w:endnote w:type="continuationSeparator" w:id="0">
    <w:p w14:paraId="7052422B" w14:textId="77777777" w:rsidR="009E7792" w:rsidRDefault="009E7792" w:rsidP="00AD6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270190"/>
      <w:docPartObj>
        <w:docPartGallery w:val="Page Numbers (Bottom of Page)"/>
        <w:docPartUnique/>
      </w:docPartObj>
    </w:sdtPr>
    <w:sdtEndPr>
      <w:rPr>
        <w:noProof/>
      </w:rPr>
    </w:sdtEndPr>
    <w:sdtContent>
      <w:p w14:paraId="5CAE9B7F" w14:textId="56013BF9" w:rsidR="005C5DF8" w:rsidRDefault="005C5DF8">
        <w:pPr>
          <w:pStyle w:val="Footer"/>
          <w:jc w:val="right"/>
        </w:pPr>
        <w:r>
          <w:fldChar w:fldCharType="begin"/>
        </w:r>
        <w:r>
          <w:instrText xml:space="preserve"> PAGE   \* MERGEFORMAT </w:instrText>
        </w:r>
        <w:r>
          <w:fldChar w:fldCharType="separate"/>
        </w:r>
        <w:r w:rsidR="00601A14">
          <w:rPr>
            <w:noProof/>
          </w:rPr>
          <w:t>5</w:t>
        </w:r>
        <w:r>
          <w:rPr>
            <w:noProof/>
          </w:rPr>
          <w:fldChar w:fldCharType="end"/>
        </w:r>
      </w:p>
    </w:sdtContent>
  </w:sdt>
  <w:p w14:paraId="31904F9F" w14:textId="77777777" w:rsidR="005C5DF8" w:rsidRDefault="005C5D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DBA47" w14:textId="77777777" w:rsidR="009E7792" w:rsidRDefault="009E7792" w:rsidP="00AD6879">
      <w:r>
        <w:separator/>
      </w:r>
    </w:p>
  </w:footnote>
  <w:footnote w:type="continuationSeparator" w:id="0">
    <w:p w14:paraId="46B5DF8D" w14:textId="77777777" w:rsidR="009E7792" w:rsidRDefault="009E7792" w:rsidP="00AD68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406D"/>
    <w:multiLevelType w:val="hybridMultilevel"/>
    <w:tmpl w:val="A79ED656"/>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 w15:restartNumberingAfterBreak="0">
    <w:nsid w:val="10A12A4E"/>
    <w:multiLevelType w:val="hybridMultilevel"/>
    <w:tmpl w:val="D1B0D1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200826"/>
    <w:multiLevelType w:val="hybridMultilevel"/>
    <w:tmpl w:val="A08A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6112A"/>
    <w:multiLevelType w:val="hybridMultilevel"/>
    <w:tmpl w:val="1B8E5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A0171"/>
    <w:multiLevelType w:val="hybridMultilevel"/>
    <w:tmpl w:val="FBDEF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6B0028"/>
    <w:multiLevelType w:val="hybridMultilevel"/>
    <w:tmpl w:val="59522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A01452"/>
    <w:multiLevelType w:val="hybridMultilevel"/>
    <w:tmpl w:val="5E86C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E366C"/>
    <w:multiLevelType w:val="hybridMultilevel"/>
    <w:tmpl w:val="3D32F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7"/>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7A1"/>
    <w:rsid w:val="0000137C"/>
    <w:rsid w:val="00003AAA"/>
    <w:rsid w:val="00010654"/>
    <w:rsid w:val="000219E5"/>
    <w:rsid w:val="000222FE"/>
    <w:rsid w:val="0002373C"/>
    <w:rsid w:val="00026FDB"/>
    <w:rsid w:val="0002731C"/>
    <w:rsid w:val="00030F1F"/>
    <w:rsid w:val="00036942"/>
    <w:rsid w:val="000403B5"/>
    <w:rsid w:val="00041810"/>
    <w:rsid w:val="0004485D"/>
    <w:rsid w:val="000566B8"/>
    <w:rsid w:val="000615D8"/>
    <w:rsid w:val="0006485E"/>
    <w:rsid w:val="000712CF"/>
    <w:rsid w:val="000719ED"/>
    <w:rsid w:val="00072E8E"/>
    <w:rsid w:val="000746F9"/>
    <w:rsid w:val="0008531E"/>
    <w:rsid w:val="00086F27"/>
    <w:rsid w:val="000879A4"/>
    <w:rsid w:val="000960EC"/>
    <w:rsid w:val="0009741E"/>
    <w:rsid w:val="000975F5"/>
    <w:rsid w:val="000A06B7"/>
    <w:rsid w:val="000A104A"/>
    <w:rsid w:val="000A7DC0"/>
    <w:rsid w:val="000B09B0"/>
    <w:rsid w:val="000B1B69"/>
    <w:rsid w:val="000B2680"/>
    <w:rsid w:val="000B354C"/>
    <w:rsid w:val="000B4D36"/>
    <w:rsid w:val="000B5134"/>
    <w:rsid w:val="000B76E7"/>
    <w:rsid w:val="000C14A3"/>
    <w:rsid w:val="000C57D9"/>
    <w:rsid w:val="000C5FCC"/>
    <w:rsid w:val="000C68C2"/>
    <w:rsid w:val="000C774F"/>
    <w:rsid w:val="000D0071"/>
    <w:rsid w:val="000D0AFD"/>
    <w:rsid w:val="000D55EA"/>
    <w:rsid w:val="000E1CA1"/>
    <w:rsid w:val="000E279D"/>
    <w:rsid w:val="000E3E72"/>
    <w:rsid w:val="000E44DB"/>
    <w:rsid w:val="000E7489"/>
    <w:rsid w:val="000F0D08"/>
    <w:rsid w:val="000F0DAD"/>
    <w:rsid w:val="000F1B94"/>
    <w:rsid w:val="000F466E"/>
    <w:rsid w:val="000F62DF"/>
    <w:rsid w:val="00104027"/>
    <w:rsid w:val="0010547D"/>
    <w:rsid w:val="00105CD3"/>
    <w:rsid w:val="001110A1"/>
    <w:rsid w:val="001132B7"/>
    <w:rsid w:val="001132C5"/>
    <w:rsid w:val="00114B0A"/>
    <w:rsid w:val="00115A62"/>
    <w:rsid w:val="00117D8D"/>
    <w:rsid w:val="00123677"/>
    <w:rsid w:val="00124D47"/>
    <w:rsid w:val="0012548D"/>
    <w:rsid w:val="001304F2"/>
    <w:rsid w:val="0013262E"/>
    <w:rsid w:val="00133ED3"/>
    <w:rsid w:val="00134497"/>
    <w:rsid w:val="001352F5"/>
    <w:rsid w:val="001377A1"/>
    <w:rsid w:val="0014046D"/>
    <w:rsid w:val="0014120C"/>
    <w:rsid w:val="00141F04"/>
    <w:rsid w:val="00146475"/>
    <w:rsid w:val="00150C8A"/>
    <w:rsid w:val="00152CA0"/>
    <w:rsid w:val="00153F94"/>
    <w:rsid w:val="00161355"/>
    <w:rsid w:val="00162196"/>
    <w:rsid w:val="00162E44"/>
    <w:rsid w:val="001636BC"/>
    <w:rsid w:val="00172EBD"/>
    <w:rsid w:val="0017630E"/>
    <w:rsid w:val="0018061A"/>
    <w:rsid w:val="00182199"/>
    <w:rsid w:val="0018546A"/>
    <w:rsid w:val="00185930"/>
    <w:rsid w:val="001949D2"/>
    <w:rsid w:val="00195E1E"/>
    <w:rsid w:val="001B3472"/>
    <w:rsid w:val="001B3786"/>
    <w:rsid w:val="001B457A"/>
    <w:rsid w:val="001B7E1A"/>
    <w:rsid w:val="001C1771"/>
    <w:rsid w:val="001C4B8D"/>
    <w:rsid w:val="001E1ADB"/>
    <w:rsid w:val="001E353C"/>
    <w:rsid w:val="001E4C3A"/>
    <w:rsid w:val="001E4E8D"/>
    <w:rsid w:val="001F1258"/>
    <w:rsid w:val="001F3E54"/>
    <w:rsid w:val="001F4657"/>
    <w:rsid w:val="001F4897"/>
    <w:rsid w:val="001F75FA"/>
    <w:rsid w:val="00205324"/>
    <w:rsid w:val="00205562"/>
    <w:rsid w:val="00205A2E"/>
    <w:rsid w:val="002075D2"/>
    <w:rsid w:val="002156EE"/>
    <w:rsid w:val="00221D0D"/>
    <w:rsid w:val="00226E5C"/>
    <w:rsid w:val="0023517F"/>
    <w:rsid w:val="00240A3E"/>
    <w:rsid w:val="002426B0"/>
    <w:rsid w:val="002461ED"/>
    <w:rsid w:val="00246A83"/>
    <w:rsid w:val="00246E74"/>
    <w:rsid w:val="002519E8"/>
    <w:rsid w:val="002535B4"/>
    <w:rsid w:val="00255294"/>
    <w:rsid w:val="00266121"/>
    <w:rsid w:val="00267093"/>
    <w:rsid w:val="0027032E"/>
    <w:rsid w:val="002728FE"/>
    <w:rsid w:val="00272FFA"/>
    <w:rsid w:val="00274B53"/>
    <w:rsid w:val="0028123A"/>
    <w:rsid w:val="00281FAA"/>
    <w:rsid w:val="0028251A"/>
    <w:rsid w:val="00283B21"/>
    <w:rsid w:val="00284E9B"/>
    <w:rsid w:val="00285CA1"/>
    <w:rsid w:val="0029794E"/>
    <w:rsid w:val="002A2886"/>
    <w:rsid w:val="002A707B"/>
    <w:rsid w:val="002B0D08"/>
    <w:rsid w:val="002B104D"/>
    <w:rsid w:val="002B413B"/>
    <w:rsid w:val="002B5270"/>
    <w:rsid w:val="002B6EB0"/>
    <w:rsid w:val="002C0B8A"/>
    <w:rsid w:val="002C0E02"/>
    <w:rsid w:val="002C6EA3"/>
    <w:rsid w:val="002D0DCC"/>
    <w:rsid w:val="002D24CE"/>
    <w:rsid w:val="002D5324"/>
    <w:rsid w:val="002D786B"/>
    <w:rsid w:val="002E3839"/>
    <w:rsid w:val="002E7A03"/>
    <w:rsid w:val="002F2B85"/>
    <w:rsid w:val="002F4D25"/>
    <w:rsid w:val="00300133"/>
    <w:rsid w:val="00302DB6"/>
    <w:rsid w:val="00304530"/>
    <w:rsid w:val="00307A28"/>
    <w:rsid w:val="00313349"/>
    <w:rsid w:val="00314B6E"/>
    <w:rsid w:val="00316139"/>
    <w:rsid w:val="00316841"/>
    <w:rsid w:val="00316AB7"/>
    <w:rsid w:val="003209EB"/>
    <w:rsid w:val="00321D71"/>
    <w:rsid w:val="003227E0"/>
    <w:rsid w:val="00324660"/>
    <w:rsid w:val="00325EF3"/>
    <w:rsid w:val="0033083B"/>
    <w:rsid w:val="00331692"/>
    <w:rsid w:val="00334D11"/>
    <w:rsid w:val="00336B27"/>
    <w:rsid w:val="00341BF2"/>
    <w:rsid w:val="0034366E"/>
    <w:rsid w:val="00345DC8"/>
    <w:rsid w:val="00347813"/>
    <w:rsid w:val="0035075E"/>
    <w:rsid w:val="0035541D"/>
    <w:rsid w:val="00355554"/>
    <w:rsid w:val="00357298"/>
    <w:rsid w:val="00361693"/>
    <w:rsid w:val="00367789"/>
    <w:rsid w:val="0037320C"/>
    <w:rsid w:val="003812D6"/>
    <w:rsid w:val="003862CD"/>
    <w:rsid w:val="003873CD"/>
    <w:rsid w:val="003900D6"/>
    <w:rsid w:val="0039349C"/>
    <w:rsid w:val="00394780"/>
    <w:rsid w:val="0039728F"/>
    <w:rsid w:val="003A22A2"/>
    <w:rsid w:val="003B19A6"/>
    <w:rsid w:val="003B301D"/>
    <w:rsid w:val="003B4133"/>
    <w:rsid w:val="003C36F0"/>
    <w:rsid w:val="003C6D88"/>
    <w:rsid w:val="003D382C"/>
    <w:rsid w:val="003D3CEF"/>
    <w:rsid w:val="003E3F3C"/>
    <w:rsid w:val="003E403E"/>
    <w:rsid w:val="003F1C80"/>
    <w:rsid w:val="003F67C8"/>
    <w:rsid w:val="0040150E"/>
    <w:rsid w:val="0040775D"/>
    <w:rsid w:val="00415A2B"/>
    <w:rsid w:val="004163D2"/>
    <w:rsid w:val="0042695C"/>
    <w:rsid w:val="00430A25"/>
    <w:rsid w:val="00433BD1"/>
    <w:rsid w:val="0043566E"/>
    <w:rsid w:val="00436639"/>
    <w:rsid w:val="004418D1"/>
    <w:rsid w:val="0044600F"/>
    <w:rsid w:val="004478CA"/>
    <w:rsid w:val="004506D1"/>
    <w:rsid w:val="0045470C"/>
    <w:rsid w:val="00457B6C"/>
    <w:rsid w:val="0047370F"/>
    <w:rsid w:val="004753EA"/>
    <w:rsid w:val="004763EF"/>
    <w:rsid w:val="00476660"/>
    <w:rsid w:val="00481405"/>
    <w:rsid w:val="00482B7A"/>
    <w:rsid w:val="004855FD"/>
    <w:rsid w:val="00485953"/>
    <w:rsid w:val="00485FE6"/>
    <w:rsid w:val="0049178B"/>
    <w:rsid w:val="00495064"/>
    <w:rsid w:val="004A1C3F"/>
    <w:rsid w:val="004A5B05"/>
    <w:rsid w:val="004B1B3B"/>
    <w:rsid w:val="004B7FE9"/>
    <w:rsid w:val="004C305C"/>
    <w:rsid w:val="004C6E53"/>
    <w:rsid w:val="004D0B44"/>
    <w:rsid w:val="004D0B4D"/>
    <w:rsid w:val="004D497C"/>
    <w:rsid w:val="004D515A"/>
    <w:rsid w:val="004D5ED8"/>
    <w:rsid w:val="004E2ECA"/>
    <w:rsid w:val="004E55F7"/>
    <w:rsid w:val="004E7B72"/>
    <w:rsid w:val="004F0A7F"/>
    <w:rsid w:val="004F135E"/>
    <w:rsid w:val="004F45F1"/>
    <w:rsid w:val="004F5B3D"/>
    <w:rsid w:val="004F61B5"/>
    <w:rsid w:val="00501FAF"/>
    <w:rsid w:val="005044D0"/>
    <w:rsid w:val="005052E9"/>
    <w:rsid w:val="00505B32"/>
    <w:rsid w:val="00507138"/>
    <w:rsid w:val="00514175"/>
    <w:rsid w:val="00515E05"/>
    <w:rsid w:val="0051704F"/>
    <w:rsid w:val="005211AD"/>
    <w:rsid w:val="00533657"/>
    <w:rsid w:val="00533B3D"/>
    <w:rsid w:val="00533C43"/>
    <w:rsid w:val="00533E95"/>
    <w:rsid w:val="00534F96"/>
    <w:rsid w:val="00535150"/>
    <w:rsid w:val="00542649"/>
    <w:rsid w:val="00543062"/>
    <w:rsid w:val="00547A26"/>
    <w:rsid w:val="00550951"/>
    <w:rsid w:val="00567CF8"/>
    <w:rsid w:val="00572BB7"/>
    <w:rsid w:val="00575F02"/>
    <w:rsid w:val="00576AE0"/>
    <w:rsid w:val="00576E82"/>
    <w:rsid w:val="0058583F"/>
    <w:rsid w:val="00585EA6"/>
    <w:rsid w:val="00593337"/>
    <w:rsid w:val="0059379F"/>
    <w:rsid w:val="005958EC"/>
    <w:rsid w:val="005A3414"/>
    <w:rsid w:val="005A4D1C"/>
    <w:rsid w:val="005A4ED9"/>
    <w:rsid w:val="005A609F"/>
    <w:rsid w:val="005B2B12"/>
    <w:rsid w:val="005B4044"/>
    <w:rsid w:val="005B43C1"/>
    <w:rsid w:val="005C5DF8"/>
    <w:rsid w:val="005D1100"/>
    <w:rsid w:val="005D152A"/>
    <w:rsid w:val="005D24B3"/>
    <w:rsid w:val="005D42E6"/>
    <w:rsid w:val="005D5079"/>
    <w:rsid w:val="005E20AA"/>
    <w:rsid w:val="005E4288"/>
    <w:rsid w:val="005E47D9"/>
    <w:rsid w:val="005E4F22"/>
    <w:rsid w:val="005E7374"/>
    <w:rsid w:val="005E76A5"/>
    <w:rsid w:val="005F3A20"/>
    <w:rsid w:val="005F5CA5"/>
    <w:rsid w:val="006004B7"/>
    <w:rsid w:val="006014CD"/>
    <w:rsid w:val="006016B1"/>
    <w:rsid w:val="00601A14"/>
    <w:rsid w:val="00610252"/>
    <w:rsid w:val="00611299"/>
    <w:rsid w:val="00611337"/>
    <w:rsid w:val="00614D7C"/>
    <w:rsid w:val="00615D58"/>
    <w:rsid w:val="00616EB7"/>
    <w:rsid w:val="00622D8B"/>
    <w:rsid w:val="006236C7"/>
    <w:rsid w:val="006273AC"/>
    <w:rsid w:val="00627FA9"/>
    <w:rsid w:val="0063370A"/>
    <w:rsid w:val="00635AE9"/>
    <w:rsid w:val="00646083"/>
    <w:rsid w:val="00646D2A"/>
    <w:rsid w:val="00656270"/>
    <w:rsid w:val="0066019E"/>
    <w:rsid w:val="0066054A"/>
    <w:rsid w:val="006616C5"/>
    <w:rsid w:val="0066349C"/>
    <w:rsid w:val="006644A2"/>
    <w:rsid w:val="006656E7"/>
    <w:rsid w:val="0066621E"/>
    <w:rsid w:val="0066742F"/>
    <w:rsid w:val="00671D54"/>
    <w:rsid w:val="00672CF0"/>
    <w:rsid w:val="00673103"/>
    <w:rsid w:val="00683AA3"/>
    <w:rsid w:val="0068651E"/>
    <w:rsid w:val="00690B7F"/>
    <w:rsid w:val="006931D1"/>
    <w:rsid w:val="006946DC"/>
    <w:rsid w:val="00697A63"/>
    <w:rsid w:val="00697EB3"/>
    <w:rsid w:val="006A3C40"/>
    <w:rsid w:val="006A43DA"/>
    <w:rsid w:val="006B144E"/>
    <w:rsid w:val="006B4973"/>
    <w:rsid w:val="006B50CB"/>
    <w:rsid w:val="006B6D5F"/>
    <w:rsid w:val="006C2402"/>
    <w:rsid w:val="006C58CB"/>
    <w:rsid w:val="006C7420"/>
    <w:rsid w:val="006D1C58"/>
    <w:rsid w:val="006D2770"/>
    <w:rsid w:val="006D28B0"/>
    <w:rsid w:val="006D3C2D"/>
    <w:rsid w:val="006D5AFA"/>
    <w:rsid w:val="006D6EEB"/>
    <w:rsid w:val="006E1B57"/>
    <w:rsid w:val="006E32AE"/>
    <w:rsid w:val="006E38C3"/>
    <w:rsid w:val="006E47BC"/>
    <w:rsid w:val="006E4EB1"/>
    <w:rsid w:val="006E6B19"/>
    <w:rsid w:val="006F10DE"/>
    <w:rsid w:val="006F1D6B"/>
    <w:rsid w:val="006F2054"/>
    <w:rsid w:val="006F4A01"/>
    <w:rsid w:val="00700C9B"/>
    <w:rsid w:val="00702135"/>
    <w:rsid w:val="007035FD"/>
    <w:rsid w:val="0070589E"/>
    <w:rsid w:val="0070773B"/>
    <w:rsid w:val="0071415D"/>
    <w:rsid w:val="00714E32"/>
    <w:rsid w:val="00715FE5"/>
    <w:rsid w:val="007167EE"/>
    <w:rsid w:val="0072629A"/>
    <w:rsid w:val="00727B98"/>
    <w:rsid w:val="0073068E"/>
    <w:rsid w:val="00730EA1"/>
    <w:rsid w:val="0073485C"/>
    <w:rsid w:val="00741BD4"/>
    <w:rsid w:val="00747B01"/>
    <w:rsid w:val="00753918"/>
    <w:rsid w:val="00753BC4"/>
    <w:rsid w:val="00753D8D"/>
    <w:rsid w:val="00753FE7"/>
    <w:rsid w:val="00754103"/>
    <w:rsid w:val="00755037"/>
    <w:rsid w:val="00757673"/>
    <w:rsid w:val="00760491"/>
    <w:rsid w:val="007604E8"/>
    <w:rsid w:val="00765AF8"/>
    <w:rsid w:val="00771D05"/>
    <w:rsid w:val="00772E80"/>
    <w:rsid w:val="00774199"/>
    <w:rsid w:val="00780145"/>
    <w:rsid w:val="007813E8"/>
    <w:rsid w:val="00782AF4"/>
    <w:rsid w:val="007866BF"/>
    <w:rsid w:val="00790830"/>
    <w:rsid w:val="00795274"/>
    <w:rsid w:val="007A12E5"/>
    <w:rsid w:val="007A232E"/>
    <w:rsid w:val="007A3399"/>
    <w:rsid w:val="007A37FA"/>
    <w:rsid w:val="007A40E4"/>
    <w:rsid w:val="007B1F02"/>
    <w:rsid w:val="007B31EE"/>
    <w:rsid w:val="007B558B"/>
    <w:rsid w:val="007B6690"/>
    <w:rsid w:val="007C24E3"/>
    <w:rsid w:val="007C30C3"/>
    <w:rsid w:val="007C3505"/>
    <w:rsid w:val="007C3A59"/>
    <w:rsid w:val="007C78B1"/>
    <w:rsid w:val="007C7EA5"/>
    <w:rsid w:val="007D22FC"/>
    <w:rsid w:val="007D2492"/>
    <w:rsid w:val="007D283A"/>
    <w:rsid w:val="007D2ABA"/>
    <w:rsid w:val="007D3156"/>
    <w:rsid w:val="007D3DB4"/>
    <w:rsid w:val="007E0DD0"/>
    <w:rsid w:val="007E28DF"/>
    <w:rsid w:val="007E7E8F"/>
    <w:rsid w:val="007F1FBF"/>
    <w:rsid w:val="007F2E75"/>
    <w:rsid w:val="007F459F"/>
    <w:rsid w:val="007F66E1"/>
    <w:rsid w:val="00801BB5"/>
    <w:rsid w:val="008029D0"/>
    <w:rsid w:val="00807D38"/>
    <w:rsid w:val="00810078"/>
    <w:rsid w:val="008118EC"/>
    <w:rsid w:val="00813257"/>
    <w:rsid w:val="00817988"/>
    <w:rsid w:val="0082077A"/>
    <w:rsid w:val="00821349"/>
    <w:rsid w:val="0084060E"/>
    <w:rsid w:val="00844664"/>
    <w:rsid w:val="00846F4E"/>
    <w:rsid w:val="008471EE"/>
    <w:rsid w:val="00860C5E"/>
    <w:rsid w:val="00861B09"/>
    <w:rsid w:val="008669AA"/>
    <w:rsid w:val="00874E52"/>
    <w:rsid w:val="00881636"/>
    <w:rsid w:val="00881F03"/>
    <w:rsid w:val="00892B53"/>
    <w:rsid w:val="008935B2"/>
    <w:rsid w:val="00897379"/>
    <w:rsid w:val="008A11DE"/>
    <w:rsid w:val="008A5A50"/>
    <w:rsid w:val="008A6DDB"/>
    <w:rsid w:val="008B082E"/>
    <w:rsid w:val="008B0AD1"/>
    <w:rsid w:val="008B3FC6"/>
    <w:rsid w:val="008B4DB9"/>
    <w:rsid w:val="008C6C25"/>
    <w:rsid w:val="008D46A1"/>
    <w:rsid w:val="008E0FB0"/>
    <w:rsid w:val="008E76AB"/>
    <w:rsid w:val="008E771B"/>
    <w:rsid w:val="008F1C9A"/>
    <w:rsid w:val="008F42FD"/>
    <w:rsid w:val="00906F4F"/>
    <w:rsid w:val="00914251"/>
    <w:rsid w:val="009176CF"/>
    <w:rsid w:val="00921E11"/>
    <w:rsid w:val="00921F42"/>
    <w:rsid w:val="0092275E"/>
    <w:rsid w:val="00925878"/>
    <w:rsid w:val="00930624"/>
    <w:rsid w:val="0093601F"/>
    <w:rsid w:val="0093673D"/>
    <w:rsid w:val="00936A8F"/>
    <w:rsid w:val="00940127"/>
    <w:rsid w:val="00942063"/>
    <w:rsid w:val="0094243E"/>
    <w:rsid w:val="00942CE1"/>
    <w:rsid w:val="00944D17"/>
    <w:rsid w:val="00945B49"/>
    <w:rsid w:val="0095128A"/>
    <w:rsid w:val="0095241B"/>
    <w:rsid w:val="00952CF3"/>
    <w:rsid w:val="00952D71"/>
    <w:rsid w:val="00960102"/>
    <w:rsid w:val="00960621"/>
    <w:rsid w:val="009608F6"/>
    <w:rsid w:val="009609D2"/>
    <w:rsid w:val="00964AB5"/>
    <w:rsid w:val="00967285"/>
    <w:rsid w:val="00967A7F"/>
    <w:rsid w:val="00971211"/>
    <w:rsid w:val="0097193C"/>
    <w:rsid w:val="00972912"/>
    <w:rsid w:val="00972B68"/>
    <w:rsid w:val="009735EA"/>
    <w:rsid w:val="0098140C"/>
    <w:rsid w:val="00981D5A"/>
    <w:rsid w:val="00982CC9"/>
    <w:rsid w:val="0098700C"/>
    <w:rsid w:val="0099016F"/>
    <w:rsid w:val="00990414"/>
    <w:rsid w:val="009946B2"/>
    <w:rsid w:val="00996FCB"/>
    <w:rsid w:val="009A008F"/>
    <w:rsid w:val="009A1C9B"/>
    <w:rsid w:val="009A3952"/>
    <w:rsid w:val="009A63F9"/>
    <w:rsid w:val="009A75F5"/>
    <w:rsid w:val="009B04A9"/>
    <w:rsid w:val="009B6F35"/>
    <w:rsid w:val="009C1E56"/>
    <w:rsid w:val="009D12F6"/>
    <w:rsid w:val="009D2386"/>
    <w:rsid w:val="009E7792"/>
    <w:rsid w:val="009F05FE"/>
    <w:rsid w:val="009F0849"/>
    <w:rsid w:val="009F12CB"/>
    <w:rsid w:val="009F2279"/>
    <w:rsid w:val="00A0081E"/>
    <w:rsid w:val="00A01B3C"/>
    <w:rsid w:val="00A07D9A"/>
    <w:rsid w:val="00A1095E"/>
    <w:rsid w:val="00A1222E"/>
    <w:rsid w:val="00A20C12"/>
    <w:rsid w:val="00A226B8"/>
    <w:rsid w:val="00A24DDB"/>
    <w:rsid w:val="00A4390A"/>
    <w:rsid w:val="00A4463C"/>
    <w:rsid w:val="00A47CDD"/>
    <w:rsid w:val="00A52CD9"/>
    <w:rsid w:val="00A52E3C"/>
    <w:rsid w:val="00A5507A"/>
    <w:rsid w:val="00A57576"/>
    <w:rsid w:val="00A57AD5"/>
    <w:rsid w:val="00A6242E"/>
    <w:rsid w:val="00A71134"/>
    <w:rsid w:val="00A71C99"/>
    <w:rsid w:val="00A742AF"/>
    <w:rsid w:val="00A753D8"/>
    <w:rsid w:val="00A76280"/>
    <w:rsid w:val="00A80D70"/>
    <w:rsid w:val="00A83A42"/>
    <w:rsid w:val="00A85199"/>
    <w:rsid w:val="00A85D9F"/>
    <w:rsid w:val="00A861DE"/>
    <w:rsid w:val="00A90C2A"/>
    <w:rsid w:val="00A97D94"/>
    <w:rsid w:val="00AA27A0"/>
    <w:rsid w:val="00AA5D4C"/>
    <w:rsid w:val="00AB44D6"/>
    <w:rsid w:val="00AB65DF"/>
    <w:rsid w:val="00AB67C9"/>
    <w:rsid w:val="00AC1389"/>
    <w:rsid w:val="00AD042C"/>
    <w:rsid w:val="00AD452E"/>
    <w:rsid w:val="00AD5081"/>
    <w:rsid w:val="00AD585F"/>
    <w:rsid w:val="00AD5C5B"/>
    <w:rsid w:val="00AD6879"/>
    <w:rsid w:val="00AE63D8"/>
    <w:rsid w:val="00AF09A9"/>
    <w:rsid w:val="00AF22AF"/>
    <w:rsid w:val="00B031F9"/>
    <w:rsid w:val="00B06BE0"/>
    <w:rsid w:val="00B12064"/>
    <w:rsid w:val="00B154D6"/>
    <w:rsid w:val="00B22831"/>
    <w:rsid w:val="00B22837"/>
    <w:rsid w:val="00B2460B"/>
    <w:rsid w:val="00B249CF"/>
    <w:rsid w:val="00B262FF"/>
    <w:rsid w:val="00B26D5D"/>
    <w:rsid w:val="00B310D3"/>
    <w:rsid w:val="00B3400F"/>
    <w:rsid w:val="00B3639B"/>
    <w:rsid w:val="00B365BA"/>
    <w:rsid w:val="00B36A58"/>
    <w:rsid w:val="00B3710E"/>
    <w:rsid w:val="00B436AE"/>
    <w:rsid w:val="00B44FAF"/>
    <w:rsid w:val="00B500A6"/>
    <w:rsid w:val="00B544AB"/>
    <w:rsid w:val="00B60D0E"/>
    <w:rsid w:val="00B6485F"/>
    <w:rsid w:val="00B6680D"/>
    <w:rsid w:val="00B7005F"/>
    <w:rsid w:val="00B71D6F"/>
    <w:rsid w:val="00B72D81"/>
    <w:rsid w:val="00B72FC7"/>
    <w:rsid w:val="00B74343"/>
    <w:rsid w:val="00B7562B"/>
    <w:rsid w:val="00B77A52"/>
    <w:rsid w:val="00B84222"/>
    <w:rsid w:val="00B871D4"/>
    <w:rsid w:val="00B87F91"/>
    <w:rsid w:val="00B93F06"/>
    <w:rsid w:val="00B957F1"/>
    <w:rsid w:val="00BA1A78"/>
    <w:rsid w:val="00BA455B"/>
    <w:rsid w:val="00BA7EBB"/>
    <w:rsid w:val="00BB31D3"/>
    <w:rsid w:val="00BB4B83"/>
    <w:rsid w:val="00BB5EB4"/>
    <w:rsid w:val="00BC4856"/>
    <w:rsid w:val="00BC556F"/>
    <w:rsid w:val="00BC595D"/>
    <w:rsid w:val="00BC6481"/>
    <w:rsid w:val="00BC7519"/>
    <w:rsid w:val="00BD3D04"/>
    <w:rsid w:val="00BD7CFA"/>
    <w:rsid w:val="00BD7F07"/>
    <w:rsid w:val="00BE0AB5"/>
    <w:rsid w:val="00BE1F9C"/>
    <w:rsid w:val="00BE3AEB"/>
    <w:rsid w:val="00BE463A"/>
    <w:rsid w:val="00BE71F6"/>
    <w:rsid w:val="00BF076B"/>
    <w:rsid w:val="00BF470A"/>
    <w:rsid w:val="00BF4E26"/>
    <w:rsid w:val="00BF7B18"/>
    <w:rsid w:val="00C01899"/>
    <w:rsid w:val="00C03C8E"/>
    <w:rsid w:val="00C04E44"/>
    <w:rsid w:val="00C14FE3"/>
    <w:rsid w:val="00C15B1C"/>
    <w:rsid w:val="00C17799"/>
    <w:rsid w:val="00C27DC2"/>
    <w:rsid w:val="00C33908"/>
    <w:rsid w:val="00C33A9D"/>
    <w:rsid w:val="00C34E80"/>
    <w:rsid w:val="00C365EF"/>
    <w:rsid w:val="00C36A08"/>
    <w:rsid w:val="00C36F77"/>
    <w:rsid w:val="00C429C7"/>
    <w:rsid w:val="00C4425B"/>
    <w:rsid w:val="00C4474F"/>
    <w:rsid w:val="00C524B6"/>
    <w:rsid w:val="00C53090"/>
    <w:rsid w:val="00C67182"/>
    <w:rsid w:val="00C675D9"/>
    <w:rsid w:val="00C700D1"/>
    <w:rsid w:val="00C71781"/>
    <w:rsid w:val="00C717EC"/>
    <w:rsid w:val="00C72E13"/>
    <w:rsid w:val="00C80A9D"/>
    <w:rsid w:val="00C84A26"/>
    <w:rsid w:val="00C93700"/>
    <w:rsid w:val="00C9736B"/>
    <w:rsid w:val="00CA20DD"/>
    <w:rsid w:val="00CA6AC3"/>
    <w:rsid w:val="00CA7544"/>
    <w:rsid w:val="00CB0C17"/>
    <w:rsid w:val="00CB34B7"/>
    <w:rsid w:val="00CB6051"/>
    <w:rsid w:val="00CB6E19"/>
    <w:rsid w:val="00CB7851"/>
    <w:rsid w:val="00CC0169"/>
    <w:rsid w:val="00CC3B8F"/>
    <w:rsid w:val="00CC3D62"/>
    <w:rsid w:val="00CC797F"/>
    <w:rsid w:val="00CC7AF2"/>
    <w:rsid w:val="00CD25F5"/>
    <w:rsid w:val="00CE563D"/>
    <w:rsid w:val="00CE76EF"/>
    <w:rsid w:val="00CF5E8E"/>
    <w:rsid w:val="00CF7E9F"/>
    <w:rsid w:val="00D053A4"/>
    <w:rsid w:val="00D078D1"/>
    <w:rsid w:val="00D1751D"/>
    <w:rsid w:val="00D17558"/>
    <w:rsid w:val="00D231BB"/>
    <w:rsid w:val="00D239EF"/>
    <w:rsid w:val="00D2699C"/>
    <w:rsid w:val="00D30742"/>
    <w:rsid w:val="00D32D9D"/>
    <w:rsid w:val="00D409B4"/>
    <w:rsid w:val="00D4236E"/>
    <w:rsid w:val="00D4758F"/>
    <w:rsid w:val="00D51D83"/>
    <w:rsid w:val="00D54541"/>
    <w:rsid w:val="00D56389"/>
    <w:rsid w:val="00D56903"/>
    <w:rsid w:val="00D6108B"/>
    <w:rsid w:val="00D62984"/>
    <w:rsid w:val="00D67FB4"/>
    <w:rsid w:val="00D709B1"/>
    <w:rsid w:val="00D74F3E"/>
    <w:rsid w:val="00D754E3"/>
    <w:rsid w:val="00D93A3C"/>
    <w:rsid w:val="00D93ECB"/>
    <w:rsid w:val="00D96B26"/>
    <w:rsid w:val="00DA1F83"/>
    <w:rsid w:val="00DA521F"/>
    <w:rsid w:val="00DA7A3B"/>
    <w:rsid w:val="00DB05C4"/>
    <w:rsid w:val="00DB2756"/>
    <w:rsid w:val="00DC218C"/>
    <w:rsid w:val="00DC2E70"/>
    <w:rsid w:val="00DC71F1"/>
    <w:rsid w:val="00DD5FFA"/>
    <w:rsid w:val="00DD7092"/>
    <w:rsid w:val="00DD7AE2"/>
    <w:rsid w:val="00DE7FD1"/>
    <w:rsid w:val="00DF07B8"/>
    <w:rsid w:val="00DF089E"/>
    <w:rsid w:val="00DF3804"/>
    <w:rsid w:val="00DF3B4C"/>
    <w:rsid w:val="00E00334"/>
    <w:rsid w:val="00E0034A"/>
    <w:rsid w:val="00E03719"/>
    <w:rsid w:val="00E05582"/>
    <w:rsid w:val="00E14355"/>
    <w:rsid w:val="00E21890"/>
    <w:rsid w:val="00E22975"/>
    <w:rsid w:val="00E2552A"/>
    <w:rsid w:val="00E25639"/>
    <w:rsid w:val="00E31E96"/>
    <w:rsid w:val="00E3649B"/>
    <w:rsid w:val="00E418B2"/>
    <w:rsid w:val="00E4273C"/>
    <w:rsid w:val="00E45616"/>
    <w:rsid w:val="00E54E5C"/>
    <w:rsid w:val="00E56F30"/>
    <w:rsid w:val="00E659DB"/>
    <w:rsid w:val="00E662F7"/>
    <w:rsid w:val="00E67244"/>
    <w:rsid w:val="00E7056B"/>
    <w:rsid w:val="00E7183C"/>
    <w:rsid w:val="00E724E5"/>
    <w:rsid w:val="00E749A8"/>
    <w:rsid w:val="00E74BDF"/>
    <w:rsid w:val="00E810AE"/>
    <w:rsid w:val="00E82686"/>
    <w:rsid w:val="00E83E92"/>
    <w:rsid w:val="00E919D2"/>
    <w:rsid w:val="00E91BCF"/>
    <w:rsid w:val="00E933EF"/>
    <w:rsid w:val="00E953B5"/>
    <w:rsid w:val="00E9569D"/>
    <w:rsid w:val="00E95F66"/>
    <w:rsid w:val="00E978DA"/>
    <w:rsid w:val="00EA08D1"/>
    <w:rsid w:val="00EA0CE1"/>
    <w:rsid w:val="00EA748E"/>
    <w:rsid w:val="00EA762D"/>
    <w:rsid w:val="00EB4450"/>
    <w:rsid w:val="00EB4708"/>
    <w:rsid w:val="00EB4745"/>
    <w:rsid w:val="00EB5426"/>
    <w:rsid w:val="00EB54C9"/>
    <w:rsid w:val="00EB698F"/>
    <w:rsid w:val="00EC0B98"/>
    <w:rsid w:val="00EC546E"/>
    <w:rsid w:val="00EC5C5E"/>
    <w:rsid w:val="00EC652C"/>
    <w:rsid w:val="00ED14BC"/>
    <w:rsid w:val="00ED362A"/>
    <w:rsid w:val="00ED60DE"/>
    <w:rsid w:val="00ED6588"/>
    <w:rsid w:val="00EE1452"/>
    <w:rsid w:val="00EE1C42"/>
    <w:rsid w:val="00EF0575"/>
    <w:rsid w:val="00EF54D0"/>
    <w:rsid w:val="00F03BC9"/>
    <w:rsid w:val="00F129D3"/>
    <w:rsid w:val="00F224B0"/>
    <w:rsid w:val="00F25494"/>
    <w:rsid w:val="00F27565"/>
    <w:rsid w:val="00F27EB6"/>
    <w:rsid w:val="00F32629"/>
    <w:rsid w:val="00F34C0C"/>
    <w:rsid w:val="00F36038"/>
    <w:rsid w:val="00F41440"/>
    <w:rsid w:val="00F46498"/>
    <w:rsid w:val="00F53303"/>
    <w:rsid w:val="00F53FEA"/>
    <w:rsid w:val="00F7569F"/>
    <w:rsid w:val="00F7707B"/>
    <w:rsid w:val="00F81C53"/>
    <w:rsid w:val="00F831DD"/>
    <w:rsid w:val="00F869B7"/>
    <w:rsid w:val="00F86EA0"/>
    <w:rsid w:val="00F877A1"/>
    <w:rsid w:val="00F920EE"/>
    <w:rsid w:val="00F96EB6"/>
    <w:rsid w:val="00F96FA2"/>
    <w:rsid w:val="00FA0704"/>
    <w:rsid w:val="00FA1544"/>
    <w:rsid w:val="00FA41CA"/>
    <w:rsid w:val="00FA487D"/>
    <w:rsid w:val="00FA556A"/>
    <w:rsid w:val="00FA6100"/>
    <w:rsid w:val="00FA6B58"/>
    <w:rsid w:val="00FB1527"/>
    <w:rsid w:val="00FC0860"/>
    <w:rsid w:val="00FC5AFA"/>
    <w:rsid w:val="00FD049B"/>
    <w:rsid w:val="00FD15CF"/>
    <w:rsid w:val="00FD3499"/>
    <w:rsid w:val="00FD7869"/>
    <w:rsid w:val="00FE3512"/>
    <w:rsid w:val="00FE4E9B"/>
    <w:rsid w:val="00FE73A3"/>
    <w:rsid w:val="00FF015C"/>
    <w:rsid w:val="00FF14A3"/>
    <w:rsid w:val="00FF1A3A"/>
    <w:rsid w:val="00FF4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4B719"/>
  <w15:docId w15:val="{94798B7C-590E-461C-B666-98F709FA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288"/>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14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246E7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774F"/>
    <w:rPr>
      <w:color w:val="808080"/>
    </w:rPr>
  </w:style>
  <w:style w:type="character" w:styleId="CommentReference">
    <w:name w:val="annotation reference"/>
    <w:basedOn w:val="DefaultParagraphFont"/>
    <w:uiPriority w:val="99"/>
    <w:semiHidden/>
    <w:unhideWhenUsed/>
    <w:rsid w:val="001F75FA"/>
    <w:rPr>
      <w:sz w:val="16"/>
      <w:szCs w:val="16"/>
    </w:rPr>
  </w:style>
  <w:style w:type="paragraph" w:styleId="CommentText">
    <w:name w:val="annotation text"/>
    <w:basedOn w:val="Normal"/>
    <w:link w:val="CommentTextChar"/>
    <w:uiPriority w:val="99"/>
    <w:unhideWhenUsed/>
    <w:rsid w:val="001F75FA"/>
    <w:rPr>
      <w:sz w:val="20"/>
      <w:szCs w:val="20"/>
    </w:rPr>
  </w:style>
  <w:style w:type="character" w:customStyle="1" w:styleId="CommentTextChar">
    <w:name w:val="Comment Text Char"/>
    <w:basedOn w:val="DefaultParagraphFont"/>
    <w:link w:val="CommentText"/>
    <w:uiPriority w:val="99"/>
    <w:rsid w:val="001F75FA"/>
    <w:rPr>
      <w:sz w:val="20"/>
      <w:szCs w:val="20"/>
    </w:rPr>
  </w:style>
  <w:style w:type="paragraph" w:styleId="CommentSubject">
    <w:name w:val="annotation subject"/>
    <w:basedOn w:val="CommentText"/>
    <w:next w:val="CommentText"/>
    <w:link w:val="CommentSubjectChar"/>
    <w:uiPriority w:val="99"/>
    <w:semiHidden/>
    <w:unhideWhenUsed/>
    <w:rsid w:val="001F75FA"/>
    <w:rPr>
      <w:b/>
      <w:bCs/>
    </w:rPr>
  </w:style>
  <w:style w:type="character" w:customStyle="1" w:styleId="CommentSubjectChar">
    <w:name w:val="Comment Subject Char"/>
    <w:basedOn w:val="CommentTextChar"/>
    <w:link w:val="CommentSubject"/>
    <w:uiPriority w:val="99"/>
    <w:semiHidden/>
    <w:rsid w:val="001F75FA"/>
    <w:rPr>
      <w:b/>
      <w:bCs/>
      <w:sz w:val="20"/>
      <w:szCs w:val="20"/>
    </w:rPr>
  </w:style>
  <w:style w:type="paragraph" w:styleId="BalloonText">
    <w:name w:val="Balloon Text"/>
    <w:basedOn w:val="Normal"/>
    <w:link w:val="BalloonTextChar"/>
    <w:uiPriority w:val="99"/>
    <w:semiHidden/>
    <w:unhideWhenUsed/>
    <w:rsid w:val="008132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257"/>
    <w:rPr>
      <w:rFonts w:ascii="Segoe UI" w:hAnsi="Segoe UI" w:cs="Segoe UI"/>
      <w:sz w:val="18"/>
      <w:szCs w:val="18"/>
    </w:rPr>
  </w:style>
  <w:style w:type="paragraph" w:styleId="ListParagraph">
    <w:name w:val="List Paragraph"/>
    <w:basedOn w:val="Normal"/>
    <w:uiPriority w:val="34"/>
    <w:qFormat/>
    <w:rsid w:val="00547A26"/>
    <w:pPr>
      <w:ind w:left="720"/>
      <w:contextualSpacing/>
    </w:pPr>
  </w:style>
  <w:style w:type="paragraph" w:styleId="FootnoteText">
    <w:name w:val="footnote text"/>
    <w:basedOn w:val="Normal"/>
    <w:link w:val="FootnoteTextChar"/>
    <w:uiPriority w:val="99"/>
    <w:semiHidden/>
    <w:unhideWhenUsed/>
    <w:rsid w:val="00AD6879"/>
    <w:rPr>
      <w:sz w:val="20"/>
      <w:szCs w:val="20"/>
    </w:rPr>
  </w:style>
  <w:style w:type="character" w:customStyle="1" w:styleId="FootnoteTextChar">
    <w:name w:val="Footnote Text Char"/>
    <w:basedOn w:val="DefaultParagraphFont"/>
    <w:link w:val="FootnoteText"/>
    <w:uiPriority w:val="99"/>
    <w:semiHidden/>
    <w:rsid w:val="00AD6879"/>
    <w:rPr>
      <w:sz w:val="20"/>
      <w:szCs w:val="20"/>
    </w:rPr>
  </w:style>
  <w:style w:type="character" w:styleId="FootnoteReference">
    <w:name w:val="footnote reference"/>
    <w:basedOn w:val="DefaultParagraphFont"/>
    <w:uiPriority w:val="99"/>
    <w:semiHidden/>
    <w:unhideWhenUsed/>
    <w:rsid w:val="00AD6879"/>
    <w:rPr>
      <w:vertAlign w:val="superscript"/>
    </w:rPr>
  </w:style>
  <w:style w:type="table" w:styleId="TableGrid">
    <w:name w:val="Table Grid"/>
    <w:basedOn w:val="TableNormal"/>
    <w:uiPriority w:val="39"/>
    <w:rsid w:val="00FA4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B67C9"/>
    <w:pPr>
      <w:spacing w:after="200"/>
    </w:pPr>
    <w:rPr>
      <w:i/>
      <w:iCs/>
      <w:color w:val="44546A" w:themeColor="text2"/>
      <w:sz w:val="18"/>
      <w:szCs w:val="18"/>
    </w:rPr>
  </w:style>
  <w:style w:type="character" w:styleId="HTMLCite">
    <w:name w:val="HTML Cite"/>
    <w:basedOn w:val="DefaultParagraphFont"/>
    <w:uiPriority w:val="99"/>
    <w:semiHidden/>
    <w:unhideWhenUsed/>
    <w:rsid w:val="00CF7E9F"/>
    <w:rPr>
      <w:i/>
      <w:iCs/>
    </w:rPr>
  </w:style>
  <w:style w:type="character" w:customStyle="1" w:styleId="year">
    <w:name w:val="year"/>
    <w:basedOn w:val="DefaultParagraphFont"/>
    <w:rsid w:val="00CF7E9F"/>
  </w:style>
  <w:style w:type="character" w:customStyle="1" w:styleId="Title1">
    <w:name w:val="Title1"/>
    <w:basedOn w:val="DefaultParagraphFont"/>
    <w:rsid w:val="00CF7E9F"/>
  </w:style>
  <w:style w:type="character" w:customStyle="1" w:styleId="journal">
    <w:name w:val="journal"/>
    <w:basedOn w:val="DefaultParagraphFont"/>
    <w:rsid w:val="00CF7E9F"/>
  </w:style>
  <w:style w:type="character" w:customStyle="1" w:styleId="vol">
    <w:name w:val="vol"/>
    <w:basedOn w:val="DefaultParagraphFont"/>
    <w:rsid w:val="00CF7E9F"/>
  </w:style>
  <w:style w:type="character" w:customStyle="1" w:styleId="pages">
    <w:name w:val="pages"/>
    <w:basedOn w:val="DefaultParagraphFont"/>
    <w:rsid w:val="00CF7E9F"/>
  </w:style>
  <w:style w:type="character" w:customStyle="1" w:styleId="doi">
    <w:name w:val="doi"/>
    <w:basedOn w:val="DefaultParagraphFont"/>
    <w:rsid w:val="00CF7E9F"/>
  </w:style>
  <w:style w:type="character" w:styleId="Hyperlink">
    <w:name w:val="Hyperlink"/>
    <w:basedOn w:val="DefaultParagraphFont"/>
    <w:uiPriority w:val="99"/>
    <w:unhideWhenUsed/>
    <w:rsid w:val="00CF7E9F"/>
    <w:rPr>
      <w:color w:val="0563C1" w:themeColor="hyperlink"/>
      <w:u w:val="single"/>
    </w:rPr>
  </w:style>
  <w:style w:type="character" w:customStyle="1" w:styleId="UnresolvedMention1">
    <w:name w:val="Unresolved Mention1"/>
    <w:basedOn w:val="DefaultParagraphFont"/>
    <w:uiPriority w:val="99"/>
    <w:semiHidden/>
    <w:unhideWhenUsed/>
    <w:rsid w:val="00CF7E9F"/>
    <w:rPr>
      <w:color w:val="605E5C"/>
      <w:shd w:val="clear" w:color="auto" w:fill="E1DFDD"/>
    </w:rPr>
  </w:style>
  <w:style w:type="character" w:customStyle="1" w:styleId="Heading1Char">
    <w:name w:val="Heading 1 Char"/>
    <w:basedOn w:val="DefaultParagraphFont"/>
    <w:link w:val="Heading1"/>
    <w:uiPriority w:val="9"/>
    <w:rsid w:val="00EE145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37320C"/>
    <w:pPr>
      <w:tabs>
        <w:tab w:val="center" w:pos="4680"/>
        <w:tab w:val="right" w:pos="9360"/>
      </w:tabs>
    </w:pPr>
  </w:style>
  <w:style w:type="character" w:customStyle="1" w:styleId="HeaderChar">
    <w:name w:val="Header Char"/>
    <w:basedOn w:val="DefaultParagraphFont"/>
    <w:link w:val="Header"/>
    <w:uiPriority w:val="99"/>
    <w:rsid w:val="0037320C"/>
  </w:style>
  <w:style w:type="paragraph" w:styleId="Footer">
    <w:name w:val="footer"/>
    <w:basedOn w:val="Normal"/>
    <w:link w:val="FooterChar"/>
    <w:uiPriority w:val="99"/>
    <w:unhideWhenUsed/>
    <w:rsid w:val="0037320C"/>
    <w:pPr>
      <w:tabs>
        <w:tab w:val="center" w:pos="4680"/>
        <w:tab w:val="right" w:pos="9360"/>
      </w:tabs>
    </w:pPr>
  </w:style>
  <w:style w:type="character" w:customStyle="1" w:styleId="FooterChar">
    <w:name w:val="Footer Char"/>
    <w:basedOn w:val="DefaultParagraphFont"/>
    <w:link w:val="Footer"/>
    <w:uiPriority w:val="99"/>
    <w:rsid w:val="0037320C"/>
  </w:style>
  <w:style w:type="character" w:styleId="FollowedHyperlink">
    <w:name w:val="FollowedHyperlink"/>
    <w:basedOn w:val="DefaultParagraphFont"/>
    <w:uiPriority w:val="99"/>
    <w:semiHidden/>
    <w:unhideWhenUsed/>
    <w:rsid w:val="001304F2"/>
    <w:rPr>
      <w:color w:val="954F72" w:themeColor="followedHyperlink"/>
      <w:u w:val="single"/>
    </w:rPr>
  </w:style>
  <w:style w:type="character" w:customStyle="1" w:styleId="Heading4Char">
    <w:name w:val="Heading 4 Char"/>
    <w:basedOn w:val="DefaultParagraphFont"/>
    <w:link w:val="Heading4"/>
    <w:uiPriority w:val="9"/>
    <w:semiHidden/>
    <w:rsid w:val="00246E74"/>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14120C"/>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1878">
      <w:bodyDiv w:val="1"/>
      <w:marLeft w:val="0"/>
      <w:marRight w:val="0"/>
      <w:marTop w:val="0"/>
      <w:marBottom w:val="0"/>
      <w:divBdr>
        <w:top w:val="none" w:sz="0" w:space="0" w:color="auto"/>
        <w:left w:val="none" w:sz="0" w:space="0" w:color="auto"/>
        <w:bottom w:val="none" w:sz="0" w:space="0" w:color="auto"/>
        <w:right w:val="none" w:sz="0" w:space="0" w:color="auto"/>
      </w:divBdr>
    </w:div>
    <w:div w:id="190191689">
      <w:bodyDiv w:val="1"/>
      <w:marLeft w:val="0"/>
      <w:marRight w:val="0"/>
      <w:marTop w:val="0"/>
      <w:marBottom w:val="0"/>
      <w:divBdr>
        <w:top w:val="none" w:sz="0" w:space="0" w:color="auto"/>
        <w:left w:val="none" w:sz="0" w:space="0" w:color="auto"/>
        <w:bottom w:val="none" w:sz="0" w:space="0" w:color="auto"/>
        <w:right w:val="none" w:sz="0" w:space="0" w:color="auto"/>
      </w:divBdr>
      <w:divsChild>
        <w:div w:id="471217723">
          <w:marLeft w:val="0"/>
          <w:marRight w:val="0"/>
          <w:marTop w:val="0"/>
          <w:marBottom w:val="0"/>
          <w:divBdr>
            <w:top w:val="none" w:sz="0" w:space="0" w:color="auto"/>
            <w:left w:val="none" w:sz="0" w:space="0" w:color="auto"/>
            <w:bottom w:val="none" w:sz="0" w:space="0" w:color="auto"/>
            <w:right w:val="none" w:sz="0" w:space="0" w:color="auto"/>
          </w:divBdr>
          <w:divsChild>
            <w:div w:id="18065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77248">
      <w:bodyDiv w:val="1"/>
      <w:marLeft w:val="0"/>
      <w:marRight w:val="0"/>
      <w:marTop w:val="0"/>
      <w:marBottom w:val="0"/>
      <w:divBdr>
        <w:top w:val="none" w:sz="0" w:space="0" w:color="auto"/>
        <w:left w:val="none" w:sz="0" w:space="0" w:color="auto"/>
        <w:bottom w:val="none" w:sz="0" w:space="0" w:color="auto"/>
        <w:right w:val="none" w:sz="0" w:space="0" w:color="auto"/>
      </w:divBdr>
      <w:divsChild>
        <w:div w:id="227542504">
          <w:marLeft w:val="0"/>
          <w:marRight w:val="0"/>
          <w:marTop w:val="0"/>
          <w:marBottom w:val="0"/>
          <w:divBdr>
            <w:top w:val="none" w:sz="0" w:space="0" w:color="auto"/>
            <w:left w:val="none" w:sz="0" w:space="0" w:color="auto"/>
            <w:bottom w:val="none" w:sz="0" w:space="0" w:color="auto"/>
            <w:right w:val="none" w:sz="0" w:space="0" w:color="auto"/>
          </w:divBdr>
          <w:divsChild>
            <w:div w:id="861865044">
              <w:marLeft w:val="0"/>
              <w:marRight w:val="0"/>
              <w:marTop w:val="0"/>
              <w:marBottom w:val="0"/>
              <w:divBdr>
                <w:top w:val="none" w:sz="0" w:space="0" w:color="auto"/>
                <w:left w:val="none" w:sz="0" w:space="0" w:color="auto"/>
                <w:bottom w:val="none" w:sz="0" w:space="0" w:color="auto"/>
                <w:right w:val="none" w:sz="0" w:space="0" w:color="auto"/>
              </w:divBdr>
              <w:divsChild>
                <w:div w:id="2644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238921">
      <w:bodyDiv w:val="1"/>
      <w:marLeft w:val="0"/>
      <w:marRight w:val="0"/>
      <w:marTop w:val="0"/>
      <w:marBottom w:val="0"/>
      <w:divBdr>
        <w:top w:val="none" w:sz="0" w:space="0" w:color="auto"/>
        <w:left w:val="none" w:sz="0" w:space="0" w:color="auto"/>
        <w:bottom w:val="none" w:sz="0" w:space="0" w:color="auto"/>
        <w:right w:val="none" w:sz="0" w:space="0" w:color="auto"/>
      </w:divBdr>
    </w:div>
    <w:div w:id="406805915">
      <w:bodyDiv w:val="1"/>
      <w:marLeft w:val="0"/>
      <w:marRight w:val="0"/>
      <w:marTop w:val="0"/>
      <w:marBottom w:val="0"/>
      <w:divBdr>
        <w:top w:val="none" w:sz="0" w:space="0" w:color="auto"/>
        <w:left w:val="none" w:sz="0" w:space="0" w:color="auto"/>
        <w:bottom w:val="none" w:sz="0" w:space="0" w:color="auto"/>
        <w:right w:val="none" w:sz="0" w:space="0" w:color="auto"/>
      </w:divBdr>
      <w:divsChild>
        <w:div w:id="1701854163">
          <w:marLeft w:val="0"/>
          <w:marRight w:val="0"/>
          <w:marTop w:val="0"/>
          <w:marBottom w:val="0"/>
          <w:divBdr>
            <w:top w:val="none" w:sz="0" w:space="0" w:color="auto"/>
            <w:left w:val="none" w:sz="0" w:space="0" w:color="auto"/>
            <w:bottom w:val="none" w:sz="0" w:space="0" w:color="auto"/>
            <w:right w:val="none" w:sz="0" w:space="0" w:color="auto"/>
          </w:divBdr>
          <w:divsChild>
            <w:div w:id="71959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53619">
      <w:bodyDiv w:val="1"/>
      <w:marLeft w:val="0"/>
      <w:marRight w:val="0"/>
      <w:marTop w:val="0"/>
      <w:marBottom w:val="0"/>
      <w:divBdr>
        <w:top w:val="none" w:sz="0" w:space="0" w:color="auto"/>
        <w:left w:val="none" w:sz="0" w:space="0" w:color="auto"/>
        <w:bottom w:val="none" w:sz="0" w:space="0" w:color="auto"/>
        <w:right w:val="none" w:sz="0" w:space="0" w:color="auto"/>
      </w:divBdr>
    </w:div>
    <w:div w:id="581840288">
      <w:bodyDiv w:val="1"/>
      <w:marLeft w:val="0"/>
      <w:marRight w:val="0"/>
      <w:marTop w:val="0"/>
      <w:marBottom w:val="0"/>
      <w:divBdr>
        <w:top w:val="none" w:sz="0" w:space="0" w:color="auto"/>
        <w:left w:val="none" w:sz="0" w:space="0" w:color="auto"/>
        <w:bottom w:val="none" w:sz="0" w:space="0" w:color="auto"/>
        <w:right w:val="none" w:sz="0" w:space="0" w:color="auto"/>
      </w:divBdr>
      <w:divsChild>
        <w:div w:id="126050676">
          <w:marLeft w:val="0"/>
          <w:marRight w:val="0"/>
          <w:marTop w:val="0"/>
          <w:marBottom w:val="0"/>
          <w:divBdr>
            <w:top w:val="none" w:sz="0" w:space="0" w:color="auto"/>
            <w:left w:val="none" w:sz="0" w:space="0" w:color="auto"/>
            <w:bottom w:val="none" w:sz="0" w:space="0" w:color="auto"/>
            <w:right w:val="none" w:sz="0" w:space="0" w:color="auto"/>
          </w:divBdr>
        </w:div>
        <w:div w:id="1438060236">
          <w:marLeft w:val="0"/>
          <w:marRight w:val="0"/>
          <w:marTop w:val="0"/>
          <w:marBottom w:val="0"/>
          <w:divBdr>
            <w:top w:val="none" w:sz="0" w:space="0" w:color="auto"/>
            <w:left w:val="none" w:sz="0" w:space="0" w:color="auto"/>
            <w:bottom w:val="none" w:sz="0" w:space="0" w:color="auto"/>
            <w:right w:val="none" w:sz="0" w:space="0" w:color="auto"/>
          </w:divBdr>
        </w:div>
      </w:divsChild>
    </w:div>
    <w:div w:id="896432233">
      <w:bodyDiv w:val="1"/>
      <w:marLeft w:val="0"/>
      <w:marRight w:val="0"/>
      <w:marTop w:val="0"/>
      <w:marBottom w:val="0"/>
      <w:divBdr>
        <w:top w:val="none" w:sz="0" w:space="0" w:color="auto"/>
        <w:left w:val="none" w:sz="0" w:space="0" w:color="auto"/>
        <w:bottom w:val="none" w:sz="0" w:space="0" w:color="auto"/>
        <w:right w:val="none" w:sz="0" w:space="0" w:color="auto"/>
      </w:divBdr>
      <w:divsChild>
        <w:div w:id="866601710">
          <w:marLeft w:val="0"/>
          <w:marRight w:val="0"/>
          <w:marTop w:val="0"/>
          <w:marBottom w:val="0"/>
          <w:divBdr>
            <w:top w:val="none" w:sz="0" w:space="0" w:color="auto"/>
            <w:left w:val="none" w:sz="0" w:space="0" w:color="auto"/>
            <w:bottom w:val="none" w:sz="0" w:space="0" w:color="auto"/>
            <w:right w:val="none" w:sz="0" w:space="0" w:color="auto"/>
          </w:divBdr>
          <w:divsChild>
            <w:div w:id="9114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03583">
      <w:bodyDiv w:val="1"/>
      <w:marLeft w:val="0"/>
      <w:marRight w:val="0"/>
      <w:marTop w:val="0"/>
      <w:marBottom w:val="0"/>
      <w:divBdr>
        <w:top w:val="none" w:sz="0" w:space="0" w:color="auto"/>
        <w:left w:val="none" w:sz="0" w:space="0" w:color="auto"/>
        <w:bottom w:val="none" w:sz="0" w:space="0" w:color="auto"/>
        <w:right w:val="none" w:sz="0" w:space="0" w:color="auto"/>
      </w:divBdr>
    </w:div>
    <w:div w:id="987831081">
      <w:bodyDiv w:val="1"/>
      <w:marLeft w:val="0"/>
      <w:marRight w:val="0"/>
      <w:marTop w:val="0"/>
      <w:marBottom w:val="0"/>
      <w:divBdr>
        <w:top w:val="none" w:sz="0" w:space="0" w:color="auto"/>
        <w:left w:val="none" w:sz="0" w:space="0" w:color="auto"/>
        <w:bottom w:val="none" w:sz="0" w:space="0" w:color="auto"/>
        <w:right w:val="none" w:sz="0" w:space="0" w:color="auto"/>
      </w:divBdr>
    </w:div>
    <w:div w:id="1102604357">
      <w:bodyDiv w:val="1"/>
      <w:marLeft w:val="0"/>
      <w:marRight w:val="0"/>
      <w:marTop w:val="0"/>
      <w:marBottom w:val="0"/>
      <w:divBdr>
        <w:top w:val="none" w:sz="0" w:space="0" w:color="auto"/>
        <w:left w:val="none" w:sz="0" w:space="0" w:color="auto"/>
        <w:bottom w:val="none" w:sz="0" w:space="0" w:color="auto"/>
        <w:right w:val="none" w:sz="0" w:space="0" w:color="auto"/>
      </w:divBdr>
      <w:divsChild>
        <w:div w:id="479736724">
          <w:marLeft w:val="0"/>
          <w:marRight w:val="0"/>
          <w:marTop w:val="0"/>
          <w:marBottom w:val="0"/>
          <w:divBdr>
            <w:top w:val="none" w:sz="0" w:space="0" w:color="auto"/>
            <w:left w:val="none" w:sz="0" w:space="0" w:color="auto"/>
            <w:bottom w:val="none" w:sz="0" w:space="0" w:color="auto"/>
            <w:right w:val="none" w:sz="0" w:space="0" w:color="auto"/>
          </w:divBdr>
          <w:divsChild>
            <w:div w:id="141107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07931">
      <w:bodyDiv w:val="1"/>
      <w:marLeft w:val="0"/>
      <w:marRight w:val="0"/>
      <w:marTop w:val="0"/>
      <w:marBottom w:val="0"/>
      <w:divBdr>
        <w:top w:val="none" w:sz="0" w:space="0" w:color="auto"/>
        <w:left w:val="none" w:sz="0" w:space="0" w:color="auto"/>
        <w:bottom w:val="none" w:sz="0" w:space="0" w:color="auto"/>
        <w:right w:val="none" w:sz="0" w:space="0" w:color="auto"/>
      </w:divBdr>
    </w:div>
    <w:div w:id="1351759123">
      <w:bodyDiv w:val="1"/>
      <w:marLeft w:val="0"/>
      <w:marRight w:val="0"/>
      <w:marTop w:val="0"/>
      <w:marBottom w:val="0"/>
      <w:divBdr>
        <w:top w:val="none" w:sz="0" w:space="0" w:color="auto"/>
        <w:left w:val="none" w:sz="0" w:space="0" w:color="auto"/>
        <w:bottom w:val="none" w:sz="0" w:space="0" w:color="auto"/>
        <w:right w:val="none" w:sz="0" w:space="0" w:color="auto"/>
      </w:divBdr>
      <w:divsChild>
        <w:div w:id="291862221">
          <w:marLeft w:val="0"/>
          <w:marRight w:val="0"/>
          <w:marTop w:val="0"/>
          <w:marBottom w:val="0"/>
          <w:divBdr>
            <w:top w:val="none" w:sz="0" w:space="0" w:color="auto"/>
            <w:left w:val="none" w:sz="0" w:space="0" w:color="auto"/>
            <w:bottom w:val="none" w:sz="0" w:space="0" w:color="auto"/>
            <w:right w:val="none" w:sz="0" w:space="0" w:color="auto"/>
          </w:divBdr>
          <w:divsChild>
            <w:div w:id="58295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5128">
      <w:bodyDiv w:val="1"/>
      <w:marLeft w:val="0"/>
      <w:marRight w:val="0"/>
      <w:marTop w:val="0"/>
      <w:marBottom w:val="0"/>
      <w:divBdr>
        <w:top w:val="none" w:sz="0" w:space="0" w:color="auto"/>
        <w:left w:val="none" w:sz="0" w:space="0" w:color="auto"/>
        <w:bottom w:val="none" w:sz="0" w:space="0" w:color="auto"/>
        <w:right w:val="none" w:sz="0" w:space="0" w:color="auto"/>
      </w:divBdr>
      <w:divsChild>
        <w:div w:id="1092820763">
          <w:marLeft w:val="0"/>
          <w:marRight w:val="0"/>
          <w:marTop w:val="0"/>
          <w:marBottom w:val="0"/>
          <w:divBdr>
            <w:top w:val="none" w:sz="0" w:space="0" w:color="auto"/>
            <w:left w:val="none" w:sz="0" w:space="0" w:color="auto"/>
            <w:bottom w:val="none" w:sz="0" w:space="0" w:color="auto"/>
            <w:right w:val="none" w:sz="0" w:space="0" w:color="auto"/>
          </w:divBdr>
          <w:divsChild>
            <w:div w:id="175042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003006">
      <w:bodyDiv w:val="1"/>
      <w:marLeft w:val="0"/>
      <w:marRight w:val="0"/>
      <w:marTop w:val="0"/>
      <w:marBottom w:val="0"/>
      <w:divBdr>
        <w:top w:val="none" w:sz="0" w:space="0" w:color="auto"/>
        <w:left w:val="none" w:sz="0" w:space="0" w:color="auto"/>
        <w:bottom w:val="none" w:sz="0" w:space="0" w:color="auto"/>
        <w:right w:val="none" w:sz="0" w:space="0" w:color="auto"/>
      </w:divBdr>
      <w:divsChild>
        <w:div w:id="522935565">
          <w:marLeft w:val="0"/>
          <w:marRight w:val="0"/>
          <w:marTop w:val="0"/>
          <w:marBottom w:val="0"/>
          <w:divBdr>
            <w:top w:val="none" w:sz="0" w:space="0" w:color="auto"/>
            <w:left w:val="none" w:sz="0" w:space="0" w:color="auto"/>
            <w:bottom w:val="none" w:sz="0" w:space="0" w:color="auto"/>
            <w:right w:val="none" w:sz="0" w:space="0" w:color="auto"/>
          </w:divBdr>
          <w:divsChild>
            <w:div w:id="1431051210">
              <w:marLeft w:val="0"/>
              <w:marRight w:val="0"/>
              <w:marTop w:val="0"/>
              <w:marBottom w:val="0"/>
              <w:divBdr>
                <w:top w:val="none" w:sz="0" w:space="0" w:color="auto"/>
                <w:left w:val="none" w:sz="0" w:space="0" w:color="auto"/>
                <w:bottom w:val="none" w:sz="0" w:space="0" w:color="auto"/>
                <w:right w:val="none" w:sz="0" w:space="0" w:color="auto"/>
              </w:divBdr>
              <w:divsChild>
                <w:div w:id="1725249619">
                  <w:marLeft w:val="0"/>
                  <w:marRight w:val="0"/>
                  <w:marTop w:val="0"/>
                  <w:marBottom w:val="0"/>
                  <w:divBdr>
                    <w:top w:val="none" w:sz="0" w:space="0" w:color="auto"/>
                    <w:left w:val="none" w:sz="0" w:space="0" w:color="auto"/>
                    <w:bottom w:val="none" w:sz="0" w:space="0" w:color="auto"/>
                    <w:right w:val="none" w:sz="0" w:space="0" w:color="auto"/>
                  </w:divBdr>
                  <w:divsChild>
                    <w:div w:id="647980452">
                      <w:marLeft w:val="0"/>
                      <w:marRight w:val="0"/>
                      <w:marTop w:val="0"/>
                      <w:marBottom w:val="0"/>
                      <w:divBdr>
                        <w:top w:val="none" w:sz="0" w:space="0" w:color="auto"/>
                        <w:left w:val="none" w:sz="0" w:space="0" w:color="auto"/>
                        <w:bottom w:val="none" w:sz="0" w:space="0" w:color="auto"/>
                        <w:right w:val="none" w:sz="0" w:space="0" w:color="auto"/>
                      </w:divBdr>
                      <w:divsChild>
                        <w:div w:id="1715158745">
                          <w:marLeft w:val="0"/>
                          <w:marRight w:val="0"/>
                          <w:marTop w:val="0"/>
                          <w:marBottom w:val="0"/>
                          <w:divBdr>
                            <w:top w:val="none" w:sz="0" w:space="0" w:color="auto"/>
                            <w:left w:val="none" w:sz="0" w:space="0" w:color="auto"/>
                            <w:bottom w:val="none" w:sz="0" w:space="0" w:color="auto"/>
                            <w:right w:val="none" w:sz="0" w:space="0" w:color="auto"/>
                          </w:divBdr>
                          <w:divsChild>
                            <w:div w:id="170933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1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3866">
      <w:bodyDiv w:val="1"/>
      <w:marLeft w:val="0"/>
      <w:marRight w:val="0"/>
      <w:marTop w:val="0"/>
      <w:marBottom w:val="0"/>
      <w:divBdr>
        <w:top w:val="none" w:sz="0" w:space="0" w:color="auto"/>
        <w:left w:val="none" w:sz="0" w:space="0" w:color="auto"/>
        <w:bottom w:val="none" w:sz="0" w:space="0" w:color="auto"/>
        <w:right w:val="none" w:sz="0" w:space="0" w:color="auto"/>
      </w:divBdr>
      <w:divsChild>
        <w:div w:id="1795978808">
          <w:marLeft w:val="0"/>
          <w:marRight w:val="0"/>
          <w:marTop w:val="0"/>
          <w:marBottom w:val="0"/>
          <w:divBdr>
            <w:top w:val="none" w:sz="0" w:space="0" w:color="auto"/>
            <w:left w:val="none" w:sz="0" w:space="0" w:color="auto"/>
            <w:bottom w:val="none" w:sz="0" w:space="0" w:color="auto"/>
            <w:right w:val="none" w:sz="0" w:space="0" w:color="auto"/>
          </w:divBdr>
          <w:divsChild>
            <w:div w:id="8740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31300">
      <w:bodyDiv w:val="1"/>
      <w:marLeft w:val="0"/>
      <w:marRight w:val="0"/>
      <w:marTop w:val="0"/>
      <w:marBottom w:val="0"/>
      <w:divBdr>
        <w:top w:val="none" w:sz="0" w:space="0" w:color="auto"/>
        <w:left w:val="none" w:sz="0" w:space="0" w:color="auto"/>
        <w:bottom w:val="none" w:sz="0" w:space="0" w:color="auto"/>
        <w:right w:val="none" w:sz="0" w:space="0" w:color="auto"/>
      </w:divBdr>
    </w:div>
    <w:div w:id="1604452827">
      <w:bodyDiv w:val="1"/>
      <w:marLeft w:val="0"/>
      <w:marRight w:val="0"/>
      <w:marTop w:val="0"/>
      <w:marBottom w:val="0"/>
      <w:divBdr>
        <w:top w:val="none" w:sz="0" w:space="0" w:color="auto"/>
        <w:left w:val="none" w:sz="0" w:space="0" w:color="auto"/>
        <w:bottom w:val="none" w:sz="0" w:space="0" w:color="auto"/>
        <w:right w:val="none" w:sz="0" w:space="0" w:color="auto"/>
      </w:divBdr>
      <w:divsChild>
        <w:div w:id="1284459855">
          <w:marLeft w:val="0"/>
          <w:marRight w:val="0"/>
          <w:marTop w:val="0"/>
          <w:marBottom w:val="0"/>
          <w:divBdr>
            <w:top w:val="none" w:sz="0" w:space="0" w:color="auto"/>
            <w:left w:val="none" w:sz="0" w:space="0" w:color="auto"/>
            <w:bottom w:val="none" w:sz="0" w:space="0" w:color="auto"/>
            <w:right w:val="none" w:sz="0" w:space="0" w:color="auto"/>
          </w:divBdr>
          <w:divsChild>
            <w:div w:id="264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95232">
      <w:bodyDiv w:val="1"/>
      <w:marLeft w:val="0"/>
      <w:marRight w:val="0"/>
      <w:marTop w:val="0"/>
      <w:marBottom w:val="0"/>
      <w:divBdr>
        <w:top w:val="none" w:sz="0" w:space="0" w:color="auto"/>
        <w:left w:val="none" w:sz="0" w:space="0" w:color="auto"/>
        <w:bottom w:val="none" w:sz="0" w:space="0" w:color="auto"/>
        <w:right w:val="none" w:sz="0" w:space="0" w:color="auto"/>
      </w:divBdr>
      <w:divsChild>
        <w:div w:id="1296717269">
          <w:marLeft w:val="0"/>
          <w:marRight w:val="0"/>
          <w:marTop w:val="0"/>
          <w:marBottom w:val="0"/>
          <w:divBdr>
            <w:top w:val="none" w:sz="0" w:space="0" w:color="auto"/>
            <w:left w:val="none" w:sz="0" w:space="0" w:color="auto"/>
            <w:bottom w:val="none" w:sz="0" w:space="0" w:color="auto"/>
            <w:right w:val="none" w:sz="0" w:space="0" w:color="auto"/>
          </w:divBdr>
        </w:div>
      </w:divsChild>
    </w:div>
    <w:div w:id="1671248594">
      <w:bodyDiv w:val="1"/>
      <w:marLeft w:val="0"/>
      <w:marRight w:val="0"/>
      <w:marTop w:val="0"/>
      <w:marBottom w:val="0"/>
      <w:divBdr>
        <w:top w:val="none" w:sz="0" w:space="0" w:color="auto"/>
        <w:left w:val="none" w:sz="0" w:space="0" w:color="auto"/>
        <w:bottom w:val="none" w:sz="0" w:space="0" w:color="auto"/>
        <w:right w:val="none" w:sz="0" w:space="0" w:color="auto"/>
      </w:divBdr>
    </w:div>
    <w:div w:id="1755395714">
      <w:bodyDiv w:val="1"/>
      <w:marLeft w:val="0"/>
      <w:marRight w:val="0"/>
      <w:marTop w:val="0"/>
      <w:marBottom w:val="0"/>
      <w:divBdr>
        <w:top w:val="none" w:sz="0" w:space="0" w:color="auto"/>
        <w:left w:val="none" w:sz="0" w:space="0" w:color="auto"/>
        <w:bottom w:val="none" w:sz="0" w:space="0" w:color="auto"/>
        <w:right w:val="none" w:sz="0" w:space="0" w:color="auto"/>
      </w:divBdr>
      <w:divsChild>
        <w:div w:id="83306988">
          <w:marLeft w:val="0"/>
          <w:marRight w:val="0"/>
          <w:marTop w:val="0"/>
          <w:marBottom w:val="0"/>
          <w:divBdr>
            <w:top w:val="none" w:sz="0" w:space="0" w:color="auto"/>
            <w:left w:val="none" w:sz="0" w:space="0" w:color="auto"/>
            <w:bottom w:val="none" w:sz="0" w:space="0" w:color="auto"/>
            <w:right w:val="none" w:sz="0" w:space="0" w:color="auto"/>
          </w:divBdr>
          <w:divsChild>
            <w:div w:id="16419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855819">
      <w:bodyDiv w:val="1"/>
      <w:marLeft w:val="0"/>
      <w:marRight w:val="0"/>
      <w:marTop w:val="0"/>
      <w:marBottom w:val="0"/>
      <w:divBdr>
        <w:top w:val="none" w:sz="0" w:space="0" w:color="auto"/>
        <w:left w:val="none" w:sz="0" w:space="0" w:color="auto"/>
        <w:bottom w:val="none" w:sz="0" w:space="0" w:color="auto"/>
        <w:right w:val="none" w:sz="0" w:space="0" w:color="auto"/>
      </w:divBdr>
      <w:divsChild>
        <w:div w:id="1759673469">
          <w:marLeft w:val="0"/>
          <w:marRight w:val="0"/>
          <w:marTop w:val="0"/>
          <w:marBottom w:val="0"/>
          <w:divBdr>
            <w:top w:val="none" w:sz="0" w:space="0" w:color="auto"/>
            <w:left w:val="none" w:sz="0" w:space="0" w:color="auto"/>
            <w:bottom w:val="none" w:sz="0" w:space="0" w:color="auto"/>
            <w:right w:val="none" w:sz="0" w:space="0" w:color="auto"/>
          </w:divBdr>
          <w:divsChild>
            <w:div w:id="12616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63533">
      <w:bodyDiv w:val="1"/>
      <w:marLeft w:val="0"/>
      <w:marRight w:val="0"/>
      <w:marTop w:val="0"/>
      <w:marBottom w:val="0"/>
      <w:divBdr>
        <w:top w:val="none" w:sz="0" w:space="0" w:color="auto"/>
        <w:left w:val="none" w:sz="0" w:space="0" w:color="auto"/>
        <w:bottom w:val="none" w:sz="0" w:space="0" w:color="auto"/>
        <w:right w:val="none" w:sz="0" w:space="0" w:color="auto"/>
      </w:divBdr>
    </w:div>
    <w:div w:id="1837643763">
      <w:bodyDiv w:val="1"/>
      <w:marLeft w:val="0"/>
      <w:marRight w:val="0"/>
      <w:marTop w:val="0"/>
      <w:marBottom w:val="0"/>
      <w:divBdr>
        <w:top w:val="none" w:sz="0" w:space="0" w:color="auto"/>
        <w:left w:val="none" w:sz="0" w:space="0" w:color="auto"/>
        <w:bottom w:val="none" w:sz="0" w:space="0" w:color="auto"/>
        <w:right w:val="none" w:sz="0" w:space="0" w:color="auto"/>
      </w:divBdr>
      <w:divsChild>
        <w:div w:id="93212870">
          <w:marLeft w:val="0"/>
          <w:marRight w:val="0"/>
          <w:marTop w:val="0"/>
          <w:marBottom w:val="0"/>
          <w:divBdr>
            <w:top w:val="none" w:sz="0" w:space="0" w:color="auto"/>
            <w:left w:val="none" w:sz="0" w:space="0" w:color="auto"/>
            <w:bottom w:val="none" w:sz="0" w:space="0" w:color="auto"/>
            <w:right w:val="none" w:sz="0" w:space="0" w:color="auto"/>
          </w:divBdr>
          <w:divsChild>
            <w:div w:id="135992840">
              <w:marLeft w:val="0"/>
              <w:marRight w:val="0"/>
              <w:marTop w:val="0"/>
              <w:marBottom w:val="0"/>
              <w:divBdr>
                <w:top w:val="none" w:sz="0" w:space="0" w:color="auto"/>
                <w:left w:val="none" w:sz="0" w:space="0" w:color="auto"/>
                <w:bottom w:val="none" w:sz="0" w:space="0" w:color="auto"/>
                <w:right w:val="none" w:sz="0" w:space="0" w:color="auto"/>
              </w:divBdr>
            </w:div>
            <w:div w:id="1167748824">
              <w:marLeft w:val="0"/>
              <w:marRight w:val="0"/>
              <w:marTop w:val="0"/>
              <w:marBottom w:val="0"/>
              <w:divBdr>
                <w:top w:val="none" w:sz="0" w:space="0" w:color="auto"/>
                <w:left w:val="none" w:sz="0" w:space="0" w:color="auto"/>
                <w:bottom w:val="none" w:sz="0" w:space="0" w:color="auto"/>
                <w:right w:val="none" w:sz="0" w:space="0" w:color="auto"/>
              </w:divBdr>
            </w:div>
          </w:divsChild>
        </w:div>
        <w:div w:id="1492333091">
          <w:marLeft w:val="0"/>
          <w:marRight w:val="0"/>
          <w:marTop w:val="0"/>
          <w:marBottom w:val="0"/>
          <w:divBdr>
            <w:top w:val="none" w:sz="0" w:space="0" w:color="auto"/>
            <w:left w:val="none" w:sz="0" w:space="0" w:color="auto"/>
            <w:bottom w:val="none" w:sz="0" w:space="0" w:color="auto"/>
            <w:right w:val="none" w:sz="0" w:space="0" w:color="auto"/>
          </w:divBdr>
        </w:div>
      </w:divsChild>
    </w:div>
    <w:div w:id="1855922426">
      <w:bodyDiv w:val="1"/>
      <w:marLeft w:val="0"/>
      <w:marRight w:val="0"/>
      <w:marTop w:val="0"/>
      <w:marBottom w:val="0"/>
      <w:divBdr>
        <w:top w:val="none" w:sz="0" w:space="0" w:color="auto"/>
        <w:left w:val="none" w:sz="0" w:space="0" w:color="auto"/>
        <w:bottom w:val="none" w:sz="0" w:space="0" w:color="auto"/>
        <w:right w:val="none" w:sz="0" w:space="0" w:color="auto"/>
      </w:divBdr>
      <w:divsChild>
        <w:div w:id="1574119366">
          <w:marLeft w:val="0"/>
          <w:marRight w:val="0"/>
          <w:marTop w:val="0"/>
          <w:marBottom w:val="0"/>
          <w:divBdr>
            <w:top w:val="none" w:sz="0" w:space="0" w:color="auto"/>
            <w:left w:val="none" w:sz="0" w:space="0" w:color="auto"/>
            <w:bottom w:val="none" w:sz="0" w:space="0" w:color="auto"/>
            <w:right w:val="none" w:sz="0" w:space="0" w:color="auto"/>
          </w:divBdr>
          <w:divsChild>
            <w:div w:id="177952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416667">
      <w:bodyDiv w:val="1"/>
      <w:marLeft w:val="0"/>
      <w:marRight w:val="0"/>
      <w:marTop w:val="0"/>
      <w:marBottom w:val="0"/>
      <w:divBdr>
        <w:top w:val="none" w:sz="0" w:space="0" w:color="auto"/>
        <w:left w:val="none" w:sz="0" w:space="0" w:color="auto"/>
        <w:bottom w:val="none" w:sz="0" w:space="0" w:color="auto"/>
        <w:right w:val="none" w:sz="0" w:space="0" w:color="auto"/>
      </w:divBdr>
      <w:divsChild>
        <w:div w:id="1304238488">
          <w:marLeft w:val="0"/>
          <w:marRight w:val="0"/>
          <w:marTop w:val="0"/>
          <w:marBottom w:val="0"/>
          <w:divBdr>
            <w:top w:val="none" w:sz="0" w:space="0" w:color="auto"/>
            <w:left w:val="none" w:sz="0" w:space="0" w:color="auto"/>
            <w:bottom w:val="none" w:sz="0" w:space="0" w:color="auto"/>
            <w:right w:val="none" w:sz="0" w:space="0" w:color="auto"/>
          </w:divBdr>
        </w:div>
        <w:div w:id="1429809350">
          <w:marLeft w:val="0"/>
          <w:marRight w:val="0"/>
          <w:marTop w:val="0"/>
          <w:marBottom w:val="0"/>
          <w:divBdr>
            <w:top w:val="none" w:sz="0" w:space="0" w:color="auto"/>
            <w:left w:val="none" w:sz="0" w:space="0" w:color="auto"/>
            <w:bottom w:val="none" w:sz="0" w:space="0" w:color="auto"/>
            <w:right w:val="none" w:sz="0" w:space="0" w:color="auto"/>
          </w:divBdr>
        </w:div>
      </w:divsChild>
    </w:div>
    <w:div w:id="1980527834">
      <w:bodyDiv w:val="1"/>
      <w:marLeft w:val="0"/>
      <w:marRight w:val="0"/>
      <w:marTop w:val="0"/>
      <w:marBottom w:val="0"/>
      <w:divBdr>
        <w:top w:val="none" w:sz="0" w:space="0" w:color="auto"/>
        <w:left w:val="none" w:sz="0" w:space="0" w:color="auto"/>
        <w:bottom w:val="none" w:sz="0" w:space="0" w:color="auto"/>
        <w:right w:val="none" w:sz="0" w:space="0" w:color="auto"/>
      </w:divBdr>
      <w:divsChild>
        <w:div w:id="849680756">
          <w:marLeft w:val="0"/>
          <w:marRight w:val="0"/>
          <w:marTop w:val="0"/>
          <w:marBottom w:val="0"/>
          <w:divBdr>
            <w:top w:val="none" w:sz="0" w:space="0" w:color="auto"/>
            <w:left w:val="none" w:sz="0" w:space="0" w:color="auto"/>
            <w:bottom w:val="none" w:sz="0" w:space="0" w:color="auto"/>
            <w:right w:val="none" w:sz="0" w:space="0" w:color="auto"/>
          </w:divBdr>
          <w:divsChild>
            <w:div w:id="1767386216">
              <w:marLeft w:val="0"/>
              <w:marRight w:val="0"/>
              <w:marTop w:val="0"/>
              <w:marBottom w:val="0"/>
              <w:divBdr>
                <w:top w:val="none" w:sz="0" w:space="0" w:color="auto"/>
                <w:left w:val="none" w:sz="0" w:space="0" w:color="auto"/>
                <w:bottom w:val="none" w:sz="0" w:space="0" w:color="auto"/>
                <w:right w:val="none" w:sz="0" w:space="0" w:color="auto"/>
              </w:divBdr>
              <w:divsChild>
                <w:div w:id="12269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033882">
      <w:bodyDiv w:val="1"/>
      <w:marLeft w:val="0"/>
      <w:marRight w:val="0"/>
      <w:marTop w:val="0"/>
      <w:marBottom w:val="0"/>
      <w:divBdr>
        <w:top w:val="none" w:sz="0" w:space="0" w:color="auto"/>
        <w:left w:val="none" w:sz="0" w:space="0" w:color="auto"/>
        <w:bottom w:val="none" w:sz="0" w:space="0" w:color="auto"/>
        <w:right w:val="none" w:sz="0" w:space="0" w:color="auto"/>
      </w:divBdr>
      <w:divsChild>
        <w:div w:id="628515373">
          <w:marLeft w:val="0"/>
          <w:marRight w:val="0"/>
          <w:marTop w:val="0"/>
          <w:marBottom w:val="0"/>
          <w:divBdr>
            <w:top w:val="none" w:sz="0" w:space="0" w:color="auto"/>
            <w:left w:val="none" w:sz="0" w:space="0" w:color="auto"/>
            <w:bottom w:val="none" w:sz="0" w:space="0" w:color="auto"/>
            <w:right w:val="none" w:sz="0" w:space="0" w:color="auto"/>
          </w:divBdr>
          <w:divsChild>
            <w:div w:id="12399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68167">
      <w:bodyDiv w:val="1"/>
      <w:marLeft w:val="0"/>
      <w:marRight w:val="0"/>
      <w:marTop w:val="0"/>
      <w:marBottom w:val="0"/>
      <w:divBdr>
        <w:top w:val="none" w:sz="0" w:space="0" w:color="auto"/>
        <w:left w:val="none" w:sz="0" w:space="0" w:color="auto"/>
        <w:bottom w:val="none" w:sz="0" w:space="0" w:color="auto"/>
        <w:right w:val="none" w:sz="0" w:space="0" w:color="auto"/>
      </w:divBdr>
    </w:div>
    <w:div w:id="2118744465">
      <w:bodyDiv w:val="1"/>
      <w:marLeft w:val="0"/>
      <w:marRight w:val="0"/>
      <w:marTop w:val="0"/>
      <w:marBottom w:val="0"/>
      <w:divBdr>
        <w:top w:val="none" w:sz="0" w:space="0" w:color="auto"/>
        <w:left w:val="none" w:sz="0" w:space="0" w:color="auto"/>
        <w:bottom w:val="none" w:sz="0" w:space="0" w:color="auto"/>
        <w:right w:val="none" w:sz="0" w:space="0" w:color="auto"/>
      </w:divBdr>
      <w:divsChild>
        <w:div w:id="189308162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0C7A7F2AC6D345BD7286CCB8C2C912" ma:contentTypeVersion="16" ma:contentTypeDescription="Create a new document." ma:contentTypeScope="" ma:versionID="0bca29c16615cac86e79925bb66bd1db">
  <xsd:schema xmlns:xsd="http://www.w3.org/2001/XMLSchema" xmlns:xs="http://www.w3.org/2001/XMLSchema" xmlns:p="http://schemas.microsoft.com/office/2006/metadata/properties" xmlns:ns1="http://schemas.microsoft.com/sharepoint/v3" xmlns:ns3="1fc606cb-fc53-4775-afff-f7570dfaf0c0" xmlns:ns4="99570e89-d231-4879-9ef4-c0eb5be717b2" targetNamespace="http://schemas.microsoft.com/office/2006/metadata/properties" ma:root="true" ma:fieldsID="878f66dd0254eaa7f51b390ce8de76fd" ns1:_="" ns3:_="" ns4:_="">
    <xsd:import namespace="http://schemas.microsoft.com/sharepoint/v3"/>
    <xsd:import namespace="1fc606cb-fc53-4775-afff-f7570dfaf0c0"/>
    <xsd:import namespace="99570e89-d231-4879-9ef4-c0eb5be717b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606cb-fc53-4775-afff-f7570dfaf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70e89-d231-4879-9ef4-c0eb5be717b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A1090-4A28-4268-A574-25C37E6E486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D6DDC81-60AC-46DA-A5CF-0E1075D6A94A}">
  <ds:schemaRefs>
    <ds:schemaRef ds:uri="http://schemas.microsoft.com/sharepoint/v3/contenttype/forms"/>
  </ds:schemaRefs>
</ds:datastoreItem>
</file>

<file path=customXml/itemProps3.xml><?xml version="1.0" encoding="utf-8"?>
<ds:datastoreItem xmlns:ds="http://schemas.openxmlformats.org/officeDocument/2006/customXml" ds:itemID="{8D6F0ACF-32D1-48CE-A5A7-A147E419A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c606cb-fc53-4775-afff-f7570dfaf0c0"/>
    <ds:schemaRef ds:uri="99570e89-d231-4879-9ef4-c0eb5be71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4A719C-97B7-49F6-AF95-9ED6FE370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Mazzoleni</dc:creator>
  <cp:keywords/>
  <dc:description/>
  <cp:lastModifiedBy>Rakesh Sagar</cp:lastModifiedBy>
  <cp:revision>2</cp:revision>
  <cp:lastPrinted>2023-02-06T23:45:00Z</cp:lastPrinted>
  <dcterms:created xsi:type="dcterms:W3CDTF">2025-04-25T06:18:00Z</dcterms:created>
  <dcterms:modified xsi:type="dcterms:W3CDTF">2025-04-25T06:18:00Z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0x0101006D0C7A7F2AC6D345BD7286CCB8C2C912</vt:lpwstr>
  </property>
</Properties>
</file>