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84FC44" w14:textId="025EAFAE" w:rsidR="003B6932" w:rsidRPr="003B6932" w:rsidRDefault="003B6932" w:rsidP="003B6932">
      <w:pPr>
        <w:spacing w:after="0" w:line="240" w:lineRule="auto"/>
        <w:rPr>
          <w:rFonts w:ascii="Times New Roman" w:eastAsia="Times New Roman" w:hAnsi="Times New Roman" w:cs="Times New Roman"/>
          <w:b/>
          <w:sz w:val="36"/>
          <w:szCs w:val="36"/>
        </w:rPr>
      </w:pPr>
      <w:r w:rsidRPr="003B6932">
        <w:rPr>
          <w:rFonts w:ascii="Times New Roman" w:eastAsia="Times New Roman" w:hAnsi="Times New Roman" w:cs="Times New Roman"/>
          <w:sz w:val="36"/>
          <w:szCs w:val="36"/>
        </w:rPr>
        <w:t xml:space="preserve">Supplementary </w:t>
      </w:r>
      <w:bookmarkStart w:id="0" w:name="_GoBack"/>
      <w:bookmarkEnd w:id="0"/>
      <w:r w:rsidRPr="003B6932">
        <w:rPr>
          <w:rFonts w:ascii="Times New Roman" w:eastAsia="Times New Roman" w:hAnsi="Times New Roman" w:cs="Times New Roman"/>
          <w:sz w:val="36"/>
          <w:szCs w:val="36"/>
        </w:rPr>
        <w:t>materials</w:t>
      </w:r>
    </w:p>
    <w:p w14:paraId="4BBC89C9" w14:textId="77777777" w:rsidR="003B6932" w:rsidRDefault="003B6932">
      <w:pPr>
        <w:spacing w:after="0" w:line="240" w:lineRule="auto"/>
        <w:rPr>
          <w:rFonts w:ascii="Times New Roman" w:eastAsia="Times New Roman" w:hAnsi="Times New Roman" w:cs="Times New Roman"/>
          <w:b/>
          <w:sz w:val="24"/>
          <w:szCs w:val="24"/>
        </w:rPr>
      </w:pPr>
    </w:p>
    <w:p w14:paraId="16E0D5C9" w14:textId="0DCEA5D5" w:rsidR="00B51BAC" w:rsidRDefault="00F25C2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Appendix A: </w:t>
      </w:r>
    </w:p>
    <w:p w14:paraId="4A763764" w14:textId="77777777" w:rsidR="00B51BAC" w:rsidRDefault="00B51BAC">
      <w:pPr>
        <w:spacing w:after="0" w:line="240" w:lineRule="auto"/>
        <w:rPr>
          <w:rFonts w:ascii="Times New Roman" w:eastAsia="Times New Roman" w:hAnsi="Times New Roman" w:cs="Times New Roman"/>
          <w:b/>
          <w:sz w:val="24"/>
          <w:szCs w:val="24"/>
        </w:rPr>
      </w:pPr>
    </w:p>
    <w:p w14:paraId="3437DA16" w14:textId="77777777" w:rsidR="00B51BAC" w:rsidRDefault="00F25C2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Since our focus is on investigating possible crowding-in or crowding-out effects, we have relegated the “main result” column in Table 1A to this finding. Other results, however, have also been reported in the “additional results” column, but they are not the focus of this article.</w:t>
      </w:r>
    </w:p>
    <w:p w14:paraId="5DB640E7" w14:textId="77777777" w:rsidR="00B51BAC" w:rsidRDefault="00B51BAC">
      <w:pPr>
        <w:spacing w:after="0" w:line="240" w:lineRule="auto"/>
        <w:jc w:val="both"/>
        <w:rPr>
          <w:rFonts w:ascii="Times New Roman" w:eastAsia="Times New Roman" w:hAnsi="Times New Roman" w:cs="Times New Roman"/>
          <w:sz w:val="24"/>
          <w:szCs w:val="24"/>
        </w:rPr>
      </w:pPr>
    </w:p>
    <w:p w14:paraId="33E4BFA0" w14:textId="77777777" w:rsidR="00B51BAC" w:rsidRDefault="00F25C2B">
      <w:pPr>
        <w:widowControl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Table 1A: Summary of the empirical literature on the relationship between public and private investment in Brazil</w:t>
      </w:r>
    </w:p>
    <w:tbl>
      <w:tblPr>
        <w:tblStyle w:val="a2"/>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6"/>
        <w:gridCol w:w="1170"/>
        <w:gridCol w:w="1606"/>
        <w:gridCol w:w="2827"/>
        <w:gridCol w:w="3189"/>
      </w:tblGrid>
      <w:tr w:rsidR="00B51BAC" w14:paraId="1DC36A69" w14:textId="77777777">
        <w:trPr>
          <w:trHeight w:val="361"/>
        </w:trPr>
        <w:tc>
          <w:tcPr>
            <w:tcW w:w="1126" w:type="dxa"/>
          </w:tcPr>
          <w:p w14:paraId="69983191" w14:textId="77777777" w:rsidR="00B51BAC" w:rsidRDefault="00F25C2B">
            <w:pPr>
              <w:rPr>
                <w:rFonts w:ascii="Times New Roman" w:eastAsia="Times New Roman" w:hAnsi="Times New Roman" w:cs="Times New Roman"/>
                <w:b/>
              </w:rPr>
            </w:pPr>
            <w:r>
              <w:rPr>
                <w:rFonts w:ascii="Times New Roman" w:eastAsia="Times New Roman" w:hAnsi="Times New Roman" w:cs="Times New Roman"/>
                <w:b/>
              </w:rPr>
              <w:t>Study</w:t>
            </w:r>
          </w:p>
        </w:tc>
        <w:tc>
          <w:tcPr>
            <w:tcW w:w="1170" w:type="dxa"/>
          </w:tcPr>
          <w:p w14:paraId="0EB27CB8" w14:textId="77777777" w:rsidR="00B51BAC" w:rsidRDefault="00F25C2B">
            <w:pPr>
              <w:rPr>
                <w:rFonts w:ascii="Times New Roman" w:eastAsia="Times New Roman" w:hAnsi="Times New Roman" w:cs="Times New Roman"/>
                <w:b/>
              </w:rPr>
            </w:pPr>
            <w:r>
              <w:rPr>
                <w:rFonts w:ascii="Times New Roman" w:eastAsia="Times New Roman" w:hAnsi="Times New Roman" w:cs="Times New Roman"/>
                <w:b/>
              </w:rPr>
              <w:t>Period</w:t>
            </w:r>
          </w:p>
        </w:tc>
        <w:tc>
          <w:tcPr>
            <w:tcW w:w="1606" w:type="dxa"/>
          </w:tcPr>
          <w:p w14:paraId="706747AD" w14:textId="77777777" w:rsidR="00B51BAC" w:rsidRDefault="00F25C2B">
            <w:pPr>
              <w:rPr>
                <w:rFonts w:ascii="Times New Roman" w:eastAsia="Times New Roman" w:hAnsi="Times New Roman" w:cs="Times New Roman"/>
                <w:b/>
              </w:rPr>
            </w:pPr>
            <w:r>
              <w:rPr>
                <w:rFonts w:ascii="Times New Roman" w:eastAsia="Times New Roman" w:hAnsi="Times New Roman" w:cs="Times New Roman"/>
                <w:b/>
              </w:rPr>
              <w:t>Methodology</w:t>
            </w:r>
          </w:p>
        </w:tc>
        <w:tc>
          <w:tcPr>
            <w:tcW w:w="2827" w:type="dxa"/>
          </w:tcPr>
          <w:p w14:paraId="4535B7D3" w14:textId="77777777" w:rsidR="00B51BAC" w:rsidRDefault="00F25C2B">
            <w:pPr>
              <w:rPr>
                <w:rFonts w:ascii="Times New Roman" w:eastAsia="Times New Roman" w:hAnsi="Times New Roman" w:cs="Times New Roman"/>
                <w:b/>
              </w:rPr>
            </w:pPr>
            <w:r>
              <w:rPr>
                <w:rFonts w:ascii="Times New Roman" w:eastAsia="Times New Roman" w:hAnsi="Times New Roman" w:cs="Times New Roman"/>
                <w:b/>
              </w:rPr>
              <w:t>Main Result</w:t>
            </w:r>
          </w:p>
        </w:tc>
        <w:tc>
          <w:tcPr>
            <w:tcW w:w="3189" w:type="dxa"/>
          </w:tcPr>
          <w:p w14:paraId="38D9FCC9" w14:textId="77777777" w:rsidR="00B51BAC" w:rsidRDefault="00F25C2B">
            <w:pPr>
              <w:rPr>
                <w:rFonts w:ascii="Times New Roman" w:eastAsia="Times New Roman" w:hAnsi="Times New Roman" w:cs="Times New Roman"/>
                <w:b/>
              </w:rPr>
            </w:pPr>
            <w:r>
              <w:rPr>
                <w:rFonts w:ascii="Times New Roman" w:eastAsia="Times New Roman" w:hAnsi="Times New Roman" w:cs="Times New Roman"/>
                <w:b/>
              </w:rPr>
              <w:t>Additional Results</w:t>
            </w:r>
          </w:p>
        </w:tc>
      </w:tr>
      <w:tr w:rsidR="00B51BAC" w14:paraId="26E95961" w14:textId="77777777">
        <w:trPr>
          <w:trHeight w:val="185"/>
        </w:trPr>
        <w:tc>
          <w:tcPr>
            <w:tcW w:w="1126" w:type="dxa"/>
          </w:tcPr>
          <w:p w14:paraId="6CD60B3E" w14:textId="77777777" w:rsidR="00B51BAC" w:rsidRDefault="00F25C2B">
            <w:pPr>
              <w:rPr>
                <w:rFonts w:ascii="Times New Roman" w:eastAsia="Times New Roman" w:hAnsi="Times New Roman" w:cs="Times New Roman"/>
                <w:b/>
              </w:rPr>
            </w:pPr>
            <w:r>
              <w:rPr>
                <w:rFonts w:ascii="Times New Roman" w:eastAsia="Times New Roman" w:hAnsi="Times New Roman" w:cs="Times New Roman"/>
                <w:b/>
              </w:rPr>
              <w:t>Melo and Rodrigues Junior (1998)</w:t>
            </w:r>
          </w:p>
        </w:tc>
        <w:tc>
          <w:tcPr>
            <w:tcW w:w="1170" w:type="dxa"/>
          </w:tcPr>
          <w:p w14:paraId="6A7A4634"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1970-1995</w:t>
            </w:r>
          </w:p>
        </w:tc>
        <w:tc>
          <w:tcPr>
            <w:tcW w:w="1606" w:type="dxa"/>
          </w:tcPr>
          <w:p w14:paraId="6FE41C51"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Error correction model</w:t>
            </w:r>
          </w:p>
        </w:tc>
        <w:tc>
          <w:tcPr>
            <w:tcW w:w="2827" w:type="dxa"/>
          </w:tcPr>
          <w:p w14:paraId="1D1F510E" w14:textId="77777777" w:rsidR="00B51BAC" w:rsidRDefault="00F25C2B">
            <w:pPr>
              <w:rPr>
                <w:rFonts w:ascii="Times New Roman" w:eastAsia="Times New Roman" w:hAnsi="Times New Roman" w:cs="Times New Roman"/>
                <w:sz w:val="21"/>
                <w:szCs w:val="21"/>
              </w:rPr>
            </w:pPr>
            <w:r>
              <w:rPr>
                <w:rFonts w:ascii="Times New Roman" w:eastAsia="Times New Roman" w:hAnsi="Times New Roman" w:cs="Times New Roman"/>
                <w:b/>
              </w:rPr>
              <w:t xml:space="preserve">Crowding-out effect: </w:t>
            </w:r>
            <w:r>
              <w:rPr>
                <w:rFonts w:ascii="Times New Roman" w:eastAsia="Times New Roman" w:hAnsi="Times New Roman" w:cs="Times New Roman"/>
              </w:rPr>
              <w:t>Public investment displaces around a third of private investment in the short term.</w:t>
            </w:r>
          </w:p>
        </w:tc>
        <w:tc>
          <w:tcPr>
            <w:tcW w:w="3189" w:type="dxa"/>
          </w:tcPr>
          <w:p w14:paraId="557542DA"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-The main factor affecting private investment (positively) is demand.</w:t>
            </w:r>
          </w:p>
          <w:p w14:paraId="0E928AF4"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-Interest rates and inflation rates have a negative impact on private investment.</w:t>
            </w:r>
          </w:p>
        </w:tc>
      </w:tr>
      <w:tr w:rsidR="00B51BAC" w14:paraId="162FFAF1" w14:textId="77777777">
        <w:trPr>
          <w:trHeight w:val="1352"/>
        </w:trPr>
        <w:tc>
          <w:tcPr>
            <w:tcW w:w="1126" w:type="dxa"/>
          </w:tcPr>
          <w:p w14:paraId="6116B48E" w14:textId="77777777" w:rsidR="00B51BAC" w:rsidRDefault="00F25C2B">
            <w:pPr>
              <w:rPr>
                <w:rFonts w:ascii="Times New Roman" w:eastAsia="Times New Roman" w:hAnsi="Times New Roman" w:cs="Times New Roman"/>
                <w:b/>
              </w:rPr>
            </w:pPr>
            <w:r>
              <w:rPr>
                <w:rFonts w:ascii="Times New Roman" w:eastAsia="Times New Roman" w:hAnsi="Times New Roman" w:cs="Times New Roman"/>
                <w:b/>
              </w:rPr>
              <w:t>Jacinto and Ribeiro (1998)</w:t>
            </w:r>
          </w:p>
        </w:tc>
        <w:tc>
          <w:tcPr>
            <w:tcW w:w="1170" w:type="dxa"/>
          </w:tcPr>
          <w:p w14:paraId="3F198F04"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1973-1989</w:t>
            </w:r>
          </w:p>
        </w:tc>
        <w:tc>
          <w:tcPr>
            <w:tcW w:w="1606" w:type="dxa"/>
          </w:tcPr>
          <w:p w14:paraId="529067B7"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First difference regression (short term)</w:t>
            </w:r>
          </w:p>
        </w:tc>
        <w:tc>
          <w:tcPr>
            <w:tcW w:w="2827" w:type="dxa"/>
          </w:tcPr>
          <w:p w14:paraId="08E7BA77" w14:textId="77777777" w:rsidR="00B51BAC" w:rsidRDefault="00F25C2B">
            <w:pPr>
              <w:rPr>
                <w:rFonts w:ascii="Times New Roman" w:eastAsia="Times New Roman" w:hAnsi="Times New Roman" w:cs="Times New Roman"/>
              </w:rPr>
            </w:pPr>
            <w:r>
              <w:rPr>
                <w:rFonts w:ascii="Times New Roman" w:eastAsia="Times New Roman" w:hAnsi="Times New Roman" w:cs="Times New Roman"/>
                <w:b/>
              </w:rPr>
              <w:t>Crowding-out effect</w:t>
            </w:r>
            <w:r>
              <w:rPr>
                <w:rFonts w:ascii="Times New Roman" w:eastAsia="Times New Roman" w:hAnsi="Times New Roman" w:cs="Times New Roman"/>
                <w:b/>
                <w:i/>
              </w:rPr>
              <w:t xml:space="preserve">: </w:t>
            </w:r>
            <w:r>
              <w:rPr>
                <w:rFonts w:ascii="Times New Roman" w:eastAsia="Times New Roman" w:hAnsi="Times New Roman" w:cs="Times New Roman"/>
              </w:rPr>
              <w:t>private investment responds negatively to public investment.</w:t>
            </w:r>
          </w:p>
        </w:tc>
        <w:tc>
          <w:tcPr>
            <w:tcW w:w="3189" w:type="dxa"/>
          </w:tcPr>
          <w:p w14:paraId="3CE918AF"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-The degree of capacity utilization has a positive effect on private investment.</w:t>
            </w:r>
          </w:p>
          <w:p w14:paraId="5564C6EB"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-Credit (BNDES) has no statistically significant impact.</w:t>
            </w:r>
          </w:p>
        </w:tc>
      </w:tr>
      <w:tr w:rsidR="00B51BAC" w14:paraId="38A6AAE9" w14:textId="77777777">
        <w:trPr>
          <w:trHeight w:val="185"/>
        </w:trPr>
        <w:tc>
          <w:tcPr>
            <w:tcW w:w="1126" w:type="dxa"/>
          </w:tcPr>
          <w:p w14:paraId="49BAB3A9" w14:textId="77777777" w:rsidR="00B51BAC" w:rsidRDefault="00F25C2B">
            <w:pPr>
              <w:rPr>
                <w:rFonts w:ascii="Times New Roman" w:eastAsia="Times New Roman" w:hAnsi="Times New Roman" w:cs="Times New Roman"/>
                <w:b/>
              </w:rPr>
            </w:pPr>
            <w:r>
              <w:rPr>
                <w:rFonts w:ascii="Times New Roman" w:eastAsia="Times New Roman" w:hAnsi="Times New Roman" w:cs="Times New Roman"/>
                <w:b/>
              </w:rPr>
              <w:t>Cruz and Teixeira (1999)</w:t>
            </w:r>
          </w:p>
        </w:tc>
        <w:tc>
          <w:tcPr>
            <w:tcW w:w="1170" w:type="dxa"/>
          </w:tcPr>
          <w:p w14:paraId="1A8B3882"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1948-1990</w:t>
            </w:r>
          </w:p>
        </w:tc>
        <w:tc>
          <w:tcPr>
            <w:tcW w:w="1606" w:type="dxa"/>
          </w:tcPr>
          <w:p w14:paraId="6A038C18"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ADL (</w:t>
            </w:r>
            <w:r>
              <w:rPr>
                <w:rFonts w:ascii="Times New Roman" w:eastAsia="Times New Roman" w:hAnsi="Times New Roman" w:cs="Times New Roman"/>
                <w:i/>
              </w:rPr>
              <w:t>Autoregressive Distributed Lag</w:t>
            </w:r>
            <w:r>
              <w:rPr>
                <w:rFonts w:ascii="Times New Roman" w:eastAsia="Times New Roman" w:hAnsi="Times New Roman" w:cs="Times New Roman"/>
              </w:rPr>
              <w:t>)</w:t>
            </w:r>
          </w:p>
        </w:tc>
        <w:tc>
          <w:tcPr>
            <w:tcW w:w="2827" w:type="dxa"/>
          </w:tcPr>
          <w:p w14:paraId="25226FC1" w14:textId="77777777" w:rsidR="00B51BAC" w:rsidRDefault="00F25C2B">
            <w:pPr>
              <w:rPr>
                <w:rFonts w:ascii="Times New Roman" w:eastAsia="Times New Roman" w:hAnsi="Times New Roman" w:cs="Times New Roman"/>
              </w:rPr>
            </w:pPr>
            <w:r>
              <w:rPr>
                <w:rFonts w:ascii="Times New Roman" w:eastAsia="Times New Roman" w:hAnsi="Times New Roman" w:cs="Times New Roman"/>
                <w:b/>
              </w:rPr>
              <w:t>Crowding-in effect in the long term</w:t>
            </w:r>
            <w:r>
              <w:rPr>
                <w:rFonts w:ascii="Times New Roman" w:eastAsia="Times New Roman" w:hAnsi="Times New Roman" w:cs="Times New Roman"/>
              </w:rPr>
              <w:t>: public investment positively impacts private investment in the regression that considers the long-term effect.</w:t>
            </w:r>
          </w:p>
          <w:p w14:paraId="3525FC55" w14:textId="77777777" w:rsidR="00B51BAC" w:rsidRDefault="00F25C2B">
            <w:pPr>
              <w:rPr>
                <w:rFonts w:ascii="Times New Roman" w:eastAsia="Times New Roman" w:hAnsi="Times New Roman" w:cs="Times New Roman"/>
              </w:rPr>
            </w:pPr>
            <w:r>
              <w:rPr>
                <w:rFonts w:ascii="Times New Roman" w:eastAsia="Times New Roman" w:hAnsi="Times New Roman" w:cs="Times New Roman"/>
                <w:b/>
              </w:rPr>
              <w:t>Crowding-out effect in the short term</w:t>
            </w:r>
            <w:r>
              <w:rPr>
                <w:rFonts w:ascii="Times New Roman" w:eastAsia="Times New Roman" w:hAnsi="Times New Roman" w:cs="Times New Roman"/>
              </w:rPr>
              <w:t>: public investment in the current period affects private investment negatively..</w:t>
            </w:r>
          </w:p>
        </w:tc>
        <w:tc>
          <w:tcPr>
            <w:tcW w:w="3189" w:type="dxa"/>
          </w:tcPr>
          <w:p w14:paraId="0D4E0BB8"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-Expected demand is the main factor in determining private investment (accelerator effect)</w:t>
            </w:r>
          </w:p>
          <w:p w14:paraId="06244639"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-Interest rates have no significant impact.</w:t>
            </w:r>
          </w:p>
        </w:tc>
      </w:tr>
      <w:tr w:rsidR="00B51BAC" w14:paraId="25F14ACA" w14:textId="77777777">
        <w:trPr>
          <w:trHeight w:val="185"/>
        </w:trPr>
        <w:tc>
          <w:tcPr>
            <w:tcW w:w="1126" w:type="dxa"/>
          </w:tcPr>
          <w:p w14:paraId="6CF77AF1" w14:textId="77777777" w:rsidR="00B51BAC" w:rsidRDefault="00F25C2B">
            <w:pPr>
              <w:rPr>
                <w:rFonts w:ascii="Times New Roman" w:eastAsia="Times New Roman" w:hAnsi="Times New Roman" w:cs="Times New Roman"/>
                <w:b/>
              </w:rPr>
            </w:pPr>
            <w:r>
              <w:rPr>
                <w:rFonts w:ascii="Times New Roman" w:eastAsia="Times New Roman" w:hAnsi="Times New Roman" w:cs="Times New Roman"/>
                <w:b/>
              </w:rPr>
              <w:t>Alves and Luporini (2008)</w:t>
            </w:r>
          </w:p>
        </w:tc>
        <w:tc>
          <w:tcPr>
            <w:tcW w:w="1170" w:type="dxa"/>
          </w:tcPr>
          <w:p w14:paraId="6D3468A2"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1996-2005</w:t>
            </w:r>
          </w:p>
        </w:tc>
        <w:tc>
          <w:tcPr>
            <w:tcW w:w="1606" w:type="dxa"/>
          </w:tcPr>
          <w:p w14:paraId="0E9EFD13"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Panel regression for industrial sectors</w:t>
            </w:r>
          </w:p>
        </w:tc>
        <w:tc>
          <w:tcPr>
            <w:tcW w:w="2827" w:type="dxa"/>
          </w:tcPr>
          <w:p w14:paraId="045F7CE0" w14:textId="77777777" w:rsidR="00B51BAC" w:rsidRDefault="00F25C2B">
            <w:pPr>
              <w:rPr>
                <w:rFonts w:ascii="Times New Roman" w:eastAsia="Times New Roman" w:hAnsi="Times New Roman" w:cs="Times New Roman"/>
                <w:b/>
              </w:rPr>
            </w:pPr>
            <w:r>
              <w:rPr>
                <w:rFonts w:ascii="Times New Roman" w:eastAsia="Times New Roman" w:hAnsi="Times New Roman" w:cs="Times New Roman"/>
                <w:b/>
              </w:rPr>
              <w:t>Crowding-in effect</w:t>
            </w:r>
            <w:r>
              <w:rPr>
                <w:rFonts w:ascii="Times New Roman" w:eastAsia="Times New Roman" w:hAnsi="Times New Roman" w:cs="Times New Roman"/>
                <w:b/>
                <w:i/>
              </w:rPr>
              <w:t>:</w:t>
            </w:r>
          </w:p>
          <w:p w14:paraId="5E464EFA"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-Positive effect of public investment on the variable "acquisitions of fixed assets in industrial sectors".</w:t>
            </w:r>
          </w:p>
        </w:tc>
        <w:tc>
          <w:tcPr>
            <w:tcW w:w="3189" w:type="dxa"/>
          </w:tcPr>
          <w:p w14:paraId="4A50B01A"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 xml:space="preserve">-The level of activity in the sector, the level of capacity utilization, and the availability of BNDES credit positively affect investment. </w:t>
            </w:r>
          </w:p>
          <w:p w14:paraId="1480A2C6"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-The real exchange rate and external indebtedness have a negative impact, while the interest rate has an impact close to zero.</w:t>
            </w:r>
          </w:p>
        </w:tc>
      </w:tr>
      <w:tr w:rsidR="00B51BAC" w14:paraId="49A5B119" w14:textId="77777777">
        <w:trPr>
          <w:trHeight w:val="175"/>
        </w:trPr>
        <w:tc>
          <w:tcPr>
            <w:tcW w:w="1126" w:type="dxa"/>
          </w:tcPr>
          <w:p w14:paraId="34CEFE73" w14:textId="77777777" w:rsidR="00B51BAC" w:rsidRDefault="00F25C2B">
            <w:pPr>
              <w:rPr>
                <w:rFonts w:ascii="Times New Roman" w:eastAsia="Times New Roman" w:hAnsi="Times New Roman" w:cs="Times New Roman"/>
                <w:b/>
              </w:rPr>
            </w:pPr>
            <w:r>
              <w:rPr>
                <w:rFonts w:ascii="Times New Roman" w:eastAsia="Times New Roman" w:hAnsi="Times New Roman" w:cs="Times New Roman"/>
                <w:b/>
              </w:rPr>
              <w:t>Sonaglio et al. (2010)</w:t>
            </w:r>
          </w:p>
        </w:tc>
        <w:tc>
          <w:tcPr>
            <w:tcW w:w="1170" w:type="dxa"/>
          </w:tcPr>
          <w:p w14:paraId="04045E2B"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1995-2006</w:t>
            </w:r>
          </w:p>
        </w:tc>
        <w:tc>
          <w:tcPr>
            <w:tcW w:w="1606" w:type="dxa"/>
          </w:tcPr>
          <w:p w14:paraId="369D49AD"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VECM (</w:t>
            </w:r>
            <w:r>
              <w:rPr>
                <w:rFonts w:ascii="Times New Roman" w:eastAsia="Times New Roman" w:hAnsi="Times New Roman" w:cs="Times New Roman"/>
                <w:i/>
              </w:rPr>
              <w:t>Vector Error Correction Model</w:t>
            </w:r>
            <w:r>
              <w:rPr>
                <w:rFonts w:ascii="Times New Roman" w:eastAsia="Times New Roman" w:hAnsi="Times New Roman" w:cs="Times New Roman"/>
              </w:rPr>
              <w:t>) – long term</w:t>
            </w:r>
          </w:p>
        </w:tc>
        <w:tc>
          <w:tcPr>
            <w:tcW w:w="2827" w:type="dxa"/>
          </w:tcPr>
          <w:p w14:paraId="4B203236" w14:textId="77777777" w:rsidR="00B51BAC" w:rsidRDefault="00F25C2B">
            <w:pPr>
              <w:rPr>
                <w:rFonts w:ascii="Times New Roman" w:eastAsia="Times New Roman" w:hAnsi="Times New Roman" w:cs="Times New Roman"/>
                <w:b/>
              </w:rPr>
            </w:pPr>
            <w:r>
              <w:rPr>
                <w:rFonts w:ascii="Times New Roman" w:eastAsia="Times New Roman" w:hAnsi="Times New Roman" w:cs="Times New Roman"/>
                <w:b/>
              </w:rPr>
              <w:t xml:space="preserve">Crowding-out effect: </w:t>
            </w:r>
          </w:p>
          <w:p w14:paraId="2D331C95"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-A 1% increase in public investment reduces private investment by 0.429%.</w:t>
            </w:r>
          </w:p>
        </w:tc>
        <w:tc>
          <w:tcPr>
            <w:tcW w:w="3189" w:type="dxa"/>
          </w:tcPr>
          <w:p w14:paraId="1CDC473D"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 Private investment responds positively to demand, and negatively to the tax burden, the capital price, and the interest rate.</w:t>
            </w:r>
          </w:p>
        </w:tc>
      </w:tr>
      <w:tr w:rsidR="00B51BAC" w14:paraId="36F059BB" w14:textId="77777777">
        <w:trPr>
          <w:trHeight w:val="175"/>
        </w:trPr>
        <w:tc>
          <w:tcPr>
            <w:tcW w:w="1126" w:type="dxa"/>
          </w:tcPr>
          <w:p w14:paraId="7487DFED" w14:textId="77777777" w:rsidR="00B51BAC" w:rsidRDefault="00F25C2B">
            <w:pPr>
              <w:rPr>
                <w:rFonts w:ascii="Times New Roman" w:eastAsia="Times New Roman" w:hAnsi="Times New Roman" w:cs="Times New Roman"/>
                <w:b/>
              </w:rPr>
            </w:pPr>
            <w:r>
              <w:rPr>
                <w:rFonts w:ascii="Times New Roman" w:eastAsia="Times New Roman" w:hAnsi="Times New Roman" w:cs="Times New Roman"/>
                <w:b/>
              </w:rPr>
              <w:t>Sanches and Rocha (2010)</w:t>
            </w:r>
          </w:p>
        </w:tc>
        <w:tc>
          <w:tcPr>
            <w:tcW w:w="1170" w:type="dxa"/>
          </w:tcPr>
          <w:p w14:paraId="1BA66AC1"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1991-2004</w:t>
            </w:r>
          </w:p>
        </w:tc>
        <w:tc>
          <w:tcPr>
            <w:tcW w:w="1606" w:type="dxa"/>
          </w:tcPr>
          <w:p w14:paraId="5A5A3811"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 xml:space="preserve">Panel regression for Brazilian states. </w:t>
            </w:r>
          </w:p>
        </w:tc>
        <w:tc>
          <w:tcPr>
            <w:tcW w:w="2827" w:type="dxa"/>
          </w:tcPr>
          <w:p w14:paraId="5225C8BB" w14:textId="77777777" w:rsidR="00B51BAC" w:rsidRDefault="00F25C2B">
            <w:pPr>
              <w:rPr>
                <w:rFonts w:ascii="Times New Roman" w:eastAsia="Times New Roman" w:hAnsi="Times New Roman" w:cs="Times New Roman"/>
                <w:b/>
              </w:rPr>
            </w:pPr>
            <w:r>
              <w:rPr>
                <w:rFonts w:ascii="Times New Roman" w:eastAsia="Times New Roman" w:hAnsi="Times New Roman" w:cs="Times New Roman"/>
                <w:b/>
              </w:rPr>
              <w:t>Crowding-in effect:</w:t>
            </w:r>
          </w:p>
          <w:p w14:paraId="0E927EA2"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 A 1% increase in public investment raises private investment by between 0.74% and 1.135%.</w:t>
            </w:r>
          </w:p>
        </w:tc>
        <w:tc>
          <w:tcPr>
            <w:tcW w:w="3189" w:type="dxa"/>
          </w:tcPr>
          <w:p w14:paraId="2510D862"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 xml:space="preserve">-Positive effect of demand on private investment. </w:t>
            </w:r>
          </w:p>
          <w:p w14:paraId="1249DEAD"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 xml:space="preserve">- Interest rates have a negative impact on private investment. </w:t>
            </w:r>
          </w:p>
        </w:tc>
      </w:tr>
      <w:tr w:rsidR="00B51BAC" w14:paraId="2572625D" w14:textId="77777777">
        <w:trPr>
          <w:trHeight w:val="175"/>
        </w:trPr>
        <w:tc>
          <w:tcPr>
            <w:tcW w:w="1126" w:type="dxa"/>
          </w:tcPr>
          <w:p w14:paraId="3DAF2E54" w14:textId="77777777" w:rsidR="00B51BAC" w:rsidRDefault="00F25C2B">
            <w:pPr>
              <w:rPr>
                <w:rFonts w:ascii="Times New Roman" w:eastAsia="Times New Roman" w:hAnsi="Times New Roman" w:cs="Times New Roman"/>
                <w:b/>
              </w:rPr>
            </w:pPr>
            <w:r>
              <w:rPr>
                <w:rFonts w:ascii="Times New Roman" w:eastAsia="Times New Roman" w:hAnsi="Times New Roman" w:cs="Times New Roman"/>
                <w:b/>
              </w:rPr>
              <w:lastRenderedPageBreak/>
              <w:t>Tadeu and Silva (2013)</w:t>
            </w:r>
          </w:p>
        </w:tc>
        <w:tc>
          <w:tcPr>
            <w:tcW w:w="1170" w:type="dxa"/>
          </w:tcPr>
          <w:p w14:paraId="04912CBA"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1996-2011</w:t>
            </w:r>
          </w:p>
        </w:tc>
        <w:tc>
          <w:tcPr>
            <w:tcW w:w="1606" w:type="dxa"/>
          </w:tcPr>
          <w:p w14:paraId="506D97BD"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 xml:space="preserve">Regression analysis </w:t>
            </w:r>
          </w:p>
        </w:tc>
        <w:tc>
          <w:tcPr>
            <w:tcW w:w="2827" w:type="dxa"/>
          </w:tcPr>
          <w:p w14:paraId="17630208" w14:textId="77777777" w:rsidR="00B51BAC" w:rsidRDefault="00F25C2B">
            <w:pPr>
              <w:rPr>
                <w:rFonts w:ascii="Times New Roman" w:eastAsia="Times New Roman" w:hAnsi="Times New Roman" w:cs="Times New Roman"/>
                <w:b/>
                <w:i/>
              </w:rPr>
            </w:pPr>
            <w:r>
              <w:rPr>
                <w:rFonts w:ascii="Times New Roman" w:eastAsia="Times New Roman" w:hAnsi="Times New Roman" w:cs="Times New Roman"/>
                <w:b/>
              </w:rPr>
              <w:t>Crowding-in effect</w:t>
            </w:r>
            <w:r>
              <w:rPr>
                <w:rFonts w:ascii="Times New Roman" w:eastAsia="Times New Roman" w:hAnsi="Times New Roman" w:cs="Times New Roman"/>
                <w:b/>
                <w:i/>
              </w:rPr>
              <w:t>:</w:t>
            </w:r>
          </w:p>
          <w:p w14:paraId="4C51B49D" w14:textId="77777777" w:rsidR="00B51BAC" w:rsidRDefault="00F25C2B">
            <w:pPr>
              <w:rPr>
                <w:rFonts w:ascii="Times New Roman" w:eastAsia="Times New Roman" w:hAnsi="Times New Roman" w:cs="Times New Roman"/>
                <w:b/>
              </w:rPr>
            </w:pPr>
            <w:r>
              <w:rPr>
                <w:rFonts w:ascii="Times New Roman" w:eastAsia="Times New Roman" w:hAnsi="Times New Roman" w:cs="Times New Roman"/>
              </w:rPr>
              <w:t>-A 1% increase in public investment in infrastructure raises private investment by 0.113%.</w:t>
            </w:r>
          </w:p>
        </w:tc>
        <w:tc>
          <w:tcPr>
            <w:tcW w:w="3189" w:type="dxa"/>
          </w:tcPr>
          <w:p w14:paraId="758ABE5A"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 xml:space="preserve">-Positive effect of demand on private investment. </w:t>
            </w:r>
          </w:p>
          <w:p w14:paraId="66B5824C"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 xml:space="preserve">-A 1% increase in public investment not related to infrastructure has a negative impact of 0.0741% on private investment. </w:t>
            </w:r>
          </w:p>
          <w:p w14:paraId="5C548456"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 xml:space="preserve">-Interest rates have no significant effect, while the exchange rate has a negative impact on private investment. </w:t>
            </w:r>
          </w:p>
          <w:p w14:paraId="3165B235"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 xml:space="preserve">- BNDES credit to the private sector has a positive impact. </w:t>
            </w:r>
          </w:p>
        </w:tc>
      </w:tr>
      <w:tr w:rsidR="00B51BAC" w14:paraId="55275199" w14:textId="77777777">
        <w:trPr>
          <w:trHeight w:val="1200"/>
        </w:trPr>
        <w:tc>
          <w:tcPr>
            <w:tcW w:w="1126" w:type="dxa"/>
          </w:tcPr>
          <w:p w14:paraId="30344BB9" w14:textId="77777777" w:rsidR="00B51BAC" w:rsidRDefault="00F25C2B">
            <w:pPr>
              <w:rPr>
                <w:rFonts w:ascii="Times New Roman" w:eastAsia="Times New Roman" w:hAnsi="Times New Roman" w:cs="Times New Roman"/>
                <w:b/>
              </w:rPr>
            </w:pPr>
            <w:r>
              <w:rPr>
                <w:rFonts w:ascii="Times New Roman" w:eastAsia="Times New Roman" w:hAnsi="Times New Roman" w:cs="Times New Roman"/>
                <w:b/>
              </w:rPr>
              <w:t>Dos Santos et al. (2015)</w:t>
            </w:r>
          </w:p>
        </w:tc>
        <w:tc>
          <w:tcPr>
            <w:tcW w:w="1170" w:type="dxa"/>
          </w:tcPr>
          <w:p w14:paraId="6149CC0D"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1996-2013</w:t>
            </w:r>
          </w:p>
        </w:tc>
        <w:tc>
          <w:tcPr>
            <w:tcW w:w="1606" w:type="dxa"/>
          </w:tcPr>
          <w:p w14:paraId="6725F260"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VAR (</w:t>
            </w:r>
            <w:r>
              <w:rPr>
                <w:rFonts w:ascii="Times New Roman" w:eastAsia="Times New Roman" w:hAnsi="Times New Roman" w:cs="Times New Roman"/>
                <w:i/>
              </w:rPr>
              <w:t>Vector Autoregressive Model</w:t>
            </w:r>
            <w:r>
              <w:rPr>
                <w:rFonts w:ascii="Times New Roman" w:eastAsia="Times New Roman" w:hAnsi="Times New Roman" w:cs="Times New Roman"/>
              </w:rPr>
              <w:t>)</w:t>
            </w:r>
          </w:p>
        </w:tc>
        <w:tc>
          <w:tcPr>
            <w:tcW w:w="2827" w:type="dxa"/>
          </w:tcPr>
          <w:p w14:paraId="35D03D0B" w14:textId="77777777" w:rsidR="00B51BAC" w:rsidRDefault="00F25C2B">
            <w:pPr>
              <w:rPr>
                <w:rFonts w:ascii="Times New Roman" w:eastAsia="Times New Roman" w:hAnsi="Times New Roman" w:cs="Times New Roman"/>
                <w:b/>
                <w:i/>
              </w:rPr>
            </w:pPr>
            <w:r>
              <w:rPr>
                <w:rFonts w:ascii="Times New Roman" w:eastAsia="Times New Roman" w:hAnsi="Times New Roman" w:cs="Times New Roman"/>
                <w:b/>
              </w:rPr>
              <w:t>Crowding-in effect</w:t>
            </w:r>
            <w:r>
              <w:rPr>
                <w:rFonts w:ascii="Times New Roman" w:eastAsia="Times New Roman" w:hAnsi="Times New Roman" w:cs="Times New Roman"/>
                <w:b/>
                <w:i/>
              </w:rPr>
              <w:t>:</w:t>
            </w:r>
          </w:p>
          <w:p w14:paraId="10C2A59E"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-Private investment responds positively to public investment.</w:t>
            </w:r>
          </w:p>
        </w:tc>
        <w:tc>
          <w:tcPr>
            <w:tcW w:w="3189" w:type="dxa"/>
          </w:tcPr>
          <w:p w14:paraId="165850FA"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 xml:space="preserve">-There was a positive relationship between commodity prices and private investment and a negative between the exchange rate and private investment. </w:t>
            </w:r>
          </w:p>
        </w:tc>
      </w:tr>
      <w:tr w:rsidR="00B51BAC" w14:paraId="262DB959" w14:textId="77777777">
        <w:trPr>
          <w:trHeight w:val="175"/>
        </w:trPr>
        <w:tc>
          <w:tcPr>
            <w:tcW w:w="1126" w:type="dxa"/>
          </w:tcPr>
          <w:p w14:paraId="60723F0F" w14:textId="77777777" w:rsidR="00B51BAC" w:rsidRDefault="00F25C2B">
            <w:pPr>
              <w:rPr>
                <w:rFonts w:ascii="Times New Roman" w:eastAsia="Times New Roman" w:hAnsi="Times New Roman" w:cs="Times New Roman"/>
                <w:b/>
              </w:rPr>
            </w:pPr>
            <w:r>
              <w:rPr>
                <w:rFonts w:ascii="Times New Roman" w:eastAsia="Times New Roman" w:hAnsi="Times New Roman" w:cs="Times New Roman"/>
                <w:b/>
              </w:rPr>
              <w:t>Reis et al. (2019)</w:t>
            </w:r>
          </w:p>
        </w:tc>
        <w:tc>
          <w:tcPr>
            <w:tcW w:w="1170" w:type="dxa"/>
          </w:tcPr>
          <w:p w14:paraId="19EA128B"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1982-2013</w:t>
            </w:r>
          </w:p>
        </w:tc>
        <w:tc>
          <w:tcPr>
            <w:tcW w:w="1606" w:type="dxa"/>
          </w:tcPr>
          <w:p w14:paraId="43D62E25"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VECM (</w:t>
            </w:r>
            <w:r>
              <w:rPr>
                <w:rFonts w:ascii="Times New Roman" w:eastAsia="Times New Roman" w:hAnsi="Times New Roman" w:cs="Times New Roman"/>
                <w:i/>
              </w:rPr>
              <w:t>Vector Error Correction Model</w:t>
            </w:r>
            <w:r>
              <w:rPr>
                <w:rFonts w:ascii="Times New Roman" w:eastAsia="Times New Roman" w:hAnsi="Times New Roman" w:cs="Times New Roman"/>
              </w:rPr>
              <w:t>) – long term</w:t>
            </w:r>
          </w:p>
        </w:tc>
        <w:tc>
          <w:tcPr>
            <w:tcW w:w="2827" w:type="dxa"/>
          </w:tcPr>
          <w:p w14:paraId="0AB51E82" w14:textId="77777777" w:rsidR="00B51BAC" w:rsidRDefault="00F25C2B">
            <w:pPr>
              <w:rPr>
                <w:rFonts w:ascii="Times New Roman" w:eastAsia="Times New Roman" w:hAnsi="Times New Roman" w:cs="Times New Roman"/>
                <w:b/>
                <w:i/>
              </w:rPr>
            </w:pPr>
            <w:r>
              <w:rPr>
                <w:rFonts w:ascii="Times New Roman" w:eastAsia="Times New Roman" w:hAnsi="Times New Roman" w:cs="Times New Roman"/>
                <w:b/>
              </w:rPr>
              <w:t>Crowding-in effect</w:t>
            </w:r>
            <w:r>
              <w:rPr>
                <w:rFonts w:ascii="Times New Roman" w:eastAsia="Times New Roman" w:hAnsi="Times New Roman" w:cs="Times New Roman"/>
                <w:b/>
                <w:i/>
              </w:rPr>
              <w:t>:</w:t>
            </w:r>
          </w:p>
          <w:p w14:paraId="61600544"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-Private investment responds positively to public investment</w:t>
            </w:r>
          </w:p>
        </w:tc>
        <w:tc>
          <w:tcPr>
            <w:tcW w:w="3189" w:type="dxa"/>
          </w:tcPr>
          <w:p w14:paraId="3BB6E9B4"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-Private investment responds positively to demand, the degree of capacity utilization, the share of profits in income, and the real exchange rate.</w:t>
            </w:r>
          </w:p>
          <w:p w14:paraId="73307CB9"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-Industrial production responds positively to public investment.</w:t>
            </w:r>
          </w:p>
        </w:tc>
      </w:tr>
      <w:tr w:rsidR="00B51BAC" w14:paraId="2B9857EF" w14:textId="77777777">
        <w:trPr>
          <w:trHeight w:val="185"/>
        </w:trPr>
        <w:tc>
          <w:tcPr>
            <w:tcW w:w="1126" w:type="dxa"/>
          </w:tcPr>
          <w:p w14:paraId="432C53CA" w14:textId="77777777" w:rsidR="00B51BAC" w:rsidRDefault="00F25C2B">
            <w:pPr>
              <w:rPr>
                <w:rFonts w:ascii="Times New Roman" w:eastAsia="Times New Roman" w:hAnsi="Times New Roman" w:cs="Times New Roman"/>
                <w:b/>
              </w:rPr>
            </w:pPr>
            <w:r>
              <w:rPr>
                <w:rFonts w:ascii="Times New Roman" w:eastAsia="Times New Roman" w:hAnsi="Times New Roman" w:cs="Times New Roman"/>
                <w:b/>
              </w:rPr>
              <w:t>Bredow et al. (2022)</w:t>
            </w:r>
          </w:p>
        </w:tc>
        <w:tc>
          <w:tcPr>
            <w:tcW w:w="1170" w:type="dxa"/>
          </w:tcPr>
          <w:p w14:paraId="169738AA"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1996-2018</w:t>
            </w:r>
          </w:p>
        </w:tc>
        <w:tc>
          <w:tcPr>
            <w:tcW w:w="1606" w:type="dxa"/>
          </w:tcPr>
          <w:p w14:paraId="426581C9"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VAR (</w:t>
            </w:r>
            <w:r>
              <w:rPr>
                <w:rFonts w:ascii="Times New Roman" w:eastAsia="Times New Roman" w:hAnsi="Times New Roman" w:cs="Times New Roman"/>
                <w:i/>
              </w:rPr>
              <w:t>Vector Autoregressive Model</w:t>
            </w:r>
            <w:r>
              <w:rPr>
                <w:rFonts w:ascii="Times New Roman" w:eastAsia="Times New Roman" w:hAnsi="Times New Roman" w:cs="Times New Roman"/>
              </w:rPr>
              <w:t>)</w:t>
            </w:r>
          </w:p>
        </w:tc>
        <w:tc>
          <w:tcPr>
            <w:tcW w:w="2827" w:type="dxa"/>
          </w:tcPr>
          <w:p w14:paraId="4B30E66B" w14:textId="77777777" w:rsidR="00B51BAC" w:rsidRDefault="00F25C2B">
            <w:pPr>
              <w:rPr>
                <w:rFonts w:ascii="Times New Roman" w:eastAsia="Times New Roman" w:hAnsi="Times New Roman" w:cs="Times New Roman"/>
                <w:b/>
              </w:rPr>
            </w:pPr>
            <w:r>
              <w:rPr>
                <w:rFonts w:ascii="Times New Roman" w:eastAsia="Times New Roman" w:hAnsi="Times New Roman" w:cs="Times New Roman"/>
                <w:b/>
              </w:rPr>
              <w:t>Crowding-in effect</w:t>
            </w:r>
            <w:r>
              <w:rPr>
                <w:rFonts w:ascii="Times New Roman" w:eastAsia="Times New Roman" w:hAnsi="Times New Roman" w:cs="Times New Roman"/>
                <w:b/>
                <w:i/>
              </w:rPr>
              <w:t>:</w:t>
            </w:r>
          </w:p>
          <w:p w14:paraId="2E046E04"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-A 10% increase in public investment generates a 1.64% increase in private investment in the first period.</w:t>
            </w:r>
          </w:p>
          <w:p w14:paraId="7AFD4C71"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-The cumulative effect over time is 2.04% after four quarters and 1.89% after twenty quarters.</w:t>
            </w:r>
          </w:p>
        </w:tc>
        <w:tc>
          <w:tcPr>
            <w:tcW w:w="3189" w:type="dxa"/>
          </w:tcPr>
          <w:p w14:paraId="626A85B5"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-No response from the economy's prices to expansions in public investment (exchange rate, Selic interest rate, and machine prices do not respond significantly).</w:t>
            </w:r>
          </w:p>
        </w:tc>
      </w:tr>
      <w:tr w:rsidR="00B51BAC" w14:paraId="1F31B609" w14:textId="77777777">
        <w:trPr>
          <w:trHeight w:val="1560"/>
        </w:trPr>
        <w:tc>
          <w:tcPr>
            <w:tcW w:w="1126" w:type="dxa"/>
          </w:tcPr>
          <w:p w14:paraId="0E7223E0" w14:textId="77777777" w:rsidR="00B51BAC" w:rsidRDefault="00F25C2B">
            <w:pPr>
              <w:rPr>
                <w:rFonts w:ascii="Times New Roman" w:eastAsia="Times New Roman" w:hAnsi="Times New Roman" w:cs="Times New Roman"/>
                <w:b/>
              </w:rPr>
            </w:pPr>
            <w:r>
              <w:rPr>
                <w:rFonts w:ascii="Times New Roman" w:eastAsia="Times New Roman" w:hAnsi="Times New Roman" w:cs="Times New Roman"/>
                <w:b/>
              </w:rPr>
              <w:t>Fraga and Ferreira-Filho (2023)</w:t>
            </w:r>
          </w:p>
        </w:tc>
        <w:tc>
          <w:tcPr>
            <w:tcW w:w="1170" w:type="dxa"/>
          </w:tcPr>
          <w:p w14:paraId="4BD6F6C1"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1960-2013</w:t>
            </w:r>
          </w:p>
        </w:tc>
        <w:tc>
          <w:tcPr>
            <w:tcW w:w="1606" w:type="dxa"/>
          </w:tcPr>
          <w:p w14:paraId="10C534AA" w14:textId="77777777" w:rsidR="00B51BAC" w:rsidRDefault="00F25C2B">
            <w:pPr>
              <w:rPr>
                <w:rFonts w:ascii="Times New Roman" w:eastAsia="Times New Roman" w:hAnsi="Times New Roman" w:cs="Times New Roman"/>
                <w:i/>
              </w:rPr>
            </w:pPr>
            <w:r>
              <w:rPr>
                <w:rFonts w:ascii="Times New Roman" w:eastAsia="Times New Roman" w:hAnsi="Times New Roman" w:cs="Times New Roman"/>
                <w:i/>
              </w:rPr>
              <w:t>Bayesian Model Averaging</w:t>
            </w:r>
            <w:r>
              <w:rPr>
                <w:rFonts w:ascii="Times New Roman" w:eastAsia="Times New Roman" w:hAnsi="Times New Roman" w:cs="Times New Roman"/>
              </w:rPr>
              <w:t xml:space="preserve"> e </w:t>
            </w:r>
            <w:r>
              <w:rPr>
                <w:rFonts w:ascii="Times New Roman" w:eastAsia="Times New Roman" w:hAnsi="Times New Roman" w:cs="Times New Roman"/>
                <w:i/>
              </w:rPr>
              <w:t>Weighted-Average Least-</w:t>
            </w:r>
          </w:p>
          <w:p w14:paraId="78821C78" w14:textId="77777777" w:rsidR="00B51BAC" w:rsidRDefault="00F25C2B">
            <w:pPr>
              <w:rPr>
                <w:rFonts w:ascii="Times New Roman" w:eastAsia="Times New Roman" w:hAnsi="Times New Roman" w:cs="Times New Roman"/>
              </w:rPr>
            </w:pPr>
            <w:r>
              <w:rPr>
                <w:rFonts w:ascii="Times New Roman" w:eastAsia="Times New Roman" w:hAnsi="Times New Roman" w:cs="Times New Roman"/>
                <w:i/>
              </w:rPr>
              <w:t>Squares</w:t>
            </w:r>
          </w:p>
        </w:tc>
        <w:tc>
          <w:tcPr>
            <w:tcW w:w="2827" w:type="dxa"/>
          </w:tcPr>
          <w:p w14:paraId="328B2912" w14:textId="77777777" w:rsidR="00B51BAC" w:rsidRDefault="00F25C2B">
            <w:pPr>
              <w:rPr>
                <w:rFonts w:ascii="Times New Roman" w:eastAsia="Times New Roman" w:hAnsi="Times New Roman" w:cs="Times New Roman"/>
                <w:b/>
              </w:rPr>
            </w:pPr>
            <w:r>
              <w:rPr>
                <w:rFonts w:ascii="Times New Roman" w:eastAsia="Times New Roman" w:hAnsi="Times New Roman" w:cs="Times New Roman"/>
                <w:b/>
              </w:rPr>
              <w:t>Crowding-in effect</w:t>
            </w:r>
            <w:r>
              <w:rPr>
                <w:rFonts w:ascii="Times New Roman" w:eastAsia="Times New Roman" w:hAnsi="Times New Roman" w:cs="Times New Roman"/>
                <w:b/>
                <w:i/>
              </w:rPr>
              <w:t>:</w:t>
            </w:r>
          </w:p>
          <w:p w14:paraId="1FB36C96"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-Private investment responds positively to public investment, especially in infrastructure.</w:t>
            </w:r>
          </w:p>
        </w:tc>
        <w:tc>
          <w:tcPr>
            <w:tcW w:w="3189" w:type="dxa"/>
          </w:tcPr>
          <w:p w14:paraId="41597030"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-Private investment responds positively to demand, to the real exchange rate and the availability of credit, and negatively to the real interest rate.</w:t>
            </w:r>
          </w:p>
        </w:tc>
      </w:tr>
      <w:tr w:rsidR="00B51BAC" w14:paraId="048CB35B" w14:textId="77777777">
        <w:trPr>
          <w:trHeight w:val="3600"/>
        </w:trPr>
        <w:tc>
          <w:tcPr>
            <w:tcW w:w="1126" w:type="dxa"/>
          </w:tcPr>
          <w:p w14:paraId="51212D84" w14:textId="77777777" w:rsidR="00B51BAC" w:rsidRDefault="00F25C2B">
            <w:pPr>
              <w:rPr>
                <w:rFonts w:ascii="Times New Roman" w:eastAsia="Times New Roman" w:hAnsi="Times New Roman" w:cs="Times New Roman"/>
                <w:b/>
              </w:rPr>
            </w:pPr>
            <w:r>
              <w:rPr>
                <w:rFonts w:ascii="Times New Roman" w:eastAsia="Times New Roman" w:hAnsi="Times New Roman" w:cs="Times New Roman"/>
                <w:b/>
              </w:rPr>
              <w:t>Iasco-Pereira and Duregger (2023)</w:t>
            </w:r>
          </w:p>
        </w:tc>
        <w:tc>
          <w:tcPr>
            <w:tcW w:w="1170" w:type="dxa"/>
          </w:tcPr>
          <w:p w14:paraId="00DC0E47"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1947-2017</w:t>
            </w:r>
          </w:p>
        </w:tc>
        <w:tc>
          <w:tcPr>
            <w:tcW w:w="1606" w:type="dxa"/>
          </w:tcPr>
          <w:p w14:paraId="151C6DCC"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ARDL (</w:t>
            </w:r>
            <w:r>
              <w:rPr>
                <w:rFonts w:ascii="Times New Roman" w:eastAsia="Times New Roman" w:hAnsi="Times New Roman" w:cs="Times New Roman"/>
                <w:i/>
              </w:rPr>
              <w:t>Distributed Lag Autoregressive Model</w:t>
            </w:r>
            <w:r>
              <w:rPr>
                <w:rFonts w:ascii="Times New Roman" w:eastAsia="Times New Roman" w:hAnsi="Times New Roman" w:cs="Times New Roman"/>
              </w:rPr>
              <w:t>)</w:t>
            </w:r>
          </w:p>
        </w:tc>
        <w:tc>
          <w:tcPr>
            <w:tcW w:w="2827" w:type="dxa"/>
          </w:tcPr>
          <w:p w14:paraId="7EACE0D5" w14:textId="77777777" w:rsidR="00B51BAC" w:rsidRDefault="00F25C2B">
            <w:pPr>
              <w:rPr>
                <w:rFonts w:ascii="Times New Roman" w:eastAsia="Times New Roman" w:hAnsi="Times New Roman" w:cs="Times New Roman"/>
                <w:b/>
              </w:rPr>
            </w:pPr>
            <w:r>
              <w:rPr>
                <w:rFonts w:ascii="Times New Roman" w:eastAsia="Times New Roman" w:hAnsi="Times New Roman" w:cs="Times New Roman"/>
                <w:b/>
              </w:rPr>
              <w:t>Crowding-in effect</w:t>
            </w:r>
            <w:r>
              <w:rPr>
                <w:rFonts w:ascii="Times New Roman" w:eastAsia="Times New Roman" w:hAnsi="Times New Roman" w:cs="Times New Roman"/>
                <w:b/>
                <w:i/>
              </w:rPr>
              <w:t>:</w:t>
            </w:r>
          </w:p>
          <w:p w14:paraId="493A39C9"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-A 1% increase in public investment generates an increase of approximately 0.6% in private investment (in the short term and long term).</w:t>
            </w:r>
          </w:p>
          <w:p w14:paraId="59C7B38D"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 xml:space="preserve">- A 1% increase in infrastructure investment generates an increase of between 0.6 and 0,7% in private investment in the long term and 0.5% in the short term. </w:t>
            </w:r>
          </w:p>
        </w:tc>
        <w:tc>
          <w:tcPr>
            <w:tcW w:w="3189" w:type="dxa"/>
          </w:tcPr>
          <w:p w14:paraId="5D4018C3"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-Aggregate demand and the terms of trade have a positive effect on private investment.</w:t>
            </w:r>
          </w:p>
          <w:p w14:paraId="7F02EA4C" w14:textId="77777777" w:rsidR="00B51BAC" w:rsidRDefault="00F25C2B">
            <w:pPr>
              <w:rPr>
                <w:rFonts w:ascii="Times New Roman" w:eastAsia="Times New Roman" w:hAnsi="Times New Roman" w:cs="Times New Roman"/>
              </w:rPr>
            </w:pPr>
            <w:r>
              <w:rPr>
                <w:rFonts w:ascii="Times New Roman" w:eastAsia="Times New Roman" w:hAnsi="Times New Roman" w:cs="Times New Roman"/>
              </w:rPr>
              <w:t>-No robust evidence of the impact of inflation, exchange rates, BNDES credit, and labor costs.</w:t>
            </w:r>
          </w:p>
          <w:p w14:paraId="2DE3504F" w14:textId="77777777" w:rsidR="00B51BAC" w:rsidRDefault="00B51BAC">
            <w:pPr>
              <w:rPr>
                <w:rFonts w:ascii="Times New Roman" w:eastAsia="Times New Roman" w:hAnsi="Times New Roman" w:cs="Times New Roman"/>
              </w:rPr>
            </w:pPr>
          </w:p>
        </w:tc>
      </w:tr>
    </w:tbl>
    <w:p w14:paraId="24C95691" w14:textId="77777777" w:rsidR="00B51BAC" w:rsidRDefault="00F25C2B">
      <w:pPr>
        <w:spacing w:before="240" w:after="0" w:line="240" w:lineRule="auto"/>
        <w:jc w:val="both"/>
        <w:rPr>
          <w:rFonts w:ascii="Times New Roman" w:eastAsia="Times New Roman" w:hAnsi="Times New Roman" w:cs="Times New Roman"/>
        </w:rPr>
      </w:pPr>
      <w:r>
        <w:rPr>
          <w:rFonts w:ascii="Times New Roman" w:eastAsia="Times New Roman" w:hAnsi="Times New Roman" w:cs="Times New Roman"/>
        </w:rPr>
        <w:t>Source: authors’ elaboration based on the literature.</w:t>
      </w:r>
    </w:p>
    <w:p w14:paraId="5B0ACE78" w14:textId="77777777" w:rsidR="00B51BAC" w:rsidRDefault="00B51BAC">
      <w:pPr>
        <w:spacing w:before="240" w:after="0" w:line="240" w:lineRule="auto"/>
        <w:jc w:val="both"/>
        <w:rPr>
          <w:rFonts w:ascii="Times New Roman" w:eastAsia="Times New Roman" w:hAnsi="Times New Roman" w:cs="Times New Roman"/>
        </w:rPr>
      </w:pPr>
    </w:p>
    <w:p w14:paraId="489FAA9C" w14:textId="77777777" w:rsidR="00B51BAC" w:rsidRDefault="00B51BAC">
      <w:pPr>
        <w:spacing w:before="240" w:after="0" w:line="240" w:lineRule="auto"/>
        <w:jc w:val="both"/>
        <w:rPr>
          <w:rFonts w:ascii="Times New Roman" w:eastAsia="Times New Roman" w:hAnsi="Times New Roman" w:cs="Times New Roman"/>
        </w:rPr>
      </w:pPr>
    </w:p>
    <w:p w14:paraId="3060F46B" w14:textId="77777777" w:rsidR="00B51BAC" w:rsidRDefault="00B51BAC">
      <w:pPr>
        <w:spacing w:after="0" w:line="240" w:lineRule="auto"/>
        <w:rPr>
          <w:rFonts w:ascii="Times New Roman" w:eastAsia="Times New Roman" w:hAnsi="Times New Roman" w:cs="Times New Roman"/>
          <w:b/>
          <w:sz w:val="24"/>
          <w:szCs w:val="24"/>
        </w:rPr>
      </w:pPr>
    </w:p>
    <w:p w14:paraId="128D8D3B" w14:textId="77777777" w:rsidR="00B51BAC" w:rsidRDefault="00F25C2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Appendix B: Residual tests for the Linear VAR estimations presented in Section 5</w:t>
      </w:r>
    </w:p>
    <w:p w14:paraId="5B6FDA89" w14:textId="77777777" w:rsidR="00B51BAC" w:rsidRDefault="00B51BAC">
      <w:pPr>
        <w:spacing w:after="0" w:line="240" w:lineRule="auto"/>
        <w:ind w:firstLine="720"/>
        <w:jc w:val="both"/>
        <w:rPr>
          <w:rFonts w:ascii="Times New Roman" w:eastAsia="Times New Roman" w:hAnsi="Times New Roman" w:cs="Times New Roman"/>
          <w:sz w:val="24"/>
          <w:szCs w:val="24"/>
        </w:rPr>
      </w:pPr>
    </w:p>
    <w:p w14:paraId="6D1FAC42" w14:textId="77777777" w:rsidR="00B51BAC" w:rsidRDefault="00F25C2B">
      <w:pPr>
        <w:spacing w:after="0" w:line="24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Based on the information criteria, we selected 4 lags. The residual test for autocorrelation (Box-Jung test) showed a p-value of 0.78 (lag 1), 0.95 (lag 2), 0.85 (lag 3), 0.92 (lag 4), 0.86 (lag 5), 0.92 (lag 6), 0.83 (lag 7), 0.58 (lag 8), indicating that they do not have autocorrelation. The ARCH test for heteroscedasticity showed a p-value of 0.1674, indicating that the model is free of this problem. Furthermore, the model is stable since all the eigenvalues of the coefficient matrix are smaller than one. Finally, the normality test Jarque Bera rejects the null hypothesis that residuals are normally distributed.</w:t>
      </w:r>
      <w:r>
        <w:rPr>
          <w:rFonts w:ascii="Times New Roman" w:eastAsia="Times New Roman" w:hAnsi="Times New Roman" w:cs="Times New Roman"/>
          <w:sz w:val="24"/>
          <w:szCs w:val="24"/>
          <w:vertAlign w:val="superscript"/>
        </w:rPr>
        <w:footnoteReference w:id="1"/>
      </w:r>
    </w:p>
    <w:p w14:paraId="73204ECB" w14:textId="77777777" w:rsidR="00B51BAC" w:rsidRDefault="00B51BAC">
      <w:pPr>
        <w:spacing w:after="0" w:line="240" w:lineRule="auto"/>
        <w:jc w:val="both"/>
        <w:rPr>
          <w:rFonts w:ascii="Times New Roman" w:eastAsia="Times New Roman" w:hAnsi="Times New Roman" w:cs="Times New Roman"/>
          <w:i/>
          <w:sz w:val="24"/>
          <w:szCs w:val="24"/>
        </w:rPr>
      </w:pPr>
    </w:p>
    <w:p w14:paraId="397BB476" w14:textId="77777777" w:rsidR="00B51BAC" w:rsidRDefault="00F25C2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Appendix C</w:t>
      </w:r>
    </w:p>
    <w:p w14:paraId="59C6F04D" w14:textId="77777777" w:rsidR="00B51BAC" w:rsidRDefault="00F25C2B">
      <w:pPr>
        <w:spacing w:after="0"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This Appendix shows the results for the impact of private investment on public investment. While the TVAR estimations show statistically significant results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highlight w:val="white"/>
        </w:rPr>
        <w:t>- see Table 1 in Section 5 (Figure 1C), the linear VAR approach (Figure 2C) does not show a statistically significant impact.</w:t>
      </w:r>
    </w:p>
    <w:p w14:paraId="3FFDA738" w14:textId="77777777" w:rsidR="00B51BAC" w:rsidRDefault="00B51BAC">
      <w:pPr>
        <w:spacing w:after="0" w:line="240" w:lineRule="auto"/>
        <w:ind w:firstLine="720"/>
        <w:jc w:val="both"/>
        <w:rPr>
          <w:rFonts w:ascii="Times New Roman" w:eastAsia="Times New Roman" w:hAnsi="Times New Roman" w:cs="Times New Roman"/>
          <w:sz w:val="24"/>
          <w:szCs w:val="24"/>
          <w:highlight w:val="white"/>
        </w:rPr>
      </w:pPr>
    </w:p>
    <w:p w14:paraId="0104E2BE" w14:textId="77777777" w:rsidR="00B51BAC" w:rsidRDefault="00F25C2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1C: Accumulated response of public investment to a standard deviation shock in private investment in the relatively low- and high-inequality regimes - Results from TVAR</w:t>
      </w:r>
    </w:p>
    <w:p w14:paraId="337B4CDF" w14:textId="77777777" w:rsidR="00B51BAC" w:rsidRDefault="00F25C2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eastAsia="en-US"/>
        </w:rPr>
        <w:drawing>
          <wp:inline distT="114300" distB="114300" distL="114300" distR="114300" wp14:anchorId="0FA23D8E" wp14:editId="5E201A05">
            <wp:extent cx="4572000" cy="2752725"/>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4572000" cy="2752725"/>
                    </a:xfrm>
                    <a:prstGeom prst="rect">
                      <a:avLst/>
                    </a:prstGeom>
                    <a:ln/>
                  </pic:spPr>
                </pic:pic>
              </a:graphicData>
            </a:graphic>
          </wp:inline>
        </w:drawing>
      </w:r>
    </w:p>
    <w:p w14:paraId="1C40C32F" w14:textId="2D316D6F" w:rsidR="00B51BAC" w:rsidRDefault="00EE2E77">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Source: authors’ elaboration</w:t>
      </w:r>
    </w:p>
    <w:p w14:paraId="5C3FFD2F" w14:textId="77777777" w:rsidR="00EE2E77" w:rsidRDefault="00EE2E77">
      <w:pPr>
        <w:spacing w:after="0" w:line="240" w:lineRule="auto"/>
        <w:jc w:val="both"/>
        <w:rPr>
          <w:rFonts w:ascii="Times New Roman" w:eastAsia="Times New Roman" w:hAnsi="Times New Roman" w:cs="Times New Roman"/>
          <w:b/>
          <w:sz w:val="24"/>
          <w:szCs w:val="24"/>
        </w:rPr>
      </w:pPr>
    </w:p>
    <w:p w14:paraId="7B8C9B94" w14:textId="77777777" w:rsidR="00B51BAC" w:rsidRDefault="00F25C2B">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Figure 2C: Accumulated response of public investment to a standard deviation shock in private investment for Brazil - Results from linear VAR</w:t>
      </w:r>
    </w:p>
    <w:p w14:paraId="5C39797B" w14:textId="77777777" w:rsidR="00B51BAC" w:rsidRDefault="00F25C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US"/>
        </w:rPr>
        <w:lastRenderedPageBreak/>
        <w:drawing>
          <wp:inline distT="114300" distB="114300" distL="114300" distR="114300" wp14:anchorId="10931CD1" wp14:editId="76C54016">
            <wp:extent cx="5399730" cy="3251200"/>
            <wp:effectExtent l="0" t="0" r="0" b="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399730" cy="3251200"/>
                    </a:xfrm>
                    <a:prstGeom prst="rect">
                      <a:avLst/>
                    </a:prstGeom>
                    <a:ln/>
                  </pic:spPr>
                </pic:pic>
              </a:graphicData>
            </a:graphic>
          </wp:inline>
        </w:drawing>
      </w:r>
    </w:p>
    <w:p w14:paraId="23F65DE5" w14:textId="77777777" w:rsidR="00B51BAC" w:rsidRDefault="00F25C2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Source: authors’ elaboration. The dashed lines correspond to confidence intervals of 90%.</w:t>
      </w:r>
    </w:p>
    <w:p w14:paraId="3D7CD77C" w14:textId="77777777" w:rsidR="00B51BAC" w:rsidRDefault="00B51BAC">
      <w:pPr>
        <w:spacing w:after="0" w:line="240" w:lineRule="auto"/>
        <w:rPr>
          <w:rFonts w:ascii="Times New Roman" w:eastAsia="Times New Roman" w:hAnsi="Times New Roman" w:cs="Times New Roman"/>
          <w:b/>
          <w:sz w:val="24"/>
          <w:szCs w:val="24"/>
        </w:rPr>
      </w:pPr>
    </w:p>
    <w:p w14:paraId="796379D9" w14:textId="77777777" w:rsidR="00B51BAC" w:rsidRDefault="00F25C2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Appendix D: Control variables</w:t>
      </w:r>
    </w:p>
    <w:p w14:paraId="784676CF" w14:textId="77777777" w:rsidR="00B51BAC" w:rsidRDefault="00B51BAC">
      <w:pPr>
        <w:spacing w:after="0" w:line="240" w:lineRule="auto"/>
        <w:ind w:firstLine="720"/>
        <w:jc w:val="both"/>
        <w:rPr>
          <w:rFonts w:ascii="Times New Roman" w:eastAsia="Times New Roman" w:hAnsi="Times New Roman" w:cs="Times New Roman"/>
          <w:sz w:val="24"/>
          <w:szCs w:val="24"/>
        </w:rPr>
      </w:pPr>
    </w:p>
    <w:p w14:paraId="4248E281" w14:textId="77777777" w:rsidR="00B51BAC" w:rsidRDefault="00F25C2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Firstly, we consider the possibility of private investment being influenced by aggregate demand, known as the accelerator effect. To account for this, we incorporate a control variable representing the degree of capacity utilization, serving as a proxy for aggregate demand (Fraga and Ferreira-Filho, 2023; Reis et al., 2019; Bredow et al., 2022; Alves and Luporini, 2008; Jacinto and Ribeiro, 1998). Our analysis indicates that this variable is positive and statistically significant at the 0.1% level, implying a positive impact on private investment. Figure 1D shows that the crowding-in effect still appears when we control for aggregate demand: a 10% increase in public investment leads to an increase in private investment of 1.24% in the first period, and of 2.21% after four quarters.</w:t>
      </w:r>
    </w:p>
    <w:p w14:paraId="012639B9" w14:textId="77777777" w:rsidR="00B51BAC" w:rsidRDefault="00B51BAC">
      <w:pPr>
        <w:spacing w:after="0" w:line="240" w:lineRule="auto"/>
        <w:jc w:val="both"/>
        <w:rPr>
          <w:rFonts w:ascii="Times New Roman" w:eastAsia="Times New Roman" w:hAnsi="Times New Roman" w:cs="Times New Roman"/>
          <w:sz w:val="24"/>
          <w:szCs w:val="24"/>
        </w:rPr>
      </w:pPr>
    </w:p>
    <w:p w14:paraId="32810CEE" w14:textId="77777777" w:rsidR="00B51BAC" w:rsidRDefault="00F25C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1D: Accumulated response of private investment to a standard deviation shock in public investment in the linear VAR using the capacity utilization variable as exogenous </w:t>
      </w:r>
    </w:p>
    <w:p w14:paraId="1BD9CC13" w14:textId="77777777" w:rsidR="00B51BAC" w:rsidRDefault="00F25C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US"/>
        </w:rPr>
        <w:drawing>
          <wp:inline distT="114300" distB="114300" distL="114300" distR="114300" wp14:anchorId="083874BF" wp14:editId="78E37476">
            <wp:extent cx="5399730" cy="3238500"/>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5399730" cy="3238500"/>
                    </a:xfrm>
                    <a:prstGeom prst="rect">
                      <a:avLst/>
                    </a:prstGeom>
                    <a:ln/>
                  </pic:spPr>
                </pic:pic>
              </a:graphicData>
            </a:graphic>
          </wp:inline>
        </w:drawing>
      </w:r>
    </w:p>
    <w:p w14:paraId="0D76AA11" w14:textId="77777777" w:rsidR="00B51BAC" w:rsidRDefault="00F25C2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Source: authors’ elaboration. The dashed lines correspond to confidence intervals of 90%.</w:t>
      </w:r>
    </w:p>
    <w:p w14:paraId="1C671001" w14:textId="77777777" w:rsidR="00B51BAC" w:rsidRDefault="00B51BAC">
      <w:pPr>
        <w:spacing w:after="0" w:line="240" w:lineRule="auto"/>
        <w:jc w:val="both"/>
        <w:rPr>
          <w:rFonts w:ascii="Times New Roman" w:eastAsia="Times New Roman" w:hAnsi="Times New Roman" w:cs="Times New Roman"/>
        </w:rPr>
      </w:pPr>
    </w:p>
    <w:p w14:paraId="38DDAC93" w14:textId="77777777" w:rsidR="00B51BAC" w:rsidRDefault="00F25C2B">
      <w:pPr>
        <w:spacing w:after="0" w:line="240" w:lineRule="auto"/>
        <w:ind w:firstLine="7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This finding aligns with previous studies by Jacinto and Ribeiro (1998), Alves and Luporini (2008), Sonaglio et al. (2010), and Reis et al. (2019), which have similarly observed a positive relationship between capacity utilization and private investment. The rationale behind this relationship is that companies tend to increase their investments as the utilization of installed capacity rises. Moreover, in the presence of demand stimuli, private investment tends to rise until it achieves the desired capital stock (Conte Filho, 2013).</w:t>
      </w:r>
    </w:p>
    <w:p w14:paraId="2B325A0F" w14:textId="77777777" w:rsidR="00B51BAC" w:rsidRDefault="00F25C2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Furthermore, we have included the exogenous real exchange rate variable (Ribeiro and Teixeira, 2001; Tadeu and Silva, 2013; Reis et al., 2019; Bredow et al., 2022). We found a negative and significant effect at the 5% level (Tadeu and Silva, 2013; Dos Santos et al., 2016). According to Figure 2D, with the inclusion of the exchange rate variable, a 10% increase in public investment implies an increase in private investment of 1.25% and 2.44% in the first and after four quarters, respectively. </w:t>
      </w:r>
    </w:p>
    <w:p w14:paraId="45B5BABB" w14:textId="77777777" w:rsidR="00B51BAC" w:rsidRDefault="00F25C2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negative sign of the exchange rate may indicate that higher accurate (devaluated) exchange rates may not encourage imports of capital goods and, therefore, reduce private investment. This result is in line with Ribeiro and Teixeira (2001) and Tadeu and Silva, 2013), who found that the exchange rate significantly and negatively affects private investment in Brazil.</w:t>
      </w:r>
    </w:p>
    <w:p w14:paraId="67C96422" w14:textId="77777777" w:rsidR="00B51BAC" w:rsidRDefault="00B51BAC">
      <w:pPr>
        <w:spacing w:after="0" w:line="240" w:lineRule="auto"/>
        <w:jc w:val="both"/>
        <w:rPr>
          <w:rFonts w:ascii="Times New Roman" w:eastAsia="Times New Roman" w:hAnsi="Times New Roman" w:cs="Times New Roman"/>
          <w:sz w:val="24"/>
          <w:szCs w:val="24"/>
        </w:rPr>
      </w:pPr>
    </w:p>
    <w:p w14:paraId="34136224" w14:textId="77777777" w:rsidR="00B51BAC" w:rsidRDefault="00F25C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2D: Accumulated response of private investment to a standard deviation shock in public investment in the linear VAR using the exchange rate variable as exogenous  </w:t>
      </w:r>
    </w:p>
    <w:p w14:paraId="66A8C73B" w14:textId="77777777" w:rsidR="00B51BAC" w:rsidRDefault="00F25C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US"/>
        </w:rPr>
        <w:drawing>
          <wp:inline distT="114300" distB="114300" distL="114300" distR="114300" wp14:anchorId="48F7D218" wp14:editId="6643CD0A">
            <wp:extent cx="5399730" cy="3238500"/>
            <wp:effectExtent l="0" t="0" r="0" b="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399730" cy="3238500"/>
                    </a:xfrm>
                    <a:prstGeom prst="rect">
                      <a:avLst/>
                    </a:prstGeom>
                    <a:ln/>
                  </pic:spPr>
                </pic:pic>
              </a:graphicData>
            </a:graphic>
          </wp:inline>
        </w:drawing>
      </w:r>
    </w:p>
    <w:p w14:paraId="73F01F90" w14:textId="77777777" w:rsidR="00B51BAC" w:rsidRDefault="00F25C2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Source: authors’ elaboration. The dashed lines correspond to confidence intervals of 90%.</w:t>
      </w:r>
    </w:p>
    <w:p w14:paraId="5DF7BE30" w14:textId="77777777" w:rsidR="00B51BAC" w:rsidRDefault="00B51BAC">
      <w:pPr>
        <w:spacing w:after="0" w:line="240" w:lineRule="auto"/>
        <w:jc w:val="both"/>
        <w:rPr>
          <w:rFonts w:ascii="Times New Roman" w:eastAsia="Times New Roman" w:hAnsi="Times New Roman" w:cs="Times New Roman"/>
        </w:rPr>
      </w:pPr>
    </w:p>
    <w:p w14:paraId="0448206A" w14:textId="77777777" w:rsidR="00B51BAC" w:rsidRDefault="00F25C2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have also included the commodity price index</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as a control variable. As in Dos Santos et al. (2016), the exogenous variable commodities had a positive effect and was significant at the 1% level. This effect may be associated with increased agricultural and extractive investment participation. Another explanation would be indirect channels, for example, the reduction of external restrictions on economic growth and the expansion of the domestic consumer market (Dos Santos et al., 2016). Figure 3D shows that our crowding-in result is robust to the inclusion of the commodity price index as a control variable: a 10% increase in public investment leads to an increase in private investment of 1.23% and 2.97% after one and four quarters. </w:t>
      </w:r>
    </w:p>
    <w:p w14:paraId="5E104857" w14:textId="77777777" w:rsidR="00B51BAC" w:rsidRDefault="00B51BAC">
      <w:pPr>
        <w:spacing w:after="0" w:line="240" w:lineRule="auto"/>
        <w:jc w:val="both"/>
        <w:rPr>
          <w:rFonts w:ascii="Times New Roman" w:eastAsia="Times New Roman" w:hAnsi="Times New Roman" w:cs="Times New Roman"/>
          <w:sz w:val="24"/>
          <w:szCs w:val="24"/>
        </w:rPr>
      </w:pPr>
    </w:p>
    <w:p w14:paraId="31B41689" w14:textId="77777777" w:rsidR="00B51BAC" w:rsidRDefault="00F25C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Figure 3D: Accumulated response of private investment to a standard deviation shock in public investment in the linear VAR using the commodities variable as exogenous </w:t>
      </w:r>
    </w:p>
    <w:p w14:paraId="64D152F2" w14:textId="77777777" w:rsidR="00B51BAC" w:rsidRDefault="00F25C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US"/>
        </w:rPr>
        <w:drawing>
          <wp:inline distT="114300" distB="114300" distL="114300" distR="114300" wp14:anchorId="521DEF2B" wp14:editId="616D2C18">
            <wp:extent cx="5399730" cy="3238500"/>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399730" cy="3238500"/>
                    </a:xfrm>
                    <a:prstGeom prst="rect">
                      <a:avLst/>
                    </a:prstGeom>
                    <a:ln/>
                  </pic:spPr>
                </pic:pic>
              </a:graphicData>
            </a:graphic>
          </wp:inline>
        </w:drawing>
      </w:r>
    </w:p>
    <w:p w14:paraId="4D67EB33" w14:textId="77777777" w:rsidR="00B51BAC" w:rsidRDefault="00F25C2B">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Source: authors’ elaboration. The dashed lines correspond to confidence intervals of 90%.</w:t>
      </w:r>
    </w:p>
    <w:p w14:paraId="26B6E2D7" w14:textId="77777777" w:rsidR="00B51BAC" w:rsidRDefault="00B51BAC">
      <w:pPr>
        <w:spacing w:after="0" w:line="240" w:lineRule="auto"/>
        <w:jc w:val="both"/>
        <w:rPr>
          <w:rFonts w:ascii="Times New Roman" w:eastAsia="Times New Roman" w:hAnsi="Times New Roman" w:cs="Times New Roman"/>
        </w:rPr>
      </w:pPr>
    </w:p>
    <w:p w14:paraId="51290761" w14:textId="77777777" w:rsidR="00B51BAC" w:rsidRDefault="00F25C2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Finally, we have included the interest rate control variable (Bredow et al., 2022; Alves and Luporini, 2008; Cruz and Teixeira, 1999). This control variable did not show statistical significance. Notably, in addition to not being significant, the interest rate has a negative value, in line with Bredow et al. (2022). It is worth remembering one of the arguments why public investment would generate a crowding-out effect on private investment. If there were an increase in the interest rate to finance public investment through the sale of public bonds, the availability of private-sector credit would be reduced. Moreover, private investment would consequently be discouraged. Our result suggests the opposite since public spending did not exert pressure on prices and costs in the economy. Furthermore, it had a potential negative impact on private investments. </w:t>
      </w:r>
    </w:p>
    <w:p w14:paraId="2E0CF3B3" w14:textId="77777777" w:rsidR="00B51BAC" w:rsidRDefault="00B51BAC">
      <w:pPr>
        <w:spacing w:after="0" w:line="240" w:lineRule="auto"/>
        <w:jc w:val="both"/>
        <w:rPr>
          <w:rFonts w:ascii="Times New Roman" w:eastAsia="Times New Roman" w:hAnsi="Times New Roman" w:cs="Times New Roman"/>
          <w:sz w:val="24"/>
          <w:szCs w:val="24"/>
        </w:rPr>
      </w:pPr>
    </w:p>
    <w:p w14:paraId="41EDDD3D" w14:textId="77777777" w:rsidR="00B51BAC" w:rsidRDefault="00F25C2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Therefore, public investment would not compete with private investment for resources by raising the interest rate or increasing production costs (putting pressure on inflation). On the contrary, public investment would generate a crowding-in effect on private investment due to its multiplier effect and the physical expansion and expansion of the domestic market. In addition to acting as a facilitator of services and reducing production costs of private investment, increasing the productivity of the economy, mainly when aimed at meeting infrastructure demands (Aschauer, 1989a and 1989b; Greene and Villanueva, 1991; Calderón and Servén, 2004 and Perrotti and Sánchez, 2011; Reis et al., 2019).</w:t>
      </w:r>
    </w:p>
    <w:p w14:paraId="5D4D4460" w14:textId="77777777" w:rsidR="00B51BAC" w:rsidRDefault="00B51BAC">
      <w:pPr>
        <w:spacing w:after="0" w:line="240" w:lineRule="auto"/>
        <w:jc w:val="both"/>
        <w:rPr>
          <w:rFonts w:ascii="Times New Roman" w:eastAsia="Times New Roman" w:hAnsi="Times New Roman" w:cs="Times New Roman"/>
          <w:sz w:val="24"/>
          <w:szCs w:val="24"/>
        </w:rPr>
      </w:pPr>
    </w:p>
    <w:p w14:paraId="78450132" w14:textId="77777777" w:rsidR="00B51BAC" w:rsidRDefault="00F25C2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Tests for the Linear VARs presented in Section 7</w:t>
      </w:r>
    </w:p>
    <w:p w14:paraId="0A4BD1B4" w14:textId="77777777" w:rsidR="00B51BAC" w:rsidRDefault="00B51BAC">
      <w:pPr>
        <w:spacing w:after="0" w:line="240" w:lineRule="auto"/>
        <w:rPr>
          <w:rFonts w:ascii="Times New Roman" w:eastAsia="Times New Roman" w:hAnsi="Times New Roman" w:cs="Times New Roman"/>
          <w:sz w:val="24"/>
          <w:szCs w:val="24"/>
        </w:rPr>
      </w:pPr>
    </w:p>
    <w:p w14:paraId="19B8A7A8" w14:textId="77777777" w:rsidR="00B51BAC" w:rsidRDefault="00F25C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Tests on the residuals of the models with control variables are available in the following and indicate the estimations are stable and do not exhibit heteroscedasticity or residual correlations.</w:t>
      </w:r>
    </w:p>
    <w:p w14:paraId="5C049386" w14:textId="77777777" w:rsidR="00B51BAC" w:rsidRDefault="00B51BAC">
      <w:pPr>
        <w:spacing w:after="0" w:line="240" w:lineRule="auto"/>
        <w:rPr>
          <w:rFonts w:ascii="Times New Roman" w:eastAsia="Times New Roman" w:hAnsi="Times New Roman" w:cs="Times New Roman"/>
          <w:b/>
          <w:sz w:val="24"/>
          <w:szCs w:val="24"/>
        </w:rPr>
      </w:pPr>
    </w:p>
    <w:p w14:paraId="369C5E10" w14:textId="77777777" w:rsidR="00B51BAC" w:rsidRDefault="00F25C2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-Linear VAR using the degree of capacity utilization as a control variable</w:t>
      </w:r>
    </w:p>
    <w:p w14:paraId="27D1523F" w14:textId="77777777" w:rsidR="00B51BAC" w:rsidRDefault="00F25C2B">
      <w:pPr>
        <w:spacing w:after="0" w:line="240" w:lineRule="auto"/>
        <w:ind w:firstLine="720"/>
        <w:jc w:val="both"/>
        <w:rPr>
          <w:rFonts w:ascii="Times New Roman" w:eastAsia="Times New Roman" w:hAnsi="Times New Roman" w:cs="Times New Roman"/>
          <w:sz w:val="24"/>
          <w:szCs w:val="24"/>
        </w:rPr>
      </w:pPr>
      <w:bookmarkStart w:id="1" w:name="_heading=h.gjdgxs" w:colFirst="0" w:colLast="0"/>
      <w:bookmarkEnd w:id="1"/>
      <w:r>
        <w:rPr>
          <w:rFonts w:ascii="Times New Roman" w:eastAsia="Times New Roman" w:hAnsi="Times New Roman" w:cs="Times New Roman"/>
          <w:sz w:val="24"/>
          <w:szCs w:val="24"/>
        </w:rPr>
        <w:t>Based on the information criteria, we selected 4 lags. The residual autocorrelation test (Box-Jung test) presented p-values of 0.69 (lag 1), 0.92 (lag 2), 0.87 (lag 3), 0.94 (lag 4), 0, 87 (lag 5), 0.93 (lag 6), 0.85 (lag 7), 0.59 (lag 8), indicating that they do not have autocorrelation. The ARCH test for heteroscedasticity presented a p-value of 0.80, indicating that the model is free from this problem. The model is stable, as all eigenvalues in the coefficient matrix are less than one. Finally, the Jarque Bera normality test rejects the null hypothesis that the residuals are normally distributed.</w:t>
      </w:r>
    </w:p>
    <w:p w14:paraId="244D0AD6" w14:textId="77777777" w:rsidR="00B51BAC" w:rsidRDefault="00F25C2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-Linear VAR using exchange rate as a control variable</w:t>
      </w:r>
    </w:p>
    <w:p w14:paraId="3AA58650" w14:textId="77777777" w:rsidR="00B51BAC" w:rsidRDefault="00F25C2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the information criteria, we selected 4 lags. The residual autocorrelation test (Box-Jung test) presented p-values of 0.71 (lag 1), 0.89 (lag 2), 0.87 (lag 3), 0.95 (lag 4), 0, 90 (lag 5), 0.94 (lag 6), 0.87 (lag 7), 0.62 (lag 8), indicating that they do not have autocorrelation. The ARCH test for heteroscedasticity presented a p-value of 0.77, indicating that the model is free from this problem. The model is stable, as all eigenvalues in the coefficient matrix are less than one. Finally, the Jarque Bera normality test rejects the null hypothesis that the residuals are normally distributed.</w:t>
      </w:r>
    </w:p>
    <w:p w14:paraId="7B1E8B58" w14:textId="77777777" w:rsidR="00B51BAC" w:rsidRDefault="00F25C2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-Linear VAR using commodity price index as a control variable</w:t>
      </w:r>
    </w:p>
    <w:p w14:paraId="5DD49877" w14:textId="77777777" w:rsidR="00B51BAC" w:rsidRDefault="00F25C2B">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the information criteria, we selected 4 lags. The residual autocorrelation test (Box-Jung test) presented p-values of 0.74 (lag 1), 0.93 (lag 2), 0.90 (lag 3), 0.95 (lag 4), 0, 85 (lag 5), 0.92 (lag 6), 0.72 (lag 7), 0.39 (lag 8), indicating that they do not have autocorrelation. The ARCH test for heteroscedasticity presented a p-value of 0.055, indicating that the model is free from this problem. The model is stable, as all eigenvalues in the coefficient matrix are less than one. Finally, the Jarque Bera normality test rejects the null hypothesis that the residuals are normally distributed.</w:t>
      </w:r>
    </w:p>
    <w:p w14:paraId="3FEA03D8" w14:textId="77777777" w:rsidR="00B51BAC" w:rsidRDefault="00B51BAC">
      <w:pPr>
        <w:spacing w:line="240" w:lineRule="auto"/>
        <w:jc w:val="both"/>
        <w:rPr>
          <w:rFonts w:ascii="Times New Roman" w:eastAsia="Times New Roman" w:hAnsi="Times New Roman" w:cs="Times New Roman"/>
          <w:sz w:val="24"/>
          <w:szCs w:val="24"/>
        </w:rPr>
      </w:pPr>
    </w:p>
    <w:sectPr w:rsidR="00B51BAC">
      <w:pgSz w:w="11906" w:h="16838"/>
      <w:pgMar w:top="1134" w:right="851" w:bottom="1134"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3C760" w14:textId="77777777" w:rsidR="00BF6663" w:rsidRDefault="00BF6663">
      <w:pPr>
        <w:spacing w:after="0" w:line="240" w:lineRule="auto"/>
      </w:pPr>
      <w:r>
        <w:separator/>
      </w:r>
    </w:p>
  </w:endnote>
  <w:endnote w:type="continuationSeparator" w:id="0">
    <w:p w14:paraId="0191684F" w14:textId="77777777" w:rsidR="00BF6663" w:rsidRDefault="00BF6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0A2E3A" w14:textId="77777777" w:rsidR="00BF6663" w:rsidRDefault="00BF6663">
      <w:pPr>
        <w:spacing w:after="0" w:line="240" w:lineRule="auto"/>
      </w:pPr>
      <w:r>
        <w:separator/>
      </w:r>
    </w:p>
  </w:footnote>
  <w:footnote w:type="continuationSeparator" w:id="0">
    <w:p w14:paraId="562DA866" w14:textId="77777777" w:rsidR="00BF6663" w:rsidRDefault="00BF6663">
      <w:pPr>
        <w:spacing w:after="0" w:line="240" w:lineRule="auto"/>
      </w:pPr>
      <w:r>
        <w:continuationSeparator/>
      </w:r>
    </w:p>
  </w:footnote>
  <w:footnote w:id="1">
    <w:p w14:paraId="6AD16007" w14:textId="77777777" w:rsidR="00B51BAC" w:rsidRDefault="00F25C2B">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Normality is hard to achieve in the short run time series. As pointed out by Brenck (2021, p.378), “The Law of Large Number states that when sample size tends to infinity, the sample mean converges to the population mean, and the error term becomes normally distributed so that the lack of normality can be due to shorter term data”.</w:t>
      </w:r>
    </w:p>
  </w:footnote>
  <w:footnote w:id="2">
    <w:p w14:paraId="7D5DDC8F" w14:textId="77777777" w:rsidR="00B51BAC" w:rsidRDefault="00F25C2B">
      <w:pPr>
        <w:spacing w:after="0" w:line="240" w:lineRule="auto"/>
        <w:jc w:val="both"/>
        <w:rPr>
          <w:rFonts w:ascii="Times New Roman" w:eastAsia="Times New Roman" w:hAnsi="Times New Roman" w:cs="Times New Roman"/>
          <w:sz w:val="16"/>
          <w:szCs w:val="16"/>
        </w:rPr>
      </w:pPr>
      <w:r>
        <w:rPr>
          <w:vertAlign w:val="superscript"/>
        </w:rPr>
        <w:footnoteRef/>
      </w:r>
      <w:r>
        <w:rPr>
          <w:rFonts w:ascii="Times New Roman" w:eastAsia="Times New Roman" w:hAnsi="Times New Roman" w:cs="Times New Roman"/>
          <w:sz w:val="20"/>
          <w:szCs w:val="20"/>
        </w:rPr>
        <w:t xml:space="preserve"> This exercise is performed for the period 2003-2022. Data for the commodity price index are available by the IMF from 2003 onwards.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BAC"/>
    <w:rsid w:val="00133190"/>
    <w:rsid w:val="00234EBA"/>
    <w:rsid w:val="003B6932"/>
    <w:rsid w:val="008678AA"/>
    <w:rsid w:val="00B51BAC"/>
    <w:rsid w:val="00BF6663"/>
    <w:rsid w:val="00EE2E77"/>
    <w:rsid w:val="00F25C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4AB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tblPr>
      <w:tblStyleRowBandSize w:val="1"/>
      <w:tblStyleColBandSize w:val="1"/>
      <w:tblCellMar>
        <w:top w:w="100" w:type="dxa"/>
        <w:left w:w="100" w:type="dxa"/>
        <w:bottom w:w="100" w:type="dxa"/>
        <w:right w:w="100"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2"/>
    <w:pPr>
      <w:spacing w:after="0" w:line="240" w:lineRule="auto"/>
    </w:pPr>
    <w:tblPr>
      <w:tblStyleRowBandSize w:val="1"/>
      <w:tblStyleColBandSize w:val="1"/>
      <w:tblCellMar>
        <w:left w:w="108" w:type="dxa"/>
        <w:right w:w="108" w:type="dxa"/>
      </w:tblCellMar>
    </w:tblPr>
  </w:style>
  <w:style w:type="paragraph" w:styleId="Header">
    <w:name w:val="header"/>
    <w:basedOn w:val="Normal"/>
    <w:link w:val="HeaderChar"/>
    <w:uiPriority w:val="99"/>
    <w:unhideWhenUsed/>
    <w:rsid w:val="00133190"/>
    <w:pPr>
      <w:tabs>
        <w:tab w:val="center" w:pos="4252"/>
        <w:tab w:val="right" w:pos="8504"/>
      </w:tabs>
      <w:spacing w:after="0" w:line="240" w:lineRule="auto"/>
    </w:pPr>
  </w:style>
  <w:style w:type="character" w:customStyle="1" w:styleId="HeaderChar">
    <w:name w:val="Header Char"/>
    <w:basedOn w:val="DefaultParagraphFont"/>
    <w:link w:val="Header"/>
    <w:uiPriority w:val="99"/>
    <w:rsid w:val="00133190"/>
  </w:style>
  <w:style w:type="paragraph" w:styleId="Footer">
    <w:name w:val="footer"/>
    <w:basedOn w:val="Normal"/>
    <w:link w:val="FooterChar"/>
    <w:uiPriority w:val="99"/>
    <w:unhideWhenUsed/>
    <w:rsid w:val="00133190"/>
    <w:pPr>
      <w:tabs>
        <w:tab w:val="center" w:pos="4252"/>
        <w:tab w:val="right" w:pos="8504"/>
      </w:tabs>
      <w:spacing w:after="0" w:line="240" w:lineRule="auto"/>
    </w:pPr>
  </w:style>
  <w:style w:type="character" w:customStyle="1" w:styleId="FooterChar">
    <w:name w:val="Footer Char"/>
    <w:basedOn w:val="DefaultParagraphFont"/>
    <w:link w:val="Footer"/>
    <w:uiPriority w:val="99"/>
    <w:rsid w:val="00133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wMmW5hQSzARo9vTh6ObKXpJLZg==">CgMxLjAyCGguZ2pkZ3hzOABqLQoUc3VnZ2VzdC5zbDdqeXRkdm9qaHMSFUd1c3Rhdm8gUGVyZWlyYSBTZXJyYWotChRzdWdnZXN0LmJxMWZsc2VvdXpzMhIVR3VzdGF2byBQZXJlaXJhIFNlcnJhai0KFHN1Z2dlc3QudGh6amtoeDMzM3kwEhVHdXN0YXZvIFBlcmVpcmEgU2VycmFqLQoUc3VnZ2VzdC4zbnJ2a3JoN3ozMjESFUd1c3Rhdm8gUGVyZWlyYSBTZXJyYWotChRzdWdnZXN0LnFtbzFhZTJyaXBobRIVR3VzdGF2byBQZXJlaXJhIFNlcnJhciExMHpsdGZ2dUlXSi1nZl8zSk1hN1pIR0c0SGxDNXFYRF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2144</Words>
  <Characters>12224</Characters>
  <Application>Microsoft Office Word</Application>
  <DocSecurity>0</DocSecurity>
  <Lines>101</Lines>
  <Paragraphs>28</Paragraphs>
  <ScaleCrop>false</ScaleCrop>
  <Company/>
  <LinksUpToDate>false</LinksUpToDate>
  <CharactersWithSpaces>14340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2025-02-25T12:29:00Z</dcterms:created>
  <dcterms:modified xsi:type="dcterms:W3CDTF">2025-04-30T03:49:00Z</dcterms:modified>
</cp:coreProperties>
</file>