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FDFE" w14:textId="4DA725F7" w:rsidR="00984770" w:rsidRDefault="00984770" w:rsidP="009637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 Descriptive Statistics</w:t>
      </w:r>
    </w:p>
    <w:p w14:paraId="28FDD5BB" w14:textId="535C360A" w:rsidR="0096376E" w:rsidRDefault="0096376E" w:rsidP="009637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3770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984770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1:</w:t>
      </w:r>
      <w:r w:rsidRPr="00DA37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Mean Project Value, Applicants,</w:t>
      </w:r>
      <w:r w:rsidRPr="00DA3770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bCs/>
          <w:sz w:val="24"/>
          <w:szCs w:val="24"/>
        </w:rPr>
        <w:t>Conversion Rates</w:t>
      </w:r>
      <w:r w:rsidRPr="00DA37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DA3770">
        <w:rPr>
          <w:rFonts w:ascii="Times New Roman" w:hAnsi="Times New Roman" w:cs="Times New Roman"/>
          <w:b/>
          <w:bCs/>
          <w:sz w:val="24"/>
          <w:szCs w:val="24"/>
        </w:rPr>
        <w:t xml:space="preserve"> Finep </w:t>
      </w:r>
      <w:r>
        <w:rPr>
          <w:rFonts w:ascii="Times New Roman" w:hAnsi="Times New Roman" w:cs="Times New Roman"/>
          <w:b/>
          <w:bCs/>
          <w:sz w:val="24"/>
          <w:szCs w:val="24"/>
        </w:rPr>
        <w:t>Reimbursable Funding</w:t>
      </w:r>
      <w:r w:rsidRPr="00DA3770">
        <w:rPr>
          <w:rFonts w:ascii="Times New Roman" w:hAnsi="Times New Roman" w:cs="Times New Roman"/>
          <w:b/>
          <w:bCs/>
          <w:sz w:val="24"/>
          <w:szCs w:val="24"/>
        </w:rPr>
        <w:t xml:space="preserve"> (2011-2017)</w:t>
      </w:r>
    </w:p>
    <w:tbl>
      <w:tblPr>
        <w:tblW w:w="5000" w:type="pct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"/>
        <w:gridCol w:w="1413"/>
        <w:gridCol w:w="1275"/>
        <w:gridCol w:w="1276"/>
        <w:gridCol w:w="1418"/>
        <w:gridCol w:w="1049"/>
        <w:gridCol w:w="1287"/>
      </w:tblGrid>
      <w:tr w:rsidR="00D16DCD" w:rsidRPr="00CA0B78" w14:paraId="406BD224" w14:textId="77777777" w:rsidTr="00D16DCD">
        <w:trPr>
          <w:trHeight w:val="223"/>
        </w:trPr>
        <w:tc>
          <w:tcPr>
            <w:tcW w:w="78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F86F41C" w14:textId="77777777" w:rsidR="00D16DCD" w:rsidRPr="00CA0B78" w:rsidRDefault="00D16DCD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B2FC15" w14:textId="6943BEFA" w:rsidR="00D16DCD" w:rsidRDefault="00D16DCD" w:rsidP="00B31DA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Project Value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82365A" w14:textId="298361FA" w:rsidR="00D16DCD" w:rsidRPr="00D6042D" w:rsidRDefault="00D16DCD" w:rsidP="00B31DA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Number of Applicants</w:t>
            </w:r>
          </w:p>
        </w:tc>
      </w:tr>
      <w:tr w:rsidR="0096376E" w:rsidRPr="00CA0B78" w14:paraId="15FDAB2C" w14:textId="77777777" w:rsidTr="00D16DCD">
        <w:trPr>
          <w:trHeight w:val="600"/>
        </w:trPr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CFD2C3E" w14:textId="77777777" w:rsidR="0096376E" w:rsidRPr="00CA0B78" w:rsidRDefault="0096376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0797210A" w14:textId="77777777" w:rsidR="0096376E" w:rsidRPr="00600458" w:rsidRDefault="0096376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0045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Year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BDB404B" w14:textId="699E2431" w:rsidR="0096376E" w:rsidRPr="00CA0B78" w:rsidRDefault="0096376E" w:rsidP="00D16D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143F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Not Supported </w:t>
            </w:r>
            <w:r w:rsidRPr="00CA0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(R$ - Million)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53E57E9" w14:textId="72DF6C9A" w:rsidR="0096376E" w:rsidRPr="00CA0B78" w:rsidRDefault="0096376E" w:rsidP="00B31DA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A0B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Supported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 w:type="textWrapping" w:clear="all"/>
            </w:r>
            <w:r w:rsidRPr="00CA0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(R$ - Million)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BF573E" w14:textId="00563301" w:rsidR="0096376E" w:rsidRPr="00CA0B78" w:rsidRDefault="0096376E" w:rsidP="00B31DA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A0B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Conversion Rate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7D79144" w14:textId="05EF65F0" w:rsidR="0096376E" w:rsidRPr="00D6042D" w:rsidRDefault="0096376E" w:rsidP="00B31DA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6042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Not Supported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3EC82B7" w14:textId="4C2660FC" w:rsidR="0096376E" w:rsidRPr="00D6042D" w:rsidRDefault="0096376E" w:rsidP="00B31DA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6042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Supported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5F9C58" w14:textId="77637F9E" w:rsidR="0096376E" w:rsidRPr="00D6042D" w:rsidRDefault="0096376E" w:rsidP="00B31DA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6042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Conversion Rate</w:t>
            </w:r>
          </w:p>
        </w:tc>
      </w:tr>
      <w:tr w:rsidR="0096376E" w:rsidRPr="00AF7704" w14:paraId="7DF91D0D" w14:textId="77777777" w:rsidTr="00D16DCD">
        <w:trPr>
          <w:trHeight w:val="300"/>
        </w:trPr>
        <w:tc>
          <w:tcPr>
            <w:tcW w:w="7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6A3C" w14:textId="7777777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F770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2011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A462ED" w14:textId="5F31C416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11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59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7403DA" w14:textId="1040302C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28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53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C48F73" w14:textId="433279E3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60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70%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7374E" w14:textId="7777777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94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41ADB6" w14:textId="7777777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B1FB0E" w14:textId="3AA204AF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38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56%</w:t>
            </w:r>
          </w:p>
        </w:tc>
      </w:tr>
      <w:tr w:rsidR="0096376E" w:rsidRPr="00AF7704" w14:paraId="79185F6B" w14:textId="77777777" w:rsidTr="00D16DCD">
        <w:trPr>
          <w:trHeight w:val="300"/>
        </w:trPr>
        <w:tc>
          <w:tcPr>
            <w:tcW w:w="786" w:type="dxa"/>
            <w:shd w:val="clear" w:color="auto" w:fill="auto"/>
            <w:noWrap/>
            <w:vAlign w:val="center"/>
            <w:hideMark/>
          </w:tcPr>
          <w:p w14:paraId="58DC7B2D" w14:textId="7777777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F770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2012</w:t>
            </w:r>
          </w:p>
        </w:tc>
        <w:tc>
          <w:tcPr>
            <w:tcW w:w="141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E4624" w14:textId="672757BC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15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97 </w:t>
            </w: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858FEC" w14:textId="023ACA8C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44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19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0EF1717" w14:textId="514C9DBF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73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46%</w:t>
            </w: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34F5B9" w14:textId="7777777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10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C373C1" w14:textId="7777777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1287" w:type="dxa"/>
            <w:tcMar>
              <w:left w:w="28" w:type="dxa"/>
              <w:right w:w="28" w:type="dxa"/>
            </w:tcMar>
            <w:vAlign w:val="center"/>
          </w:tcPr>
          <w:p w14:paraId="263C79C6" w14:textId="2A660EA6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50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00%</w:t>
            </w:r>
          </w:p>
        </w:tc>
      </w:tr>
      <w:tr w:rsidR="0096376E" w:rsidRPr="00AF7704" w14:paraId="39DB6244" w14:textId="77777777" w:rsidTr="00D16DCD">
        <w:trPr>
          <w:trHeight w:val="300"/>
        </w:trPr>
        <w:tc>
          <w:tcPr>
            <w:tcW w:w="786" w:type="dxa"/>
            <w:shd w:val="clear" w:color="auto" w:fill="auto"/>
            <w:noWrap/>
            <w:vAlign w:val="center"/>
            <w:hideMark/>
          </w:tcPr>
          <w:p w14:paraId="37117871" w14:textId="7777777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F770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2013</w:t>
            </w:r>
          </w:p>
        </w:tc>
        <w:tc>
          <w:tcPr>
            <w:tcW w:w="141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466889" w14:textId="21B553D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27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88 </w:t>
            </w: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250F50" w14:textId="6A3A95EF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69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44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04C924BE" w14:textId="0AF5A911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81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76%</w:t>
            </w: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5AF47A" w14:textId="7777777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10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61C08B" w14:textId="7777777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108</w:t>
            </w:r>
          </w:p>
        </w:tc>
        <w:tc>
          <w:tcPr>
            <w:tcW w:w="1287" w:type="dxa"/>
            <w:tcMar>
              <w:left w:w="28" w:type="dxa"/>
              <w:right w:w="28" w:type="dxa"/>
            </w:tcMar>
            <w:vAlign w:val="center"/>
          </w:tcPr>
          <w:p w14:paraId="06244E45" w14:textId="4442DA3C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64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29%</w:t>
            </w:r>
          </w:p>
        </w:tc>
      </w:tr>
      <w:tr w:rsidR="0096376E" w:rsidRPr="00AF7704" w14:paraId="69875F7B" w14:textId="77777777" w:rsidTr="00D16DCD">
        <w:trPr>
          <w:trHeight w:val="300"/>
        </w:trPr>
        <w:tc>
          <w:tcPr>
            <w:tcW w:w="786" w:type="dxa"/>
            <w:shd w:val="clear" w:color="auto" w:fill="auto"/>
            <w:noWrap/>
            <w:vAlign w:val="center"/>
            <w:hideMark/>
          </w:tcPr>
          <w:p w14:paraId="3055A332" w14:textId="7777777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F770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2014</w:t>
            </w:r>
          </w:p>
        </w:tc>
        <w:tc>
          <w:tcPr>
            <w:tcW w:w="141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627C7F" w14:textId="4922C740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10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35 </w:t>
            </w: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EEAFB" w14:textId="57F49E83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32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88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79966AB" w14:textId="51FEC95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62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40%</w:t>
            </w: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C4A960" w14:textId="7777777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10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2870B" w14:textId="7777777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94</w:t>
            </w:r>
          </w:p>
        </w:tc>
        <w:tc>
          <w:tcPr>
            <w:tcW w:w="1287" w:type="dxa"/>
            <w:tcMar>
              <w:left w:w="28" w:type="dxa"/>
              <w:right w:w="28" w:type="dxa"/>
            </w:tcMar>
            <w:vAlign w:val="center"/>
          </w:tcPr>
          <w:p w14:paraId="00236932" w14:textId="3D29B4C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34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31%</w:t>
            </w:r>
          </w:p>
        </w:tc>
      </w:tr>
      <w:tr w:rsidR="0096376E" w:rsidRPr="00AF7704" w14:paraId="1BC2F417" w14:textId="77777777" w:rsidTr="00D16DCD">
        <w:trPr>
          <w:trHeight w:val="300"/>
        </w:trPr>
        <w:tc>
          <w:tcPr>
            <w:tcW w:w="786" w:type="dxa"/>
            <w:shd w:val="clear" w:color="auto" w:fill="auto"/>
            <w:noWrap/>
            <w:vAlign w:val="center"/>
            <w:hideMark/>
          </w:tcPr>
          <w:p w14:paraId="0966D3FF" w14:textId="7777777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F770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2015</w:t>
            </w:r>
          </w:p>
        </w:tc>
        <w:tc>
          <w:tcPr>
            <w:tcW w:w="141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DF8520" w14:textId="69190CE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8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31 </w:t>
            </w: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02EBE6" w14:textId="01755EAA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29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29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0520B724" w14:textId="1062BFA5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64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53%</w:t>
            </w: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D5D755" w14:textId="7777777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10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B2C7D2" w14:textId="7777777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1287" w:type="dxa"/>
            <w:tcMar>
              <w:left w:w="28" w:type="dxa"/>
              <w:right w:w="28" w:type="dxa"/>
            </w:tcMar>
            <w:vAlign w:val="center"/>
          </w:tcPr>
          <w:p w14:paraId="02A8AB5E" w14:textId="4A7E655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34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04%</w:t>
            </w:r>
          </w:p>
        </w:tc>
      </w:tr>
      <w:tr w:rsidR="0096376E" w:rsidRPr="00AF7704" w14:paraId="7F727EEE" w14:textId="77777777" w:rsidTr="00D16DCD">
        <w:trPr>
          <w:trHeight w:val="300"/>
        </w:trPr>
        <w:tc>
          <w:tcPr>
            <w:tcW w:w="786" w:type="dxa"/>
            <w:shd w:val="clear" w:color="auto" w:fill="auto"/>
            <w:noWrap/>
            <w:vAlign w:val="center"/>
            <w:hideMark/>
          </w:tcPr>
          <w:p w14:paraId="211AE004" w14:textId="7777777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F770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2016</w:t>
            </w:r>
          </w:p>
        </w:tc>
        <w:tc>
          <w:tcPr>
            <w:tcW w:w="141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0B2C7" w14:textId="76A92CB1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8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58 </w:t>
            </w: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72E0B" w14:textId="3939B16C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27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11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E9E4D36" w14:textId="59B13FA6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69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42%</w:t>
            </w: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46DDC9" w14:textId="7777777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10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B7380A" w14:textId="7777777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287" w:type="dxa"/>
            <w:tcMar>
              <w:left w:w="28" w:type="dxa"/>
              <w:right w:w="28" w:type="dxa"/>
            </w:tcMar>
            <w:vAlign w:val="center"/>
          </w:tcPr>
          <w:p w14:paraId="40EDD789" w14:textId="5D633FD5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41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82%</w:t>
            </w:r>
          </w:p>
        </w:tc>
      </w:tr>
      <w:tr w:rsidR="0096376E" w:rsidRPr="00AF7704" w14:paraId="17FBDCEB" w14:textId="77777777" w:rsidTr="00D16DCD">
        <w:trPr>
          <w:trHeight w:val="300"/>
        </w:trPr>
        <w:tc>
          <w:tcPr>
            <w:tcW w:w="786" w:type="dxa"/>
            <w:shd w:val="clear" w:color="auto" w:fill="auto"/>
            <w:noWrap/>
            <w:vAlign w:val="center"/>
            <w:hideMark/>
          </w:tcPr>
          <w:p w14:paraId="667C5A55" w14:textId="7777777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F770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2017</w:t>
            </w:r>
          </w:p>
        </w:tc>
        <w:tc>
          <w:tcPr>
            <w:tcW w:w="141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A2620B" w14:textId="3A25B115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15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85 </w:t>
            </w: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820CE" w14:textId="5B7798F8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17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10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A2F4C62" w14:textId="6F86F37D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22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35%</w:t>
            </w: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00FCA" w14:textId="7777777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0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1A7D77" w14:textId="7777777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287" w:type="dxa"/>
            <w:tcMar>
              <w:left w:w="28" w:type="dxa"/>
              <w:right w:w="28" w:type="dxa"/>
            </w:tcMar>
            <w:vAlign w:val="center"/>
          </w:tcPr>
          <w:p w14:paraId="2F4C2A34" w14:textId="2B2ACE63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21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05%</w:t>
            </w:r>
          </w:p>
        </w:tc>
      </w:tr>
      <w:tr w:rsidR="0096376E" w:rsidRPr="00AF7704" w14:paraId="27CEA9FD" w14:textId="77777777" w:rsidTr="00D16DCD">
        <w:trPr>
          <w:trHeight w:val="300"/>
        </w:trPr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D68C" w14:textId="7777777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F770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719506" w14:textId="3E200174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13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21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6ECAB0" w14:textId="160D668B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43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28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62B507" w14:textId="41036EB2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70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81%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DFA493" w14:textId="7777777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516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B94F41" w14:textId="77777777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382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223EC3" w14:textId="7C5E317F" w:rsidR="0096376E" w:rsidRPr="00AF7704" w:rsidRDefault="0096376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42</w:t>
            </w:r>
            <w:r w:rsidR="00DD2B9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E252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54%</w:t>
            </w:r>
          </w:p>
        </w:tc>
      </w:tr>
    </w:tbl>
    <w:p w14:paraId="3E5C1F02" w14:textId="77777777" w:rsidR="0096376E" w:rsidRPr="00CA0B78" w:rsidRDefault="0096376E" w:rsidP="0096376E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CA0B78">
        <w:rPr>
          <w:rFonts w:ascii="Times New Roman" w:hAnsi="Times New Roman" w:cs="Times New Roman"/>
          <w:sz w:val="20"/>
          <w:szCs w:val="20"/>
        </w:rPr>
        <w:t>Source: Author’s elaboration based on Finep data.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F1BC85" w14:textId="77777777" w:rsidR="00D92D1F" w:rsidRPr="000A42FE" w:rsidRDefault="00D92D1F"/>
    <w:p w14:paraId="56F3FAFE" w14:textId="11E11B4D" w:rsidR="000A42FE" w:rsidRPr="000A42FE" w:rsidRDefault="000A42FE" w:rsidP="000A42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2FE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984770">
        <w:rPr>
          <w:rFonts w:ascii="Times New Roman" w:hAnsi="Times New Roman" w:cs="Times New Roman"/>
          <w:b/>
          <w:bCs/>
          <w:sz w:val="24"/>
          <w:szCs w:val="24"/>
        </w:rPr>
        <w:t>A2</w:t>
      </w:r>
      <w:r w:rsidRPr="000A42FE">
        <w:rPr>
          <w:rFonts w:ascii="Times New Roman" w:hAnsi="Times New Roman" w:cs="Times New Roman"/>
          <w:b/>
          <w:bCs/>
          <w:sz w:val="24"/>
          <w:szCs w:val="24"/>
        </w:rPr>
        <w:t xml:space="preserve">: Mean statistics and mean difference test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Pr="000A42FE">
        <w:rPr>
          <w:rFonts w:ascii="Times New Roman" w:hAnsi="Times New Roman" w:cs="Times New Roman"/>
          <w:b/>
          <w:bCs/>
          <w:sz w:val="24"/>
          <w:szCs w:val="24"/>
        </w:rPr>
        <w:t xml:space="preserve">selected variables </w:t>
      </w:r>
      <w:r w:rsidR="003A10F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0A42FE">
        <w:rPr>
          <w:rFonts w:ascii="Times New Roman" w:hAnsi="Times New Roman" w:cs="Times New Roman"/>
          <w:b/>
          <w:bCs/>
          <w:sz w:val="24"/>
          <w:szCs w:val="24"/>
        </w:rPr>
        <w:t>2013-2017</w:t>
      </w:r>
      <w:r w:rsidR="003A10F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097"/>
        <w:gridCol w:w="1324"/>
        <w:gridCol w:w="928"/>
        <w:gridCol w:w="163"/>
        <w:gridCol w:w="1107"/>
        <w:gridCol w:w="1048"/>
        <w:gridCol w:w="1048"/>
      </w:tblGrid>
      <w:tr w:rsidR="000A42FE" w:rsidRPr="000A42FE" w14:paraId="51B02D6B" w14:textId="77777777" w:rsidTr="000A42FE">
        <w:trPr>
          <w:trHeight w:val="300"/>
          <w:jc w:val="center"/>
        </w:trPr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8F0D2E3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0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9D74EE4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Non-balanced</w:t>
            </w:r>
          </w:p>
        </w:tc>
        <w:tc>
          <w:tcPr>
            <w:tcW w:w="154" w:type="dxa"/>
            <w:tcBorders>
              <w:top w:val="single" w:sz="4" w:space="0" w:color="auto"/>
            </w:tcBorders>
          </w:tcPr>
          <w:p w14:paraId="53FA6767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85DCDE2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Balanced</w:t>
            </w:r>
          </w:p>
        </w:tc>
      </w:tr>
      <w:tr w:rsidR="000A42FE" w:rsidRPr="000A42FE" w14:paraId="071F4852" w14:textId="77777777" w:rsidTr="000A42FE">
        <w:trPr>
          <w:trHeight w:val="300"/>
          <w:jc w:val="center"/>
        </w:trPr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454C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Variable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763D" w14:textId="27461C81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Treatment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BEEE" w14:textId="6CFF46C1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Control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B6FDA" w14:textId="03E10DA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p-value </w:t>
            </w:r>
          </w:p>
        </w:tc>
        <w:tc>
          <w:tcPr>
            <w:tcW w:w="154" w:type="dxa"/>
            <w:tcBorders>
              <w:bottom w:val="single" w:sz="4" w:space="0" w:color="auto"/>
            </w:tcBorders>
            <w:vAlign w:val="center"/>
          </w:tcPr>
          <w:p w14:paraId="67FECB4B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F8EE" w14:textId="3F7D9B2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Treatment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7F87" w14:textId="50B5F0D2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Control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C394E" w14:textId="6BD56761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p-value </w:t>
            </w:r>
          </w:p>
        </w:tc>
      </w:tr>
      <w:tr w:rsidR="000A42FE" w:rsidRPr="000A42FE" w14:paraId="6A5157A5" w14:textId="77777777" w:rsidTr="000A42FE">
        <w:trPr>
          <w:trHeight w:val="300"/>
          <w:jc w:val="center"/>
        </w:trPr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233E" w14:textId="77777777" w:rsidR="000A42FE" w:rsidRPr="000A42FE" w:rsidRDefault="000A42FE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ln Employment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022D6DF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5.34</w:t>
            </w: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399D838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4.10</w:t>
            </w:r>
          </w:p>
        </w:tc>
        <w:tc>
          <w:tcPr>
            <w:tcW w:w="877" w:type="dxa"/>
            <w:tcBorders>
              <w:top w:val="single" w:sz="4" w:space="0" w:color="auto"/>
            </w:tcBorders>
          </w:tcPr>
          <w:p w14:paraId="6008A074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0.00</w:t>
            </w:r>
          </w:p>
        </w:tc>
        <w:tc>
          <w:tcPr>
            <w:tcW w:w="154" w:type="dxa"/>
            <w:tcBorders>
              <w:top w:val="single" w:sz="4" w:space="0" w:color="auto"/>
            </w:tcBorders>
          </w:tcPr>
          <w:p w14:paraId="46006040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779567D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5.34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4F7A7B8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4.78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4BE9FB0F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0.03</w:t>
            </w:r>
          </w:p>
        </w:tc>
      </w:tr>
      <w:tr w:rsidR="000A42FE" w:rsidRPr="000A42FE" w14:paraId="20B93C77" w14:textId="77777777" w:rsidTr="000A42FE">
        <w:trPr>
          <w:trHeight w:val="300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D9C560B" w14:textId="77777777" w:rsidR="000A42FE" w:rsidRPr="000A42FE" w:rsidRDefault="000A42FE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ln </w:t>
            </w:r>
            <w:proofErr w:type="spellStart"/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Proj</w:t>
            </w:r>
            <w:proofErr w:type="spellEnd"/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Value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14:paraId="019DBC91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16.88</w:t>
            </w:r>
          </w:p>
        </w:tc>
        <w:tc>
          <w:tcPr>
            <w:tcW w:w="1251" w:type="dxa"/>
            <w:shd w:val="clear" w:color="auto" w:fill="auto"/>
            <w:noWrap/>
            <w:hideMark/>
          </w:tcPr>
          <w:p w14:paraId="1B57AE9D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15.79</w:t>
            </w:r>
          </w:p>
        </w:tc>
        <w:tc>
          <w:tcPr>
            <w:tcW w:w="877" w:type="dxa"/>
          </w:tcPr>
          <w:p w14:paraId="0DD28FC3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0.00</w:t>
            </w:r>
          </w:p>
        </w:tc>
        <w:tc>
          <w:tcPr>
            <w:tcW w:w="154" w:type="dxa"/>
          </w:tcPr>
          <w:p w14:paraId="61E1D8D5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046" w:type="dxa"/>
            <w:shd w:val="clear" w:color="auto" w:fill="auto"/>
            <w:noWrap/>
            <w:hideMark/>
          </w:tcPr>
          <w:p w14:paraId="30485349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16.88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1AFE8E4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16.66</w:t>
            </w:r>
          </w:p>
        </w:tc>
        <w:tc>
          <w:tcPr>
            <w:tcW w:w="990" w:type="dxa"/>
          </w:tcPr>
          <w:p w14:paraId="348656B5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0.17</w:t>
            </w:r>
          </w:p>
        </w:tc>
      </w:tr>
      <w:tr w:rsidR="000A42FE" w:rsidRPr="000A42FE" w14:paraId="2D52D3D8" w14:textId="77777777" w:rsidTr="000A42FE">
        <w:trPr>
          <w:trHeight w:val="300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D516B7B" w14:textId="16E42446" w:rsidR="000A42FE" w:rsidRPr="000A42FE" w:rsidRDefault="007473A7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</w:t>
            </w:r>
            <w:r w:rsidR="000A42FE"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&amp;D Indicator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14:paraId="37954E1D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0.88</w:t>
            </w:r>
          </w:p>
        </w:tc>
        <w:tc>
          <w:tcPr>
            <w:tcW w:w="1251" w:type="dxa"/>
            <w:shd w:val="clear" w:color="auto" w:fill="auto"/>
            <w:noWrap/>
            <w:hideMark/>
          </w:tcPr>
          <w:p w14:paraId="75E26EE5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0.73</w:t>
            </w:r>
          </w:p>
        </w:tc>
        <w:tc>
          <w:tcPr>
            <w:tcW w:w="877" w:type="dxa"/>
          </w:tcPr>
          <w:p w14:paraId="0AC54885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0.00</w:t>
            </w:r>
          </w:p>
        </w:tc>
        <w:tc>
          <w:tcPr>
            <w:tcW w:w="154" w:type="dxa"/>
          </w:tcPr>
          <w:p w14:paraId="4D7BDD93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046" w:type="dxa"/>
            <w:shd w:val="clear" w:color="auto" w:fill="auto"/>
            <w:noWrap/>
            <w:hideMark/>
          </w:tcPr>
          <w:p w14:paraId="23F02047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0.88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E130F65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0.82</w:t>
            </w:r>
          </w:p>
        </w:tc>
        <w:tc>
          <w:tcPr>
            <w:tcW w:w="990" w:type="dxa"/>
          </w:tcPr>
          <w:p w14:paraId="4C427A18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0.23</w:t>
            </w:r>
          </w:p>
        </w:tc>
      </w:tr>
      <w:tr w:rsidR="000A42FE" w:rsidRPr="000A42FE" w14:paraId="426787A1" w14:textId="77777777" w:rsidTr="000A42FE">
        <w:trPr>
          <w:trHeight w:val="300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D95D93D" w14:textId="77777777" w:rsidR="000A42FE" w:rsidRPr="000A42FE" w:rsidRDefault="000A42FE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Rating Project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14:paraId="58BBD5D8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5.14</w:t>
            </w:r>
          </w:p>
        </w:tc>
        <w:tc>
          <w:tcPr>
            <w:tcW w:w="1251" w:type="dxa"/>
            <w:shd w:val="clear" w:color="auto" w:fill="auto"/>
            <w:noWrap/>
            <w:hideMark/>
          </w:tcPr>
          <w:p w14:paraId="3907B3C2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4.67</w:t>
            </w:r>
          </w:p>
        </w:tc>
        <w:tc>
          <w:tcPr>
            <w:tcW w:w="877" w:type="dxa"/>
          </w:tcPr>
          <w:p w14:paraId="7787EFB7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0.00</w:t>
            </w:r>
          </w:p>
        </w:tc>
        <w:tc>
          <w:tcPr>
            <w:tcW w:w="154" w:type="dxa"/>
          </w:tcPr>
          <w:p w14:paraId="3504424E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046" w:type="dxa"/>
            <w:shd w:val="clear" w:color="auto" w:fill="auto"/>
            <w:noWrap/>
            <w:hideMark/>
          </w:tcPr>
          <w:p w14:paraId="7F7089DE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5.14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1B65FA31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4.94</w:t>
            </w:r>
          </w:p>
        </w:tc>
        <w:tc>
          <w:tcPr>
            <w:tcW w:w="990" w:type="dxa"/>
          </w:tcPr>
          <w:p w14:paraId="323BFD0C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0.20</w:t>
            </w:r>
          </w:p>
        </w:tc>
      </w:tr>
      <w:tr w:rsidR="000A42FE" w:rsidRPr="000A42FE" w14:paraId="5A6EDC8F" w14:textId="77777777" w:rsidTr="000A42FE">
        <w:trPr>
          <w:trHeight w:val="300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8CB1644" w14:textId="77777777" w:rsidR="000A42FE" w:rsidRPr="000A42FE" w:rsidRDefault="000A42FE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Rating Firm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14:paraId="4221DBF6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4.42</w:t>
            </w:r>
          </w:p>
        </w:tc>
        <w:tc>
          <w:tcPr>
            <w:tcW w:w="1251" w:type="dxa"/>
            <w:shd w:val="clear" w:color="auto" w:fill="auto"/>
            <w:noWrap/>
            <w:hideMark/>
          </w:tcPr>
          <w:p w14:paraId="28003B1E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3.87</w:t>
            </w:r>
          </w:p>
        </w:tc>
        <w:tc>
          <w:tcPr>
            <w:tcW w:w="877" w:type="dxa"/>
          </w:tcPr>
          <w:p w14:paraId="2BE8C411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0.00</w:t>
            </w:r>
          </w:p>
        </w:tc>
        <w:tc>
          <w:tcPr>
            <w:tcW w:w="154" w:type="dxa"/>
          </w:tcPr>
          <w:p w14:paraId="1BB695AC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046" w:type="dxa"/>
            <w:shd w:val="clear" w:color="auto" w:fill="auto"/>
            <w:noWrap/>
            <w:hideMark/>
          </w:tcPr>
          <w:p w14:paraId="4698A4A0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4.42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8F0705B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4.23</w:t>
            </w:r>
          </w:p>
        </w:tc>
        <w:tc>
          <w:tcPr>
            <w:tcW w:w="990" w:type="dxa"/>
          </w:tcPr>
          <w:p w14:paraId="6B1331EA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0.10</w:t>
            </w:r>
          </w:p>
        </w:tc>
      </w:tr>
      <w:tr w:rsidR="000A42FE" w:rsidRPr="000A42FE" w14:paraId="6BC88895" w14:textId="77777777" w:rsidTr="000A42FE">
        <w:trPr>
          <w:trHeight w:val="300"/>
          <w:jc w:val="center"/>
        </w:trPr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5235" w14:textId="77777777" w:rsidR="000A42FE" w:rsidRPr="000A42FE" w:rsidRDefault="000A42FE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Rating Credit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F2EA98D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4.95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2B4817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4.35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737940DE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0.00</w:t>
            </w:r>
          </w:p>
        </w:tc>
        <w:tc>
          <w:tcPr>
            <w:tcW w:w="154" w:type="dxa"/>
            <w:tcBorders>
              <w:bottom w:val="single" w:sz="4" w:space="0" w:color="auto"/>
            </w:tcBorders>
          </w:tcPr>
          <w:p w14:paraId="0DBA6C6D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3DE5B1A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4.95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459D58D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4.93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5626BA6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0.94</w:t>
            </w:r>
          </w:p>
        </w:tc>
      </w:tr>
    </w:tbl>
    <w:p w14:paraId="072CAEB3" w14:textId="667A4D0E" w:rsidR="000A42FE" w:rsidRPr="000A42FE" w:rsidRDefault="000A42FE" w:rsidP="000A42FE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0A42FE">
        <w:rPr>
          <w:rFonts w:ascii="Times New Roman" w:hAnsi="Times New Roman" w:cs="Times New Roman"/>
          <w:sz w:val="20"/>
          <w:szCs w:val="20"/>
        </w:rPr>
        <w:t xml:space="preserve">Source: Author’s elaboration based on Finep data on application year. </w:t>
      </w:r>
    </w:p>
    <w:p w14:paraId="5EC216DD" w14:textId="77777777" w:rsidR="000A42FE" w:rsidRPr="000A42FE" w:rsidRDefault="000A42FE"/>
    <w:p w14:paraId="2E6EB43C" w14:textId="77777777" w:rsidR="006973CA" w:rsidRDefault="006973CA" w:rsidP="00FD05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DCE7B92" w14:textId="10BCF25A" w:rsidR="00887DA4" w:rsidRDefault="00887DA4" w:rsidP="00FD05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B. Additional Results</w:t>
      </w:r>
      <w:r w:rsidR="00793B28">
        <w:rPr>
          <w:rFonts w:ascii="Times New Roman" w:hAnsi="Times New Roman" w:cs="Times New Roman"/>
          <w:b/>
          <w:bCs/>
          <w:sz w:val="24"/>
          <w:szCs w:val="24"/>
        </w:rPr>
        <w:t xml:space="preserve"> (Non-Matched Data)</w:t>
      </w:r>
    </w:p>
    <w:p w14:paraId="5DCD5DDC" w14:textId="2C23B49B" w:rsidR="000A42FE" w:rsidRPr="000A42FE" w:rsidRDefault="000A42FE" w:rsidP="00FD05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2FE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900578">
        <w:rPr>
          <w:rFonts w:ascii="Times New Roman" w:hAnsi="Times New Roman" w:cs="Times New Roman"/>
          <w:b/>
          <w:bCs/>
          <w:sz w:val="24"/>
          <w:szCs w:val="24"/>
        </w:rPr>
        <w:t>B1</w:t>
      </w:r>
      <w:r w:rsidRPr="000A42FE">
        <w:rPr>
          <w:rFonts w:ascii="Times New Roman" w:hAnsi="Times New Roman" w:cs="Times New Roman"/>
          <w:b/>
          <w:bCs/>
          <w:sz w:val="24"/>
          <w:szCs w:val="24"/>
        </w:rPr>
        <w:t>: Treatment Effects Estimates and Pre-Treatment Trends (All, Product and Process Innovation), Without Matching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908"/>
        <w:gridCol w:w="1908"/>
        <w:gridCol w:w="1908"/>
      </w:tblGrid>
      <w:tr w:rsidR="000A42FE" w:rsidRPr="000A42FE" w14:paraId="371B7C22" w14:textId="77777777" w:rsidTr="00FD050A">
        <w:trPr>
          <w:trHeight w:val="300"/>
          <w:jc w:val="center"/>
        </w:trPr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6B570" w14:textId="77777777" w:rsidR="000A42FE" w:rsidRPr="000A42FE" w:rsidRDefault="000A42FE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BB4E78" w14:textId="2648D71C" w:rsidR="000A42FE" w:rsidRPr="000A42FE" w:rsidRDefault="000A42FE" w:rsidP="00B31DA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All Innovation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BE480F" w14:textId="77777777" w:rsidR="000A42FE" w:rsidRPr="000A42FE" w:rsidRDefault="000A42FE" w:rsidP="00B31DA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Product Innovation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F21AC" w14:textId="77777777" w:rsidR="000A42FE" w:rsidRPr="000A42FE" w:rsidDel="00A7012F" w:rsidRDefault="000A42FE" w:rsidP="00B31DA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Process Innovation</w:t>
            </w:r>
          </w:p>
        </w:tc>
      </w:tr>
      <w:tr w:rsidR="000A42FE" w:rsidRPr="000A42FE" w14:paraId="7940152F" w14:textId="77777777" w:rsidTr="00FD050A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E41E" w14:textId="77777777" w:rsidR="000A42FE" w:rsidRPr="000A42FE" w:rsidRDefault="000A42FE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Pre-Treatment</w:t>
            </w:r>
            <w:r w:rsidRPr="000A42FE" w:rsidDel="00041D1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Average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D1C7B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0.200</w:t>
            </w:r>
          </w:p>
          <w:p w14:paraId="56FA5C65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(0.040)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773FE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-0.029</w:t>
            </w:r>
          </w:p>
          <w:p w14:paraId="61E9C74A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(0.048)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8F50ED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0.043</w:t>
            </w:r>
          </w:p>
          <w:p w14:paraId="75207547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(0.107)</w:t>
            </w:r>
          </w:p>
        </w:tc>
      </w:tr>
      <w:tr w:rsidR="000A42FE" w:rsidRPr="000A42FE" w14:paraId="72C6697A" w14:textId="77777777" w:rsidTr="00FD050A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9799" w14:textId="77777777" w:rsidR="000A42FE" w:rsidRPr="000A42FE" w:rsidRDefault="000A42FE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Post-Treatment Average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9953D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-0.031</w:t>
            </w:r>
          </w:p>
          <w:p w14:paraId="0B9EF1AC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(0.094)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A02E9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-0.128</w:t>
            </w:r>
          </w:p>
          <w:p w14:paraId="743EA405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(0.135)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274BEE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 xml:space="preserve">  0.351*</w:t>
            </w:r>
          </w:p>
          <w:p w14:paraId="5898A387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(0.205)</w:t>
            </w:r>
          </w:p>
        </w:tc>
      </w:tr>
      <w:tr w:rsidR="000A42FE" w:rsidRPr="000A42FE" w14:paraId="6D5BB97A" w14:textId="77777777" w:rsidTr="00FD050A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95BB1" w14:textId="77777777" w:rsidR="000A42FE" w:rsidRPr="000A42FE" w:rsidRDefault="000A42FE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F5E36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DE6FA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72E8D9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42FE" w:rsidRPr="000A42FE" w14:paraId="791E8135" w14:textId="77777777" w:rsidTr="00FD050A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65B1" w14:textId="77777777" w:rsidR="000A42FE" w:rsidRPr="000A42FE" w:rsidRDefault="000A42FE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Pre-Treatment (t-5)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5388E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-0.039</w:t>
            </w:r>
          </w:p>
          <w:p w14:paraId="3EC75FCD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(0.129)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30881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-0.196**</w:t>
            </w:r>
          </w:p>
          <w:p w14:paraId="4C59E5D9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(0.082)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39D63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0.042</w:t>
            </w:r>
          </w:p>
          <w:p w14:paraId="6449AA7E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(0.402)</w:t>
            </w:r>
          </w:p>
        </w:tc>
      </w:tr>
      <w:tr w:rsidR="000A42FE" w:rsidRPr="000A42FE" w14:paraId="0A5DD2C5" w14:textId="77777777" w:rsidTr="00FD050A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BB80" w14:textId="77777777" w:rsidR="000A42FE" w:rsidRPr="000A42FE" w:rsidRDefault="000A42FE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Pre-Treatment (t-4)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8F10B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-0.043</w:t>
            </w:r>
          </w:p>
          <w:p w14:paraId="08A42125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(0.048)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83C5F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-0.120</w:t>
            </w:r>
          </w:p>
          <w:p w14:paraId="3A50B745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(0.081)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392BB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0.057</w:t>
            </w:r>
          </w:p>
          <w:p w14:paraId="4970E068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(0.104)</w:t>
            </w:r>
          </w:p>
        </w:tc>
      </w:tr>
      <w:tr w:rsidR="000A42FE" w:rsidRPr="000A42FE" w14:paraId="0C098323" w14:textId="77777777" w:rsidTr="00FD050A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9300" w14:textId="77777777" w:rsidR="000A42FE" w:rsidRPr="000A42FE" w:rsidRDefault="000A42FE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Pre-Treatment (t-3)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3531F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0.100</w:t>
            </w:r>
          </w:p>
          <w:p w14:paraId="72C8AA38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(0.075)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71E02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0.146</w:t>
            </w:r>
          </w:p>
          <w:p w14:paraId="3886E95A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(0.134)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AB2E522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0.078</w:t>
            </w:r>
          </w:p>
          <w:p w14:paraId="2C0D0F1D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(0.087)</w:t>
            </w:r>
          </w:p>
        </w:tc>
      </w:tr>
      <w:tr w:rsidR="000A42FE" w:rsidRPr="000A42FE" w14:paraId="442E8C31" w14:textId="77777777" w:rsidTr="00FD050A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80A6" w14:textId="77777777" w:rsidR="000A42FE" w:rsidRPr="000A42FE" w:rsidRDefault="000A42FE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Pre-Treatment (t-2)                      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14:paraId="4F6C3D37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-0.009</w:t>
            </w:r>
          </w:p>
          <w:p w14:paraId="067549D1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(0.061)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9D7A71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-0.035</w:t>
            </w:r>
          </w:p>
          <w:p w14:paraId="206F1EA3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(0.090)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F72808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-0.079</w:t>
            </w:r>
          </w:p>
          <w:p w14:paraId="61C7AC6C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(0.177)</w:t>
            </w:r>
          </w:p>
        </w:tc>
      </w:tr>
      <w:tr w:rsidR="000A42FE" w:rsidRPr="000A42FE" w14:paraId="18EF2E10" w14:textId="77777777" w:rsidTr="00FD050A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C50F4A" w14:textId="77777777" w:rsidR="000A42FE" w:rsidRPr="000A42FE" w:rsidRDefault="000A42FE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Pre-Treatment</w:t>
            </w:r>
            <w:r w:rsidRPr="000A42FE" w:rsidDel="006D2B2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(t-1)</w:t>
            </w:r>
          </w:p>
        </w:tc>
        <w:tc>
          <w:tcPr>
            <w:tcW w:w="1559" w:type="dxa"/>
            <w:vAlign w:val="bottom"/>
          </w:tcPr>
          <w:p w14:paraId="4AE85B68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 xml:space="preserve">   0.092**</w:t>
            </w:r>
          </w:p>
          <w:p w14:paraId="4F07703C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(0.041)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698443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0.058</w:t>
            </w:r>
          </w:p>
          <w:p w14:paraId="4A03EFB5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(0.061)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40FC5DA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0.117</w:t>
            </w:r>
          </w:p>
          <w:p w14:paraId="3C260088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(0.096)</w:t>
            </w:r>
          </w:p>
        </w:tc>
      </w:tr>
      <w:tr w:rsidR="000A42FE" w:rsidRPr="000A42FE" w14:paraId="708532A0" w14:textId="77777777" w:rsidTr="00FD050A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C6C852" w14:textId="77777777" w:rsidR="000A42FE" w:rsidRPr="000A42FE" w:rsidRDefault="000A42FE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Treatment</w:t>
            </w:r>
          </w:p>
        </w:tc>
        <w:tc>
          <w:tcPr>
            <w:tcW w:w="1559" w:type="dxa"/>
            <w:vAlign w:val="bottom"/>
          </w:tcPr>
          <w:p w14:paraId="26FFC795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 xml:space="preserve">     0.081***</w:t>
            </w:r>
          </w:p>
          <w:p w14:paraId="3D987825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(0.027)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45F531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0.020</w:t>
            </w:r>
          </w:p>
          <w:p w14:paraId="1FDC12CC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(0.033)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C9E636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 xml:space="preserve">      0.223***</w:t>
            </w:r>
          </w:p>
          <w:p w14:paraId="5491981B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(0.083)</w:t>
            </w:r>
          </w:p>
        </w:tc>
      </w:tr>
      <w:tr w:rsidR="000A42FE" w:rsidRPr="000A42FE" w14:paraId="14830044" w14:textId="77777777" w:rsidTr="00FD050A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F416C4" w14:textId="77777777" w:rsidR="000A42FE" w:rsidRPr="000A42FE" w:rsidRDefault="000A42FE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Post-Treatment (t+1)</w:t>
            </w:r>
          </w:p>
        </w:tc>
        <w:tc>
          <w:tcPr>
            <w:tcW w:w="1559" w:type="dxa"/>
            <w:vAlign w:val="bottom"/>
          </w:tcPr>
          <w:p w14:paraId="6F1A33BE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 xml:space="preserve">     0.123***</w:t>
            </w:r>
          </w:p>
          <w:p w14:paraId="5B3FF85B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(0.053)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27B079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0.028</w:t>
            </w:r>
          </w:p>
          <w:p w14:paraId="4DA9DDA2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(0.082)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A87B3A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 xml:space="preserve">      0.408***</w:t>
            </w:r>
          </w:p>
          <w:p w14:paraId="428C1EB6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(0.125)</w:t>
            </w:r>
          </w:p>
        </w:tc>
      </w:tr>
      <w:tr w:rsidR="000A42FE" w:rsidRPr="000A42FE" w14:paraId="255EF112" w14:textId="77777777" w:rsidTr="00FD050A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E382" w14:textId="77777777" w:rsidR="000A42FE" w:rsidRPr="000A42FE" w:rsidRDefault="000A42FE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Post-Treatment (t+2)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bottom"/>
          </w:tcPr>
          <w:p w14:paraId="29FDAB8C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0.056</w:t>
            </w:r>
          </w:p>
          <w:p w14:paraId="03AAF1FB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(0.078)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1DA2D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-0.031</w:t>
            </w:r>
          </w:p>
          <w:p w14:paraId="57EBC414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(0.122)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ACE1F9E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 xml:space="preserve">    0.402**</w:t>
            </w:r>
          </w:p>
          <w:p w14:paraId="209F968A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(0.198)</w:t>
            </w:r>
          </w:p>
        </w:tc>
      </w:tr>
      <w:tr w:rsidR="000A42FE" w:rsidRPr="000A42FE" w14:paraId="4FCB03CC" w14:textId="77777777" w:rsidTr="00FD050A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F736" w14:textId="77777777" w:rsidR="000A42FE" w:rsidRPr="000A42FE" w:rsidRDefault="000A42FE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Post-Treatment (t+3)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2AAE1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0.082</w:t>
            </w:r>
          </w:p>
          <w:p w14:paraId="4DC278E4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(0.097)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4A61C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-0.004</w:t>
            </w:r>
          </w:p>
          <w:p w14:paraId="1F854D80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(0.147)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FAEC5C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 xml:space="preserve">    0.480**</w:t>
            </w:r>
          </w:p>
          <w:p w14:paraId="504A5C7D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(0.233)</w:t>
            </w:r>
          </w:p>
        </w:tc>
      </w:tr>
      <w:tr w:rsidR="000A42FE" w:rsidRPr="000A42FE" w14:paraId="54A76301" w14:textId="77777777" w:rsidTr="00FD050A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D8187" w14:textId="77777777" w:rsidR="000A42FE" w:rsidRPr="000A42FE" w:rsidRDefault="000A42FE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Post-Treatment (t+4)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ED868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-0.081</w:t>
            </w:r>
          </w:p>
          <w:p w14:paraId="7600E8BE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(-0.158)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DAE7F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-0.185</w:t>
            </w:r>
          </w:p>
          <w:p w14:paraId="084C0027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(0.198)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6AE8C9E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0.465</w:t>
            </w:r>
          </w:p>
          <w:p w14:paraId="515568EE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(0.331)</w:t>
            </w:r>
          </w:p>
        </w:tc>
      </w:tr>
      <w:tr w:rsidR="000A42FE" w:rsidRPr="000A42FE" w14:paraId="035BB599" w14:textId="77777777" w:rsidTr="00FD050A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DF076" w14:textId="77777777" w:rsidR="000A42FE" w:rsidRPr="000A42FE" w:rsidRDefault="000A42FE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Post-Treatment (t+5)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EA334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-0.446</w:t>
            </w:r>
          </w:p>
          <w:p w14:paraId="17D7CE8C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(0.282)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B7D5E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-0.597</w:t>
            </w:r>
          </w:p>
          <w:p w14:paraId="32A554F1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(0.421)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B87A92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0.129</w:t>
            </w:r>
          </w:p>
          <w:p w14:paraId="3F42DE6C" w14:textId="77777777" w:rsidR="000A42FE" w:rsidRPr="000A42FE" w:rsidRDefault="000A42FE" w:rsidP="00B31DA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(0.427)</w:t>
            </w:r>
          </w:p>
        </w:tc>
      </w:tr>
      <w:tr w:rsidR="000A42FE" w:rsidRPr="000A42FE" w14:paraId="3A79BA75" w14:textId="77777777" w:rsidTr="00FD050A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25252" w14:textId="77777777" w:rsidR="000A42FE" w:rsidRPr="000A42FE" w:rsidRDefault="000A42FE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D0648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6C09C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81350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42FE" w:rsidRPr="000A42FE" w14:paraId="0D6EE310" w14:textId="77777777" w:rsidTr="00FD050A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2DE89" w14:textId="77777777" w:rsidR="000A42FE" w:rsidRPr="000A42FE" w:rsidRDefault="000A42FE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Time Fixed Effects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02B47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8FFDC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C7631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0A42FE" w:rsidRPr="000A42FE" w14:paraId="4DDC8A71" w14:textId="77777777" w:rsidTr="00FD050A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98533" w14:textId="77777777" w:rsidR="000A42FE" w:rsidRPr="000A42FE" w:rsidRDefault="000A42FE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Firm Fixed Effects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7D732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77D58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06D44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0A42FE" w:rsidRPr="000A42FE" w14:paraId="3061E308" w14:textId="77777777" w:rsidTr="00FD050A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7E87F" w14:textId="77777777" w:rsidR="000A42FE" w:rsidRPr="000A42FE" w:rsidRDefault="000A42FE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PSM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F02A3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1164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8EB92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NO</w:t>
            </w:r>
          </w:p>
        </w:tc>
      </w:tr>
      <w:tr w:rsidR="000A42FE" w:rsidRPr="000A42FE" w14:paraId="66B5D6CA" w14:textId="77777777" w:rsidTr="00FD050A">
        <w:trPr>
          <w:trHeight w:val="300"/>
          <w:jc w:val="center"/>
        </w:trPr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4F7D14" w14:textId="77777777" w:rsidR="000A42FE" w:rsidRPr="000A42FE" w:rsidRDefault="000A42FE" w:rsidP="00B3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Observations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7E3392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6,090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8D3091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2,170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D2448" w14:textId="77777777" w:rsidR="000A42FE" w:rsidRPr="000A42FE" w:rsidRDefault="000A42FE" w:rsidP="00B31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2FE">
              <w:rPr>
                <w:rFonts w:ascii="Times New Roman" w:hAnsi="Times New Roman" w:cs="Times New Roman"/>
                <w:color w:val="000000"/>
              </w:rPr>
              <w:t>1,302</w:t>
            </w:r>
          </w:p>
        </w:tc>
      </w:tr>
    </w:tbl>
    <w:p w14:paraId="68FDEE27" w14:textId="77777777" w:rsidR="000A42FE" w:rsidRPr="000A42FE" w:rsidRDefault="000A42FE" w:rsidP="000A42FE">
      <w:pPr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  <w:r w:rsidRPr="000A42FE">
        <w:rPr>
          <w:rFonts w:ascii="Times New Roman" w:hAnsi="Times New Roman" w:cs="Times New Roman"/>
          <w:sz w:val="20"/>
          <w:szCs w:val="20"/>
        </w:rPr>
        <w:t xml:space="preserve">Source: Author’s calculations based on Finep and RAIS data. </w:t>
      </w:r>
    </w:p>
    <w:p w14:paraId="70A64826" w14:textId="1E92B059" w:rsidR="000A42FE" w:rsidRPr="000A42FE" w:rsidRDefault="000A42FE" w:rsidP="000A42FE">
      <w:pPr>
        <w:jc w:val="both"/>
        <w:rPr>
          <w:rFonts w:ascii="Times New Roman" w:hAnsi="Times New Roman" w:cs="Times New Roman"/>
          <w:sz w:val="20"/>
          <w:szCs w:val="20"/>
        </w:rPr>
      </w:pPr>
      <w:r w:rsidRPr="000A42FE">
        <w:rPr>
          <w:rFonts w:ascii="Times New Roman" w:hAnsi="Times New Roman" w:cs="Times New Roman"/>
          <w:sz w:val="20"/>
          <w:szCs w:val="20"/>
        </w:rPr>
        <w:t xml:space="preserve">Note: The table reports treatment effects estimated using the approach developed by Callaway and Sant’anna (2021) – see equation (1). All regressions include time and firm fixed effects (omitted for convenience). </w:t>
      </w:r>
      <w:r w:rsidRPr="000A42FE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="00FD050A">
        <w:rPr>
          <w:rFonts w:ascii="Times New Roman" w:eastAsia="Times New Roman" w:hAnsi="Times New Roman" w:cs="Times New Roman"/>
          <w:sz w:val="20"/>
          <w:szCs w:val="20"/>
        </w:rPr>
        <w:t xml:space="preserve">parentheses are </w:t>
      </w:r>
      <w:r w:rsidRPr="000A42FE">
        <w:rPr>
          <w:rFonts w:ascii="Times New Roman" w:eastAsia="Times New Roman" w:hAnsi="Times New Roman" w:cs="Times New Roman"/>
          <w:sz w:val="20"/>
          <w:szCs w:val="20"/>
        </w:rPr>
        <w:t>the standard deviations of the estimated parameters. The symbols *, **</w:t>
      </w:r>
      <w:r w:rsidR="00FD050A">
        <w:rPr>
          <w:rFonts w:ascii="Times New Roman" w:eastAsia="Times New Roman" w:hAnsi="Times New Roman" w:cs="Times New Roman"/>
          <w:sz w:val="20"/>
          <w:szCs w:val="20"/>
        </w:rPr>
        <w:t>, and *** indicate parameters statistically different from zero at 10%, 5%,</w:t>
      </w:r>
      <w:r w:rsidRPr="000A42FE">
        <w:rPr>
          <w:rFonts w:ascii="Times New Roman" w:eastAsia="Times New Roman" w:hAnsi="Times New Roman" w:cs="Times New Roman"/>
          <w:sz w:val="20"/>
          <w:szCs w:val="20"/>
        </w:rPr>
        <w:t xml:space="preserve"> and 1% significance level, respectively.</w:t>
      </w:r>
    </w:p>
    <w:p w14:paraId="77A05AEE" w14:textId="77777777" w:rsidR="000A42FE" w:rsidRPr="000A42FE" w:rsidRDefault="000A42FE"/>
    <w:p w14:paraId="51942B3A" w14:textId="77777777" w:rsidR="006973CA" w:rsidRDefault="006973CA" w:rsidP="000A42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F85BAE0" w14:textId="35F19285" w:rsidR="000A42FE" w:rsidRPr="000A42FE" w:rsidRDefault="000A42FE" w:rsidP="000A42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2F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900578">
        <w:rPr>
          <w:rFonts w:ascii="Times New Roman" w:hAnsi="Times New Roman" w:cs="Times New Roman"/>
          <w:b/>
          <w:bCs/>
          <w:sz w:val="24"/>
          <w:szCs w:val="24"/>
        </w:rPr>
        <w:t>B2</w:t>
      </w:r>
      <w:r w:rsidRPr="000A42FE">
        <w:rPr>
          <w:rFonts w:ascii="Times New Roman" w:hAnsi="Times New Roman" w:cs="Times New Roman"/>
          <w:b/>
          <w:bCs/>
          <w:sz w:val="24"/>
          <w:szCs w:val="24"/>
        </w:rPr>
        <w:t>: Event Study – Regressions by Treatment Year (Without Matching)</w:t>
      </w:r>
    </w:p>
    <w:tbl>
      <w:tblPr>
        <w:tblpPr w:leftFromText="141" w:rightFromText="141" w:vertAnchor="text" w:horzAnchor="margin" w:tblpY="36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86"/>
        <w:gridCol w:w="1115"/>
        <w:gridCol w:w="1360"/>
        <w:gridCol w:w="1361"/>
        <w:gridCol w:w="1360"/>
        <w:gridCol w:w="1361"/>
        <w:gridCol w:w="1361"/>
      </w:tblGrid>
      <w:tr w:rsidR="000A42FE" w:rsidRPr="000A42FE" w14:paraId="615EA6F8" w14:textId="77777777" w:rsidTr="00B31DA9"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85F168A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Dependent Variable: </w:t>
            </w:r>
            <w:r w:rsidRPr="000A4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br w:type="textWrapping" w:clear="all"/>
            </w:r>
            <w:proofErr w:type="gramStart"/>
            <w:r w:rsidRPr="000A4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ln(</w:t>
            </w:r>
            <w:proofErr w:type="gramEnd"/>
            <w:r w:rsidRPr="000A4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Employment)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02F08D05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</w:rPr>
              <w:t>Treatment Year</w:t>
            </w:r>
          </w:p>
        </w:tc>
      </w:tr>
      <w:tr w:rsidR="000A42FE" w:rsidRPr="000A42FE" w14:paraId="37A8BB4C" w14:textId="77777777" w:rsidTr="00B31DA9"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0738741B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79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1BCAEB87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79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2BA6AF7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79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60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4A6662A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79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0EAA2A55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79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3126C6E3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79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</w:rPr>
              <w:t>2017</w:t>
            </w:r>
          </w:p>
        </w:tc>
      </w:tr>
      <w:tr w:rsidR="000A42FE" w:rsidRPr="000A42FE" w14:paraId="3A534D5F" w14:textId="77777777" w:rsidTr="00B31DA9">
        <w:trPr>
          <w:trHeight w:val="282"/>
        </w:trPr>
        <w:tc>
          <w:tcPr>
            <w:tcW w:w="586" w:type="dxa"/>
            <w:vMerge w:val="restart"/>
            <w:tcBorders>
              <w:top w:val="single" w:sz="4" w:space="0" w:color="auto"/>
              <w:left w:val="nil"/>
            </w:tcBorders>
            <w:textDirection w:val="btLr"/>
            <w:vAlign w:val="center"/>
          </w:tcPr>
          <w:p w14:paraId="5F261B5D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</w:rPr>
              <w:t>Treatment Effect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vAlign w:val="center"/>
          </w:tcPr>
          <w:p w14:paraId="53F4A6EF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</w:rPr>
              <w:t xml:space="preserve">2011 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BB50B18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0.049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</w:tcBorders>
            <w:tcMar>
              <w:left w:w="57" w:type="dxa"/>
              <w:right w:w="57" w:type="dxa"/>
            </w:tcMar>
          </w:tcPr>
          <w:p w14:paraId="1B77839E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0.029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3010D74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-0.220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A6DF8CC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-0.176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7EEAC43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-0.002</w:t>
            </w:r>
          </w:p>
        </w:tc>
      </w:tr>
      <w:tr w:rsidR="000A42FE" w:rsidRPr="000A42FE" w14:paraId="1489C21A" w14:textId="77777777" w:rsidTr="00B31DA9">
        <w:tc>
          <w:tcPr>
            <w:tcW w:w="586" w:type="dxa"/>
            <w:vMerge/>
            <w:tcBorders>
              <w:left w:val="nil"/>
            </w:tcBorders>
          </w:tcPr>
          <w:p w14:paraId="28CC16D8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vAlign w:val="center"/>
          </w:tcPr>
          <w:p w14:paraId="3895346F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Mar>
              <w:left w:w="57" w:type="dxa"/>
              <w:right w:w="57" w:type="dxa"/>
            </w:tcMar>
          </w:tcPr>
          <w:p w14:paraId="4F09699B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(0.158)</w:t>
            </w:r>
          </w:p>
        </w:tc>
        <w:tc>
          <w:tcPr>
            <w:tcW w:w="1361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37252CA3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(0.198)</w:t>
            </w:r>
          </w:p>
        </w:tc>
        <w:tc>
          <w:tcPr>
            <w:tcW w:w="1360" w:type="dxa"/>
            <w:tcMar>
              <w:left w:w="57" w:type="dxa"/>
              <w:right w:w="57" w:type="dxa"/>
            </w:tcMar>
          </w:tcPr>
          <w:p w14:paraId="282E2E13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(0.166)</w:t>
            </w:r>
          </w:p>
        </w:tc>
        <w:tc>
          <w:tcPr>
            <w:tcW w:w="1361" w:type="dxa"/>
            <w:tcMar>
              <w:left w:w="57" w:type="dxa"/>
              <w:right w:w="57" w:type="dxa"/>
            </w:tcMar>
          </w:tcPr>
          <w:p w14:paraId="0EAA65F9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(0.273)</w:t>
            </w:r>
          </w:p>
        </w:tc>
        <w:tc>
          <w:tcPr>
            <w:tcW w:w="1361" w:type="dxa"/>
            <w:tcMar>
              <w:left w:w="57" w:type="dxa"/>
              <w:right w:w="57" w:type="dxa"/>
            </w:tcMar>
          </w:tcPr>
          <w:p w14:paraId="3A16B77B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(0.336)</w:t>
            </w:r>
          </w:p>
        </w:tc>
      </w:tr>
      <w:tr w:rsidR="000A42FE" w:rsidRPr="000A42FE" w14:paraId="00F994EA" w14:textId="77777777" w:rsidTr="00B31DA9">
        <w:tc>
          <w:tcPr>
            <w:tcW w:w="586" w:type="dxa"/>
            <w:vMerge/>
            <w:tcBorders>
              <w:left w:val="nil"/>
              <w:right w:val="nil"/>
            </w:tcBorders>
          </w:tcPr>
          <w:p w14:paraId="03E81FD0" w14:textId="77777777" w:rsidR="000A42FE" w:rsidRPr="000A42FE" w:rsidDel="00531504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left w:val="nil"/>
            </w:tcBorders>
            <w:vAlign w:val="center"/>
          </w:tcPr>
          <w:p w14:paraId="7B192329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</w:rPr>
              <w:t xml:space="preserve">2012 </w:t>
            </w:r>
          </w:p>
        </w:tc>
        <w:tc>
          <w:tcPr>
            <w:tcW w:w="1360" w:type="dxa"/>
            <w:tcMar>
              <w:left w:w="57" w:type="dxa"/>
              <w:right w:w="57" w:type="dxa"/>
            </w:tcMar>
          </w:tcPr>
          <w:p w14:paraId="0E66C95E" w14:textId="77777777" w:rsidR="000A42FE" w:rsidRPr="000A42FE" w:rsidRDefault="000A42FE" w:rsidP="00B31DA9">
            <w:pPr>
              <w:widowControl w:val="0"/>
              <w:tabs>
                <w:tab w:val="decimal" w:pos="5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47DD2A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-0.030</w:t>
            </w: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7FC48B6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 xml:space="preserve">   -0.285**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47E274A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-0.220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6B60C10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-0.054</w:t>
            </w:r>
          </w:p>
        </w:tc>
      </w:tr>
      <w:tr w:rsidR="000A42FE" w:rsidRPr="000A42FE" w14:paraId="68478A23" w14:textId="77777777" w:rsidTr="00B31DA9">
        <w:tc>
          <w:tcPr>
            <w:tcW w:w="586" w:type="dxa"/>
            <w:vMerge/>
            <w:tcBorders>
              <w:left w:val="nil"/>
              <w:right w:val="nil"/>
            </w:tcBorders>
          </w:tcPr>
          <w:p w14:paraId="01D272FC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nil"/>
              <w:bottom w:val="nil"/>
            </w:tcBorders>
            <w:vAlign w:val="center"/>
          </w:tcPr>
          <w:p w14:paraId="0191D3D7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Mar>
              <w:left w:w="57" w:type="dxa"/>
              <w:right w:w="57" w:type="dxa"/>
            </w:tcMar>
          </w:tcPr>
          <w:p w14:paraId="5278971C" w14:textId="77777777" w:rsidR="000A42FE" w:rsidRPr="000A42FE" w:rsidRDefault="000A42FE" w:rsidP="00B31DA9">
            <w:pPr>
              <w:widowControl w:val="0"/>
              <w:tabs>
                <w:tab w:val="decimal" w:pos="5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74A00FB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(0.139)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D148375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(0.139)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7041D75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(0.206)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3EAF862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(0.212)</w:t>
            </w:r>
          </w:p>
        </w:tc>
      </w:tr>
      <w:tr w:rsidR="000A42FE" w:rsidRPr="000A42FE" w14:paraId="29C2392F" w14:textId="77777777" w:rsidTr="00B31DA9">
        <w:tc>
          <w:tcPr>
            <w:tcW w:w="586" w:type="dxa"/>
            <w:vMerge/>
            <w:tcBorders>
              <w:left w:val="nil"/>
              <w:right w:val="nil"/>
            </w:tcBorders>
          </w:tcPr>
          <w:p w14:paraId="1B8B45F2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nil"/>
            </w:tcBorders>
            <w:vAlign w:val="center"/>
          </w:tcPr>
          <w:p w14:paraId="4907179A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</w:rPr>
              <w:t xml:space="preserve">2013 </w:t>
            </w:r>
          </w:p>
        </w:tc>
        <w:tc>
          <w:tcPr>
            <w:tcW w:w="1360" w:type="dxa"/>
            <w:tcMar>
              <w:left w:w="57" w:type="dxa"/>
              <w:right w:w="57" w:type="dxa"/>
            </w:tcMar>
          </w:tcPr>
          <w:p w14:paraId="30213BC0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 xml:space="preserve">  0.212*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5FDEF33" w14:textId="77777777" w:rsidR="000A42FE" w:rsidRPr="000A42FE" w:rsidRDefault="000A42FE" w:rsidP="00B31DA9">
            <w:pPr>
              <w:widowControl w:val="0"/>
              <w:tabs>
                <w:tab w:val="decimal" w:pos="5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9CE1EB6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-0.118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37D2C3E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-0.200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41737BE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-0.039</w:t>
            </w:r>
          </w:p>
        </w:tc>
      </w:tr>
      <w:tr w:rsidR="000A42FE" w:rsidRPr="000A42FE" w14:paraId="36E9C47E" w14:textId="77777777" w:rsidTr="00B31DA9">
        <w:tc>
          <w:tcPr>
            <w:tcW w:w="586" w:type="dxa"/>
            <w:vMerge/>
            <w:tcBorders>
              <w:left w:val="nil"/>
              <w:right w:val="nil"/>
            </w:tcBorders>
          </w:tcPr>
          <w:p w14:paraId="1B188CA7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nil"/>
              <w:bottom w:val="nil"/>
            </w:tcBorders>
            <w:vAlign w:val="center"/>
          </w:tcPr>
          <w:p w14:paraId="17D8AE93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Mar>
              <w:left w:w="57" w:type="dxa"/>
              <w:right w:w="57" w:type="dxa"/>
            </w:tcMar>
          </w:tcPr>
          <w:p w14:paraId="6EADF0F3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(0.112)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2019948" w14:textId="77777777" w:rsidR="000A42FE" w:rsidRPr="000A42FE" w:rsidRDefault="000A42FE" w:rsidP="00B31DA9">
            <w:pPr>
              <w:widowControl w:val="0"/>
              <w:tabs>
                <w:tab w:val="decimal" w:pos="5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2623480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(0.072)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C84E811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(0.208)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1C7BEA7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(0.192)</w:t>
            </w:r>
          </w:p>
        </w:tc>
      </w:tr>
      <w:tr w:rsidR="000A42FE" w:rsidRPr="000A42FE" w14:paraId="7E14E3F7" w14:textId="77777777" w:rsidTr="00B31DA9">
        <w:tc>
          <w:tcPr>
            <w:tcW w:w="586" w:type="dxa"/>
            <w:vMerge/>
            <w:tcBorders>
              <w:left w:val="nil"/>
              <w:right w:val="nil"/>
            </w:tcBorders>
          </w:tcPr>
          <w:p w14:paraId="4123D59D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nil"/>
            </w:tcBorders>
            <w:vAlign w:val="center"/>
          </w:tcPr>
          <w:p w14:paraId="16C6B896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</w:rPr>
              <w:t xml:space="preserve">2014 </w:t>
            </w:r>
          </w:p>
        </w:tc>
        <w:tc>
          <w:tcPr>
            <w:tcW w:w="1360" w:type="dxa"/>
            <w:tcMar>
              <w:left w:w="57" w:type="dxa"/>
              <w:right w:w="57" w:type="dxa"/>
            </w:tcMar>
          </w:tcPr>
          <w:p w14:paraId="60A41015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0.102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109DB4F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 xml:space="preserve">    0.291**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22F2BD5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6B164D2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-0.040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E7588FA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-0.104</w:t>
            </w:r>
          </w:p>
        </w:tc>
      </w:tr>
      <w:tr w:rsidR="000A42FE" w:rsidRPr="000A42FE" w14:paraId="2000A99F" w14:textId="77777777" w:rsidTr="00B31DA9">
        <w:tc>
          <w:tcPr>
            <w:tcW w:w="586" w:type="dxa"/>
            <w:vMerge/>
            <w:tcBorders>
              <w:left w:val="nil"/>
              <w:right w:val="nil"/>
            </w:tcBorders>
          </w:tcPr>
          <w:p w14:paraId="027A7265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nil"/>
              <w:bottom w:val="nil"/>
            </w:tcBorders>
            <w:vAlign w:val="center"/>
          </w:tcPr>
          <w:p w14:paraId="2E834351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Mar>
              <w:left w:w="57" w:type="dxa"/>
              <w:right w:w="57" w:type="dxa"/>
            </w:tcMar>
          </w:tcPr>
          <w:p w14:paraId="7CBA3DDC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(0.177)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FE4240D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(0.113)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E47B567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0071079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(0.161)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A0FECEB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(0.193)</w:t>
            </w:r>
          </w:p>
        </w:tc>
      </w:tr>
      <w:tr w:rsidR="000A42FE" w:rsidRPr="000A42FE" w14:paraId="691EC128" w14:textId="77777777" w:rsidTr="00B31DA9">
        <w:tc>
          <w:tcPr>
            <w:tcW w:w="586" w:type="dxa"/>
            <w:vMerge/>
            <w:tcBorders>
              <w:left w:val="nil"/>
              <w:right w:val="nil"/>
            </w:tcBorders>
          </w:tcPr>
          <w:p w14:paraId="5477FFB8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nil"/>
            </w:tcBorders>
            <w:vAlign w:val="center"/>
          </w:tcPr>
          <w:p w14:paraId="1A9A1036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1360" w:type="dxa"/>
            <w:tcMar>
              <w:left w:w="57" w:type="dxa"/>
              <w:right w:w="57" w:type="dxa"/>
            </w:tcMar>
          </w:tcPr>
          <w:p w14:paraId="236C9D58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0.060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DCF583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0.276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FC3736F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 xml:space="preserve">  0.136*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8306927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3ED283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0.002</w:t>
            </w:r>
          </w:p>
        </w:tc>
      </w:tr>
      <w:tr w:rsidR="000A42FE" w:rsidRPr="000A42FE" w14:paraId="10296B80" w14:textId="77777777" w:rsidTr="00B31DA9">
        <w:tc>
          <w:tcPr>
            <w:tcW w:w="586" w:type="dxa"/>
            <w:vMerge/>
            <w:tcBorders>
              <w:left w:val="nil"/>
              <w:right w:val="nil"/>
            </w:tcBorders>
          </w:tcPr>
          <w:p w14:paraId="5BE50601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nil"/>
              <w:bottom w:val="nil"/>
            </w:tcBorders>
            <w:vAlign w:val="center"/>
          </w:tcPr>
          <w:p w14:paraId="7C243278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Mar>
              <w:left w:w="57" w:type="dxa"/>
              <w:right w:w="57" w:type="dxa"/>
            </w:tcMar>
          </w:tcPr>
          <w:p w14:paraId="13B12B32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(0.207)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ED2CB8C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(0.184)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7D77E0B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(0.076)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10B5113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A322105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(0.075)</w:t>
            </w:r>
          </w:p>
        </w:tc>
      </w:tr>
      <w:tr w:rsidR="000A42FE" w:rsidRPr="000A42FE" w14:paraId="16B33889" w14:textId="77777777" w:rsidTr="00B31DA9">
        <w:tc>
          <w:tcPr>
            <w:tcW w:w="586" w:type="dxa"/>
            <w:vMerge/>
            <w:tcBorders>
              <w:left w:val="nil"/>
              <w:right w:val="nil"/>
            </w:tcBorders>
          </w:tcPr>
          <w:p w14:paraId="200DC732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nil"/>
            </w:tcBorders>
            <w:vAlign w:val="center"/>
          </w:tcPr>
          <w:p w14:paraId="4B9F9DC2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</w:rPr>
              <w:t xml:space="preserve">2016 </w:t>
            </w:r>
          </w:p>
        </w:tc>
        <w:tc>
          <w:tcPr>
            <w:tcW w:w="1360" w:type="dxa"/>
            <w:tcMar>
              <w:left w:w="57" w:type="dxa"/>
              <w:right w:w="57" w:type="dxa"/>
            </w:tcMar>
          </w:tcPr>
          <w:p w14:paraId="4573F817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0.093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D015151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 xml:space="preserve"> 0.375*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699446E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 xml:space="preserve">  0.191*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0E2E5AF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0.015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B924D7A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2FE" w:rsidRPr="000A42FE" w14:paraId="528094DD" w14:textId="77777777" w:rsidTr="00B31DA9">
        <w:tc>
          <w:tcPr>
            <w:tcW w:w="586" w:type="dxa"/>
            <w:vMerge/>
            <w:tcBorders>
              <w:left w:val="nil"/>
              <w:right w:val="nil"/>
            </w:tcBorders>
          </w:tcPr>
          <w:p w14:paraId="748C92DE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nil"/>
              <w:bottom w:val="nil"/>
            </w:tcBorders>
            <w:vAlign w:val="center"/>
          </w:tcPr>
          <w:p w14:paraId="4FEB4A34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Mar>
              <w:left w:w="57" w:type="dxa"/>
              <w:right w:w="57" w:type="dxa"/>
            </w:tcMar>
          </w:tcPr>
          <w:p w14:paraId="108A9AF7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(0.272)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067A2B0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(0.194)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2D9132E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(0.106)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CC18C00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(0.063)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24AFFF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2FE" w:rsidRPr="000A42FE" w14:paraId="6E2850F1" w14:textId="77777777" w:rsidTr="00B31DA9">
        <w:tc>
          <w:tcPr>
            <w:tcW w:w="586" w:type="dxa"/>
            <w:vMerge/>
            <w:tcBorders>
              <w:left w:val="nil"/>
              <w:right w:val="nil"/>
            </w:tcBorders>
          </w:tcPr>
          <w:p w14:paraId="29DBCA36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nil"/>
            </w:tcBorders>
            <w:vAlign w:val="center"/>
          </w:tcPr>
          <w:p w14:paraId="6FE950FB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</w:rPr>
              <w:t xml:space="preserve">2017 </w:t>
            </w:r>
          </w:p>
        </w:tc>
        <w:tc>
          <w:tcPr>
            <w:tcW w:w="1360" w:type="dxa"/>
            <w:tcMar>
              <w:left w:w="57" w:type="dxa"/>
              <w:right w:w="57" w:type="dxa"/>
            </w:tcMar>
          </w:tcPr>
          <w:p w14:paraId="64D4A571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-0.135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CDBCE6B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 xml:space="preserve">   0.463**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78ACE11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0.116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102AEF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0.252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E4BD49C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0.018</w:t>
            </w:r>
          </w:p>
        </w:tc>
      </w:tr>
      <w:tr w:rsidR="000A42FE" w:rsidRPr="000A42FE" w14:paraId="720CDC27" w14:textId="77777777" w:rsidTr="00B31DA9">
        <w:tc>
          <w:tcPr>
            <w:tcW w:w="586" w:type="dxa"/>
            <w:vMerge/>
            <w:tcBorders>
              <w:left w:val="nil"/>
              <w:bottom w:val="nil"/>
              <w:right w:val="nil"/>
            </w:tcBorders>
          </w:tcPr>
          <w:p w14:paraId="1BB61986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nil"/>
              <w:bottom w:val="nil"/>
            </w:tcBorders>
          </w:tcPr>
          <w:p w14:paraId="33FDF9C7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Mar>
              <w:left w:w="57" w:type="dxa"/>
              <w:right w:w="57" w:type="dxa"/>
            </w:tcMar>
          </w:tcPr>
          <w:p w14:paraId="316427CD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(0.326)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A57BB83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(0.215)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2C17AD7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(0.146)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925350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(0.156)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F92E94B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kern w:val="0"/>
              </w:rPr>
              <w:t>(0.189)</w:t>
            </w:r>
          </w:p>
        </w:tc>
      </w:tr>
      <w:tr w:rsidR="000A42FE" w:rsidRPr="000A42FE" w14:paraId="7C576630" w14:textId="77777777" w:rsidTr="00B31DA9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7266B262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8D6614B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35F78A7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0A4628F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D65AACB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055F2FC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0A42FE" w:rsidRPr="000A42FE" w14:paraId="4D5E0989" w14:textId="77777777" w:rsidTr="00B31DA9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3FF84BEE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  <w:i/>
                <w:iCs/>
              </w:rPr>
              <w:t>R</w:t>
            </w:r>
            <w:r w:rsidRPr="000A42FE">
              <w:rPr>
                <w:rFonts w:ascii="Times New Roman" w:hAnsi="Times New Roman" w:cs="Times New Roman"/>
                <w:vertAlign w:val="superscript"/>
              </w:rPr>
              <w:t>2</w:t>
            </w:r>
            <w:r w:rsidRPr="000A42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385C181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2FE">
              <w:rPr>
                <w:rFonts w:ascii="Times New Roman" w:hAnsi="Times New Roman"/>
                <w:kern w:val="0"/>
              </w:rPr>
              <w:t>0.09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D5D35C0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/>
                <w:kern w:val="0"/>
              </w:rPr>
              <w:t>0.06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BE3CFF4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/>
                <w:kern w:val="0"/>
              </w:rPr>
              <w:t>0.04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ADAF3D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/>
                <w:kern w:val="0"/>
              </w:rPr>
              <w:t>0.05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B288AB5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/>
                <w:kern w:val="0"/>
              </w:rPr>
              <w:t>0.03</w:t>
            </w:r>
          </w:p>
        </w:tc>
      </w:tr>
      <w:tr w:rsidR="000A42FE" w:rsidRPr="000A42FE" w14:paraId="376A8E68" w14:textId="77777777" w:rsidTr="00B31DA9"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68" w:type="dxa"/>
              <w:right w:w="68" w:type="dxa"/>
            </w:tcMar>
          </w:tcPr>
          <w:p w14:paraId="2BA0A70F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 w:cs="Times New Roman"/>
              </w:rPr>
              <w:t>Observations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35BF91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2FE">
              <w:rPr>
                <w:rFonts w:ascii="Times New Roman" w:hAnsi="Times New Roman"/>
                <w:kern w:val="0"/>
              </w:rPr>
              <w:t>812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0304B4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/>
                <w:kern w:val="0"/>
              </w:rPr>
              <w:t>1,176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D83DDD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/>
                <w:kern w:val="0"/>
              </w:rPr>
              <w:t>1,918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CA2445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/>
                <w:kern w:val="0"/>
              </w:rPr>
              <w:t>658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DE54DD" w14:textId="77777777" w:rsidR="000A42FE" w:rsidRPr="000A42FE" w:rsidRDefault="000A42FE" w:rsidP="00B3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2FE">
              <w:rPr>
                <w:rFonts w:ascii="Times New Roman" w:hAnsi="Times New Roman"/>
                <w:kern w:val="0"/>
              </w:rPr>
              <w:t>385</w:t>
            </w:r>
          </w:p>
        </w:tc>
      </w:tr>
    </w:tbl>
    <w:p w14:paraId="0DE609BF" w14:textId="77777777" w:rsidR="000A42FE" w:rsidRPr="000A42FE" w:rsidRDefault="000A42FE" w:rsidP="000A42FE">
      <w:pPr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  <w:r w:rsidRPr="000A42FE">
        <w:rPr>
          <w:rFonts w:ascii="Times New Roman" w:hAnsi="Times New Roman" w:cs="Times New Roman"/>
          <w:sz w:val="20"/>
          <w:szCs w:val="20"/>
        </w:rPr>
        <w:t>Source: Author’s calculations based on Finep and RAIS data.</w:t>
      </w:r>
    </w:p>
    <w:p w14:paraId="4D108F52" w14:textId="28CA0826" w:rsidR="000A42FE" w:rsidRPr="000A42FE" w:rsidRDefault="000A42FE" w:rsidP="000A42FE">
      <w:pPr>
        <w:jc w:val="both"/>
        <w:rPr>
          <w:rFonts w:ascii="Times New Roman" w:hAnsi="Times New Roman" w:cs="Times New Roman"/>
          <w:sz w:val="20"/>
          <w:szCs w:val="20"/>
        </w:rPr>
      </w:pPr>
      <w:r w:rsidRPr="000A42FE">
        <w:rPr>
          <w:rFonts w:ascii="Times New Roman" w:hAnsi="Times New Roman" w:cs="Times New Roman"/>
          <w:sz w:val="20"/>
          <w:szCs w:val="20"/>
        </w:rPr>
        <w:t xml:space="preserve">Note: The table reports results from </w:t>
      </w:r>
      <w:r w:rsidR="00FD050A">
        <w:rPr>
          <w:rFonts w:ascii="Times New Roman" w:hAnsi="Times New Roman" w:cs="Times New Roman"/>
          <w:sz w:val="20"/>
          <w:szCs w:val="20"/>
        </w:rPr>
        <w:t>separate</w:t>
      </w:r>
      <w:r w:rsidRPr="000A42FE">
        <w:rPr>
          <w:rFonts w:ascii="Times New Roman" w:hAnsi="Times New Roman" w:cs="Times New Roman"/>
          <w:sz w:val="20"/>
          <w:szCs w:val="20"/>
        </w:rPr>
        <w:t xml:space="preserve"> regressions for each cohort, as described by equations (2) and (3). All regressions include time and firm fixed effects (omitted for convenience). The coefficients above the blank space are pre-treatment cells. A significant coefficient may be interpreted as a violation of the common trend hypothesis. The coefficients below </w:t>
      </w:r>
      <w:r w:rsidR="00FD050A">
        <w:rPr>
          <w:rFonts w:ascii="Times New Roman" w:hAnsi="Times New Roman" w:cs="Times New Roman"/>
          <w:sz w:val="20"/>
          <w:szCs w:val="20"/>
        </w:rPr>
        <w:t>the blank cells are post-treatment</w:t>
      </w:r>
      <w:r w:rsidRPr="000A42FE">
        <w:rPr>
          <w:rFonts w:ascii="Times New Roman" w:hAnsi="Times New Roman" w:cs="Times New Roman"/>
          <w:sz w:val="20"/>
          <w:szCs w:val="20"/>
        </w:rPr>
        <w:t xml:space="preserve"> cells. A significant coefficient may be interpreted as a causal effect, under the usual DiD assumptions. </w:t>
      </w:r>
      <w:r w:rsidRPr="000A42FE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="00FD050A">
        <w:rPr>
          <w:rFonts w:ascii="Times New Roman" w:eastAsia="Times New Roman" w:hAnsi="Times New Roman" w:cs="Times New Roman"/>
          <w:sz w:val="20"/>
          <w:szCs w:val="20"/>
        </w:rPr>
        <w:t xml:space="preserve">parentheses are </w:t>
      </w:r>
      <w:r w:rsidRPr="000A42FE">
        <w:rPr>
          <w:rFonts w:ascii="Times New Roman" w:eastAsia="Times New Roman" w:hAnsi="Times New Roman" w:cs="Times New Roman"/>
          <w:sz w:val="20"/>
          <w:szCs w:val="20"/>
        </w:rPr>
        <w:t>the standard deviations of the estimated parameters. The symbols *, **</w:t>
      </w:r>
      <w:r w:rsidR="00FD050A">
        <w:rPr>
          <w:rFonts w:ascii="Times New Roman" w:eastAsia="Times New Roman" w:hAnsi="Times New Roman" w:cs="Times New Roman"/>
          <w:sz w:val="20"/>
          <w:szCs w:val="20"/>
        </w:rPr>
        <w:t>, and</w:t>
      </w:r>
      <w:r w:rsidRPr="000A42FE">
        <w:rPr>
          <w:rFonts w:ascii="Times New Roman" w:eastAsia="Times New Roman" w:hAnsi="Times New Roman" w:cs="Times New Roman"/>
          <w:sz w:val="20"/>
          <w:szCs w:val="20"/>
        </w:rPr>
        <w:t xml:space="preserve"> *** indicate parameters statistically different from zero at 10%, 5%</w:t>
      </w:r>
      <w:r w:rsidR="00FD050A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A42FE">
        <w:rPr>
          <w:rFonts w:ascii="Times New Roman" w:eastAsia="Times New Roman" w:hAnsi="Times New Roman" w:cs="Times New Roman"/>
          <w:sz w:val="20"/>
          <w:szCs w:val="20"/>
        </w:rPr>
        <w:t xml:space="preserve"> and 1% significance level, respectively.</w:t>
      </w:r>
    </w:p>
    <w:p w14:paraId="0F5719B4" w14:textId="77777777" w:rsidR="000A42FE" w:rsidRPr="000A42FE" w:rsidRDefault="000A42FE" w:rsidP="000A42FE"/>
    <w:p w14:paraId="1C18D3E5" w14:textId="77777777" w:rsidR="000A42FE" w:rsidRPr="000A42FE" w:rsidRDefault="000A42FE"/>
    <w:sectPr w:rsidR="000A42FE" w:rsidRPr="000A42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E8"/>
    <w:rsid w:val="000A42FE"/>
    <w:rsid w:val="000E5EDB"/>
    <w:rsid w:val="001523A8"/>
    <w:rsid w:val="002B47F4"/>
    <w:rsid w:val="002E09E8"/>
    <w:rsid w:val="00337274"/>
    <w:rsid w:val="0039700D"/>
    <w:rsid w:val="003A10F0"/>
    <w:rsid w:val="003F4A0B"/>
    <w:rsid w:val="00434358"/>
    <w:rsid w:val="00560A4D"/>
    <w:rsid w:val="00616596"/>
    <w:rsid w:val="00622CB5"/>
    <w:rsid w:val="006973CA"/>
    <w:rsid w:val="007473A7"/>
    <w:rsid w:val="00793B28"/>
    <w:rsid w:val="00887DA4"/>
    <w:rsid w:val="00900578"/>
    <w:rsid w:val="0096376E"/>
    <w:rsid w:val="00974442"/>
    <w:rsid w:val="00984770"/>
    <w:rsid w:val="00985AE9"/>
    <w:rsid w:val="00A15C43"/>
    <w:rsid w:val="00B747B7"/>
    <w:rsid w:val="00D16DCD"/>
    <w:rsid w:val="00D81840"/>
    <w:rsid w:val="00D92D1F"/>
    <w:rsid w:val="00DD2B99"/>
    <w:rsid w:val="00E51E1F"/>
    <w:rsid w:val="00E57163"/>
    <w:rsid w:val="00F25F20"/>
    <w:rsid w:val="00FD050A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1462C2"/>
  <w15:chartTrackingRefBased/>
  <w15:docId w15:val="{C035443B-2711-40DD-AE4E-E3AE875A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2FE"/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E0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0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0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0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0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0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0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0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0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0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0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0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09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09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09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09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09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09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0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0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0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E0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0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E09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09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E09E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0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09E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09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3937</Characters>
  <Application>Microsoft Office Word</Application>
  <DocSecurity>0</DocSecurity>
  <Lines>492</Lines>
  <Paragraphs>383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canedo</dc:creator>
  <cp:keywords/>
  <dc:description/>
  <cp:lastModifiedBy>canedo</cp:lastModifiedBy>
  <cp:revision>3</cp:revision>
  <dcterms:created xsi:type="dcterms:W3CDTF">2025-06-02T20:38:00Z</dcterms:created>
  <dcterms:modified xsi:type="dcterms:W3CDTF">2025-06-02T20:38:00Z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d7cb53b9-2c12-4c82-bc54-31239c46b98b</vt:lpwstr>
  </property>
</Properties>
</file>