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3642A" w14:textId="5A4B83B6" w:rsidR="006761EE" w:rsidRDefault="00412544" w:rsidP="00412544">
      <w:pPr>
        <w:pStyle w:val="Heading1"/>
        <w:rPr>
          <w:b w:val="0"/>
        </w:rPr>
      </w:pPr>
      <w:r w:rsidRPr="00412544">
        <w:rPr>
          <w:b w:val="0"/>
        </w:rPr>
        <w:t>Online supplementary material</w:t>
      </w:r>
    </w:p>
    <w:p w14:paraId="530E7C42" w14:textId="793842BC" w:rsidR="008172F4" w:rsidRPr="00C5686B" w:rsidRDefault="008172F4" w:rsidP="008172F4">
      <w:pPr>
        <w:pStyle w:val="Heading1"/>
      </w:pPr>
      <w:r>
        <w:t>Full details of method</w:t>
      </w:r>
    </w:p>
    <w:p w14:paraId="3CFDF8E5" w14:textId="77777777" w:rsidR="008172F4" w:rsidRPr="009376E6" w:rsidRDefault="008172F4" w:rsidP="008172F4">
      <w:pPr>
        <w:pStyle w:val="Heading2"/>
        <w:rPr>
          <w:i/>
        </w:rPr>
      </w:pPr>
      <w:r>
        <w:rPr>
          <w:i/>
        </w:rPr>
        <w:t>S</w:t>
      </w:r>
      <w:r w:rsidRPr="009376E6">
        <w:rPr>
          <w:i/>
        </w:rPr>
        <w:t>earch strategy</w:t>
      </w:r>
    </w:p>
    <w:p w14:paraId="764230BF" w14:textId="77777777" w:rsidR="008172F4" w:rsidRDefault="008172F4" w:rsidP="008172F4">
      <w:r>
        <w:t xml:space="preserve">A protocol consisting of search terms and inclusion/exclusion criteria for this review was developed a priori by the authors in consultation with an academic reference librarian. A comprehensive search was undertaken of five databases </w:t>
      </w:r>
      <w:bookmarkStart w:id="0" w:name="_Hlk187705123"/>
      <w:r>
        <w:t xml:space="preserve">(PsycINFO, Business Source Complete, Web of Science, Cochrane Library, and Campbell Collaboration Library) </w:t>
      </w:r>
      <w:bookmarkEnd w:id="0"/>
      <w:r>
        <w:t xml:space="preserve">in January 2019 and updated in November 2021, for all articles published after 1 January 2009 (initially to allow for a 10-year window of research prior to the update). Terms for identifying the context included </w:t>
      </w:r>
      <w:r>
        <w:rPr>
          <w:i/>
          <w:iCs/>
        </w:rPr>
        <w:t xml:space="preserve">employ*, </w:t>
      </w:r>
      <w:r w:rsidRPr="005770BD">
        <w:rPr>
          <w:i/>
          <w:iCs/>
        </w:rPr>
        <w:t>workplace</w:t>
      </w:r>
      <w:r>
        <w:t xml:space="preserve">, </w:t>
      </w:r>
      <w:r w:rsidRPr="005770BD">
        <w:rPr>
          <w:i/>
          <w:iCs/>
        </w:rPr>
        <w:t>job</w:t>
      </w:r>
      <w:r>
        <w:t xml:space="preserve">, </w:t>
      </w:r>
      <w:r w:rsidRPr="005770BD">
        <w:rPr>
          <w:i/>
          <w:iCs/>
        </w:rPr>
        <w:t>business</w:t>
      </w:r>
      <w:r>
        <w:t xml:space="preserve">, </w:t>
      </w:r>
      <w:proofErr w:type="spellStart"/>
      <w:r w:rsidRPr="005770BD">
        <w:rPr>
          <w:i/>
          <w:iCs/>
        </w:rPr>
        <w:t>organi#ation</w:t>
      </w:r>
      <w:proofErr w:type="spellEnd"/>
      <w:r>
        <w:t xml:space="preserve">. Terms for identifying practices included </w:t>
      </w:r>
      <w:r w:rsidRPr="005770BD">
        <w:rPr>
          <w:i/>
          <w:iCs/>
        </w:rPr>
        <w:t>intervention*</w:t>
      </w:r>
      <w:r w:rsidRPr="005770BD">
        <w:t xml:space="preserve">, </w:t>
      </w:r>
      <w:r w:rsidRPr="005770BD">
        <w:rPr>
          <w:i/>
          <w:iCs/>
        </w:rPr>
        <w:t>program*</w:t>
      </w:r>
      <w:r>
        <w:t xml:space="preserve">, </w:t>
      </w:r>
      <w:r w:rsidRPr="005770BD">
        <w:rPr>
          <w:i/>
          <w:iCs/>
        </w:rPr>
        <w:t>practice*</w:t>
      </w:r>
      <w:r>
        <w:t xml:space="preserve">, </w:t>
      </w:r>
      <w:proofErr w:type="spellStart"/>
      <w:r w:rsidRPr="005770BD">
        <w:rPr>
          <w:i/>
          <w:iCs/>
        </w:rPr>
        <w:t>polic</w:t>
      </w:r>
      <w:proofErr w:type="spellEnd"/>
      <w:r w:rsidRPr="005770BD">
        <w:rPr>
          <w:i/>
          <w:iCs/>
        </w:rPr>
        <w:t>*</w:t>
      </w:r>
      <w:r>
        <w:t xml:space="preserve">, </w:t>
      </w:r>
      <w:r w:rsidRPr="005770BD">
        <w:rPr>
          <w:i/>
          <w:iCs/>
        </w:rPr>
        <w:t>flexible work*</w:t>
      </w:r>
      <w:r>
        <w:t xml:space="preserve">, </w:t>
      </w:r>
      <w:r w:rsidRPr="005770BD">
        <w:rPr>
          <w:i/>
          <w:iCs/>
        </w:rPr>
        <w:t>education</w:t>
      </w:r>
      <w:r>
        <w:t xml:space="preserve">, </w:t>
      </w:r>
      <w:r w:rsidRPr="005770BD">
        <w:rPr>
          <w:i/>
          <w:iCs/>
        </w:rPr>
        <w:t>training</w:t>
      </w:r>
      <w:r>
        <w:t xml:space="preserve">, </w:t>
      </w:r>
      <w:r w:rsidRPr="005770BD">
        <w:rPr>
          <w:i/>
          <w:iCs/>
        </w:rPr>
        <w:t>mentor*</w:t>
      </w:r>
      <w:r>
        <w:t xml:space="preserve">, </w:t>
      </w:r>
      <w:r w:rsidRPr="005770BD">
        <w:rPr>
          <w:i/>
          <w:iCs/>
        </w:rPr>
        <w:t>quota*</w:t>
      </w:r>
      <w:r>
        <w:t xml:space="preserve">. Terms for identifying outcomes included </w:t>
      </w:r>
      <w:r w:rsidRPr="005770BD">
        <w:rPr>
          <w:i/>
          <w:iCs/>
        </w:rPr>
        <w:t>diversity</w:t>
      </w:r>
      <w:r>
        <w:t xml:space="preserve">, </w:t>
      </w:r>
      <w:proofErr w:type="spellStart"/>
      <w:r w:rsidRPr="005770BD">
        <w:rPr>
          <w:i/>
          <w:iCs/>
        </w:rPr>
        <w:t>inclus</w:t>
      </w:r>
      <w:proofErr w:type="spellEnd"/>
      <w:r w:rsidRPr="005770BD">
        <w:rPr>
          <w:i/>
          <w:iCs/>
        </w:rPr>
        <w:t>*</w:t>
      </w:r>
      <w:r>
        <w:t xml:space="preserve">, </w:t>
      </w:r>
      <w:r w:rsidRPr="005770BD">
        <w:rPr>
          <w:i/>
          <w:iCs/>
        </w:rPr>
        <w:t>equality</w:t>
      </w:r>
      <w:r>
        <w:t xml:space="preserve">, </w:t>
      </w:r>
      <w:r w:rsidRPr="005770BD">
        <w:rPr>
          <w:i/>
          <w:iCs/>
        </w:rPr>
        <w:t>cohesion</w:t>
      </w:r>
      <w:r>
        <w:t xml:space="preserve">, </w:t>
      </w:r>
      <w:r w:rsidRPr="005770BD">
        <w:rPr>
          <w:i/>
          <w:iCs/>
        </w:rPr>
        <w:t>prejudice</w:t>
      </w:r>
      <w:r>
        <w:t xml:space="preserve">, </w:t>
      </w:r>
      <w:r w:rsidRPr="005770BD">
        <w:rPr>
          <w:i/>
          <w:iCs/>
        </w:rPr>
        <w:t>discrimination</w:t>
      </w:r>
      <w:r>
        <w:t xml:space="preserve">. Terms for identifying the type of study included </w:t>
      </w:r>
      <w:r w:rsidRPr="005770BD">
        <w:rPr>
          <w:i/>
          <w:iCs/>
        </w:rPr>
        <w:t>systematic review</w:t>
      </w:r>
      <w:r>
        <w:t xml:space="preserve">, </w:t>
      </w:r>
      <w:proofErr w:type="spellStart"/>
      <w:r w:rsidRPr="005770BD">
        <w:rPr>
          <w:i/>
          <w:iCs/>
        </w:rPr>
        <w:t>meta analysis</w:t>
      </w:r>
      <w:proofErr w:type="spellEnd"/>
      <w:r>
        <w:t xml:space="preserve">, </w:t>
      </w:r>
      <w:r w:rsidRPr="005770BD">
        <w:rPr>
          <w:i/>
          <w:iCs/>
        </w:rPr>
        <w:t>literature review</w:t>
      </w:r>
      <w:r>
        <w:t xml:space="preserve">, </w:t>
      </w:r>
      <w:r w:rsidRPr="005770BD">
        <w:rPr>
          <w:i/>
          <w:iCs/>
        </w:rPr>
        <w:t>scoping review</w:t>
      </w:r>
      <w:r>
        <w:t xml:space="preserve">, </w:t>
      </w:r>
      <w:r w:rsidRPr="00C03165">
        <w:rPr>
          <w:i/>
        </w:rPr>
        <w:t>systematic search</w:t>
      </w:r>
      <w:r>
        <w:t xml:space="preserve">, </w:t>
      </w:r>
      <w:r w:rsidRPr="005770BD">
        <w:rPr>
          <w:i/>
          <w:iCs/>
        </w:rPr>
        <w:t>integrative review</w:t>
      </w:r>
      <w:r>
        <w:t xml:space="preserve">, </w:t>
      </w:r>
      <w:r w:rsidRPr="005770BD">
        <w:rPr>
          <w:i/>
          <w:iCs/>
        </w:rPr>
        <w:t>umbrella review</w:t>
      </w:r>
      <w:r>
        <w:t>. Inclusion criteria consisted of population and setting (employees in any organization and in any industry in developed countries that are practically comparable to Australia or similar contexts), study designs included in reviews (interventional or observational), and intervention type (activities designed with the goal of D&amp;I).</w:t>
      </w:r>
    </w:p>
    <w:p w14:paraId="6454FB22" w14:textId="77777777" w:rsidR="008172F4" w:rsidRDefault="008172F4" w:rsidP="008172F4">
      <w:r>
        <w:t xml:space="preserve">We specifically selected </w:t>
      </w:r>
      <w:r w:rsidRPr="00AB710B">
        <w:rPr>
          <w:i/>
        </w:rPr>
        <w:t>employees</w:t>
      </w:r>
      <w:r>
        <w:t xml:space="preserve"> as our population to distinguish the research from organizational D&amp;I initiatives carried out on customers, patients (in healthcare settings), and students (in educational settings), which are addressed through different interventions. We excluded non-review articles, conceptual or theoretical articles, articles focused on settings outside the workplace (e.g., community-based intervention to improve job readiness outside the </w:t>
      </w:r>
      <w:r>
        <w:lastRenderedPageBreak/>
        <w:t>workplace), articles about interventions that did not specifically target D&amp;I, and articles that examined D&amp;I as interventions themselves rather than as outcomes (e.g., the impact of board diversity on organizational productivity). While these are important considerations, they are outside the scope of the current research which aims to guide actions that organizational leaders and HR managers can take. We only included peer-reviewed and English-language articles, and excluded books, book chapters, conference proceedings, dissertations, and the grey literature.</w:t>
      </w:r>
    </w:p>
    <w:p w14:paraId="2B3328FC" w14:textId="231E5E67" w:rsidR="008172F4" w:rsidRDefault="008172F4" w:rsidP="008172F4">
      <w:r>
        <w:t>Title and abstract screening and full-text review were carried out independently by the first two authors (</w:t>
      </w:r>
      <w:r w:rsidR="003E4BA2">
        <w:t>KZ, WH</w:t>
      </w:r>
      <w:r>
        <w:t>) based on the inclusion/exclusion criteria in January 2019, with discrepancies resolved through discussion, and later by one author (</w:t>
      </w:r>
      <w:r w:rsidR="003E4BA2">
        <w:t>KZ</w:t>
      </w:r>
      <w:r>
        <w:t>) in November 2021.</w:t>
      </w:r>
    </w:p>
    <w:p w14:paraId="64B81905" w14:textId="77777777" w:rsidR="008172F4" w:rsidRPr="009376E6" w:rsidRDefault="008172F4" w:rsidP="008172F4">
      <w:pPr>
        <w:pStyle w:val="Heading2"/>
        <w:rPr>
          <w:i/>
        </w:rPr>
      </w:pPr>
      <w:r w:rsidRPr="009376E6">
        <w:rPr>
          <w:i/>
        </w:rPr>
        <w:t>Quality appraisal and data extraction</w:t>
      </w:r>
    </w:p>
    <w:p w14:paraId="05A4CDFB" w14:textId="1972984C" w:rsidR="008172F4" w:rsidRDefault="008172F4" w:rsidP="008172F4">
      <w:r>
        <w:t>Quality appraisal was conducted in duplicate by two authors (</w:t>
      </w:r>
      <w:r w:rsidR="003E4BA2">
        <w:t>KZ, WH</w:t>
      </w:r>
      <w:r>
        <w:t xml:space="preserve">) using AMSTAR </w:t>
      </w:r>
      <w:r>
        <w:fldChar w:fldCharType="begin" w:fldLock="1"/>
      </w:r>
      <w:r>
        <w:instrText>ADDIN CSL_CITATION {"citationItems":[{"id":"ITEM-1","itemData":{"DOI":"10.1186/1471-2288-7-10","ISSN":"1471-2288","author":[{"dropping-particle":"","family":"Shea","given":"Beverley J","non-dropping-particle":"","parse-names":false,"suffix":""},{"dropping-particle":"","family":"Grimshaw","given":"Jeremy M","non-dropping-particle":"","parse-names":false,"suffix":""},{"dropping-particle":"","family":"Wells","given":"George A","non-dropping-particle":"","parse-names":false,"suffix":""},{"dropping-particle":"","family":"Boers","given":"Maarten","non-dropping-particle":"","parse-names":false,"suffix":""},{"dropping-particle":"","family":"Andersson","given":"Neil","non-dropping-particle":"","parse-names":false,"suffix":""},{"dropping-particle":"","family":"Hamel","given":"Candyce","non-dropping-particle":"","parse-names":false,"suffix":""},{"dropping-particle":"","family":"Porter","given":"Ashley C","non-dropping-particle":"","parse-names":false,"suffix":""},{"dropping-particle":"","family":"Tugwell","given":"Peter","non-dropping-particle":"","parse-names":false,"suffix":""},{"dropping-particle":"","family":"Moher","given":"David","non-dropping-particle":"","parse-names":false,"suffix":""},{"dropping-particle":"","family":"Bouter","given":"Lex M","non-dropping-particle":"","parse-names":false,"suffix":""}],"container-title":"BMC Medical Research Methodology","id":"ITEM-1","issue":"1","issued":{"date-parts":[["2007"]]},"page":"10","publisher":"BioMed Central","title":"Development of AMSTAR: A measurement tool to assess the methodological quality of systematic reviews","type":"article-journal","volume":"7"},"prefix":"A MeaSurement Tool to Assess systematic Reviews; ","uris":["http://www.mendeley.com/documents/?uuid=61e8edc5-f614-409f-bb34-2ec38065aadb"]}],"mendeley":{"formattedCitation":"(A MeaSurement Tool to Assess systematic Reviews; Shea et al., 2007)","plainTextFormattedCitation":"(A MeaSurement Tool to Assess systematic Reviews; Shea et al., 2007)","previouslyFormattedCitation":"(A MeaSurement Tool to Assess systematic Reviews; Shea et al., 2007)"},"properties":{"noteIndex":0},"schema":"https://github.com/citation-style-language/schema/raw/master/csl-citation.json"}</w:instrText>
      </w:r>
      <w:r>
        <w:fldChar w:fldCharType="separate"/>
      </w:r>
      <w:r w:rsidRPr="00D355C5">
        <w:rPr>
          <w:noProof/>
        </w:rPr>
        <w:t>(A MeaSurement Tool to Assess systematic Reviews; Shea et al., 2007)</w:t>
      </w:r>
      <w:r>
        <w:fldChar w:fldCharType="end"/>
      </w:r>
      <w:r>
        <w:t>, a critical appraisal instrument with 11 questions for evaluating systematic reviews and meta-analyses. AMSTAR assesses the methodological rigor and quality of systematic reviews, with questions such as “</w:t>
      </w:r>
      <w:r w:rsidRPr="00875870">
        <w:t>Was an ‘a priori’ design provided?</w:t>
      </w:r>
      <w:r>
        <w:t xml:space="preserve">”. Not all included articles were systematic reviews and eligible for AMSTAR, so articles were also divided into a two-tiered system based on the hierarchy of evidence </w:t>
      </w:r>
      <w:r>
        <w:fldChar w:fldCharType="begin" w:fldLock="1"/>
      </w:r>
      <w:r>
        <w:instrText>ADDIN CSL_CITATION {"citationItems":[{"id":"ITEM-1","itemData":{"ISSN":"2515-446X","author":[{"dropping-particle":"","family":"Murad","given":"M Hassan","non-dropping-particle":"","parse-names":false,"suffix":""},{"dropping-particle":"","family":"Asi","given":"Noor","non-dropping-particle":"","parse-names":false,"suffix":""},{"dropping-particle":"","family":"Alsawas","given":"Mouaz","non-dropping-particle":"","parse-names":false,"suffix":""},{"dropping-particle":"","family":"Alahdab","given":"Fares","non-dropping-particle":"","parse-names":false,"suffix":""}],"container-title":"BMJ Evidence-Based Medicine","id":"ITEM-1","issue":"4","issued":{"date-parts":[["2016"]]},"page":"125-127","publisher":"Royal Society of Medicine","title":"New evidence pyramid","type":"article-journal","volume":"21"},"uris":["http://www.mendeley.com/documents/?uuid=2174db54-7607-403a-914a-55f7aba2001c"]}],"mendeley":{"formattedCitation":"(Murad et al., 2016)","plainTextFormattedCitation":"(Murad et al., 2016)","previouslyFormattedCitation":"(Murad et al., 2016)"},"properties":{"noteIndex":0},"schema":"https://github.com/citation-style-language/schema/raw/master/csl-citation.json"}</w:instrText>
      </w:r>
      <w:r>
        <w:fldChar w:fldCharType="separate"/>
      </w:r>
      <w:r w:rsidRPr="00B3184D">
        <w:rPr>
          <w:noProof/>
        </w:rPr>
        <w:t>(Murad et al., 2016)</w:t>
      </w:r>
      <w:r>
        <w:fldChar w:fldCharType="end"/>
      </w:r>
      <w:r>
        <w:t>: (1) systematic reviews and meta-analyses, and (2) narrative reviews and scoping reviews.</w:t>
      </w:r>
    </w:p>
    <w:p w14:paraId="1E7EBEA6" w14:textId="77777777" w:rsidR="008172F4" w:rsidRPr="009376E6" w:rsidRDefault="008172F4" w:rsidP="008172F4">
      <w:pPr>
        <w:pStyle w:val="Heading2"/>
        <w:rPr>
          <w:i/>
        </w:rPr>
      </w:pPr>
      <w:r w:rsidRPr="009376E6">
        <w:rPr>
          <w:i/>
        </w:rPr>
        <w:t>Data extraction and coding</w:t>
      </w:r>
    </w:p>
    <w:p w14:paraId="7F649D13" w14:textId="77777777" w:rsidR="008172F4" w:rsidRPr="00D83137" w:rsidRDefault="008172F4" w:rsidP="008172F4">
      <w:r>
        <w:t xml:space="preserve">A number of fields were extracted (e.g., diversity dimension, context, inclusion/exclusion criteria, authors’ conclusions) and articles were coded according to the specific intervention for improving </w:t>
      </w:r>
      <w:r>
        <w:rPr>
          <w:bCs/>
        </w:rPr>
        <w:t>D&amp;I</w:t>
      </w:r>
      <w:r>
        <w:t xml:space="preserve">. Where multiple interventions were mentioned, these were coded according to the narrowest distinct intervention reported and care was taken to separate the activities so that </w:t>
      </w:r>
      <w:r>
        <w:lastRenderedPageBreak/>
        <w:t>they were mutually exclusive. Interventions were then grouped into 12 broader categories for ease of interpretation (see Figure 1).</w:t>
      </w:r>
    </w:p>
    <w:p w14:paraId="51EAD9A3" w14:textId="0B3B1033" w:rsidR="008172F4" w:rsidRDefault="008172F4" w:rsidP="008172F4">
      <w:r>
        <w:t xml:space="preserve"> In addition, outcomes associated with each intervention were also recorded. For example, extending the working lives of older employees, increasing the share of women on boards, and career advancement of staff from minority backgrounds were coded to the outcome </w:t>
      </w:r>
      <w:r>
        <w:rPr>
          <w:i/>
          <w:iCs/>
        </w:rPr>
        <w:t xml:space="preserve">Diversity in recruitment, retention, or </w:t>
      </w:r>
      <w:r w:rsidRPr="003A3739">
        <w:rPr>
          <w:i/>
          <w:iCs/>
        </w:rPr>
        <w:t>progression</w:t>
      </w:r>
      <w:r>
        <w:t>. Each intervention–outcome pairing was also coded according to whether the activity was reported by the review authors to have (1) evidence of being effective (or the authors recommended the intervention based on the evidence), (2) evidence of being weakly effective, (3) evidence of mixed positive and negative effects, (4) evidence of no effect, (5) an unknown effect, a lack of evidence, or the authors did not specify the direction of the effect. To ensure mutually exclusive codes, any intervention–outcome pairing that was associated with negative effects in terms of D&amp;I efforts backfiring (regardless of any positive effects) was reported as mixed. Coding was completed by one author (</w:t>
      </w:r>
      <w:r w:rsidR="00AC6453">
        <w:t>KZ</w:t>
      </w:r>
      <w:r>
        <w:t>) with data extraction tables and coded results organized and shared with the co-authors for review.</w:t>
      </w:r>
    </w:p>
    <w:p w14:paraId="4EF53339" w14:textId="77777777" w:rsidR="008172F4" w:rsidRDefault="008172F4" w:rsidP="008172F4">
      <w:pPr>
        <w:sectPr w:rsidR="008172F4" w:rsidSect="0072143B">
          <w:headerReference w:type="default" r:id="rId9"/>
          <w:headerReference w:type="first" r:id="rId10"/>
          <w:footnotePr>
            <w:pos w:val="beneathText"/>
          </w:footnotePr>
          <w:pgSz w:w="12240" w:h="15840"/>
          <w:pgMar w:top="1440" w:right="1440" w:bottom="1440" w:left="1440" w:header="720" w:footer="720" w:gutter="0"/>
          <w:cols w:space="720"/>
          <w:docGrid w:linePitch="360"/>
          <w15:footnoteColumns w:val="1"/>
        </w:sectPr>
      </w:pPr>
    </w:p>
    <w:p w14:paraId="14E8856C" w14:textId="329B8DFF" w:rsidR="00412544" w:rsidRPr="00412544" w:rsidRDefault="00412544" w:rsidP="00412544">
      <w:pPr>
        <w:pStyle w:val="Heading2"/>
      </w:pPr>
      <w:r w:rsidRPr="00412544">
        <w:lastRenderedPageBreak/>
        <w:t>Table S1</w:t>
      </w:r>
    </w:p>
    <w:p w14:paraId="08865B34" w14:textId="6DDEBC3E" w:rsidR="006761EE" w:rsidRDefault="006761EE" w:rsidP="006761EE">
      <w:pPr>
        <w:ind w:firstLine="0"/>
        <w:rPr>
          <w:i/>
          <w:iCs/>
        </w:rPr>
      </w:pPr>
      <w:r>
        <w:rPr>
          <w:i/>
          <w:iCs/>
        </w:rPr>
        <w:t>Summary of included articles in the meta-review</w:t>
      </w:r>
    </w:p>
    <w:tbl>
      <w:tblPr>
        <w:tblStyle w:val="ListTable1Light-Accent1"/>
        <w:tblpPr w:leftFromText="180" w:rightFromText="180" w:vertAnchor="text" w:tblpY="1"/>
        <w:tblOverlap w:val="never"/>
        <w:tblW w:w="14317" w:type="dxa"/>
        <w:tblLook w:val="04A0" w:firstRow="1" w:lastRow="0" w:firstColumn="1" w:lastColumn="0" w:noHBand="0" w:noVBand="1"/>
      </w:tblPr>
      <w:tblGrid>
        <w:gridCol w:w="1485"/>
        <w:gridCol w:w="1327"/>
        <w:gridCol w:w="1203"/>
        <w:gridCol w:w="1327"/>
        <w:gridCol w:w="1981"/>
        <w:gridCol w:w="2742"/>
        <w:gridCol w:w="2976"/>
        <w:gridCol w:w="1276"/>
      </w:tblGrid>
      <w:tr w:rsidR="00B60456" w:rsidRPr="009811EA" w14:paraId="63C68EE0" w14:textId="46C31678" w:rsidTr="007308A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85" w:type="dxa"/>
            <w:tcBorders>
              <w:top w:val="single" w:sz="4" w:space="0" w:color="auto"/>
              <w:bottom w:val="single" w:sz="4" w:space="0" w:color="auto"/>
            </w:tcBorders>
          </w:tcPr>
          <w:p w14:paraId="2565995B" w14:textId="5B887D30" w:rsidR="00B60456" w:rsidRPr="00CD2CAD" w:rsidRDefault="00B60456" w:rsidP="00B60456">
            <w:pPr>
              <w:pStyle w:val="TableFigure"/>
              <w:spacing w:before="120" w:after="120"/>
              <w:contextualSpacing w:val="0"/>
              <w:rPr>
                <w:b w:val="0"/>
                <w:bCs w:val="0"/>
                <w:sz w:val="20"/>
                <w:szCs w:val="20"/>
              </w:rPr>
            </w:pPr>
            <w:r w:rsidRPr="00CD2CAD">
              <w:rPr>
                <w:b w:val="0"/>
                <w:bCs w:val="0"/>
                <w:sz w:val="20"/>
                <w:szCs w:val="20"/>
              </w:rPr>
              <w:t>Reference</w:t>
            </w:r>
          </w:p>
        </w:tc>
        <w:tc>
          <w:tcPr>
            <w:tcW w:w="1327" w:type="dxa"/>
            <w:tcBorders>
              <w:top w:val="single" w:sz="4" w:space="0" w:color="auto"/>
              <w:bottom w:val="single" w:sz="4" w:space="0" w:color="auto"/>
            </w:tcBorders>
          </w:tcPr>
          <w:p w14:paraId="45B90C21" w14:textId="6A2B1709" w:rsidR="00B60456" w:rsidRPr="00CD2CAD" w:rsidRDefault="00B60456" w:rsidP="00B60456">
            <w:pPr>
              <w:pStyle w:val="TableFigure"/>
              <w:spacing w:before="120" w:after="12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Review</w:t>
            </w:r>
            <w:r w:rsidRPr="00CD2CAD">
              <w:rPr>
                <w:b w:val="0"/>
                <w:bCs w:val="0"/>
                <w:sz w:val="20"/>
                <w:szCs w:val="20"/>
              </w:rPr>
              <w:t xml:space="preserve"> type</w:t>
            </w:r>
          </w:p>
        </w:tc>
        <w:tc>
          <w:tcPr>
            <w:tcW w:w="1203" w:type="dxa"/>
            <w:tcBorders>
              <w:top w:val="single" w:sz="4" w:space="0" w:color="auto"/>
              <w:bottom w:val="single" w:sz="4" w:space="0" w:color="auto"/>
            </w:tcBorders>
          </w:tcPr>
          <w:p w14:paraId="6713202F" w14:textId="2D59FA8D" w:rsidR="00B60456" w:rsidRPr="00CD2CAD" w:rsidRDefault="00B60456" w:rsidP="00B60456">
            <w:pPr>
              <w:pStyle w:val="TableFigure"/>
              <w:spacing w:before="120" w:after="12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 xml:space="preserve">N </w:t>
            </w:r>
            <w:r w:rsidRPr="00CD2CAD">
              <w:rPr>
                <w:b w:val="0"/>
                <w:bCs w:val="0"/>
                <w:sz w:val="20"/>
                <w:szCs w:val="20"/>
              </w:rPr>
              <w:t>studies</w:t>
            </w:r>
          </w:p>
        </w:tc>
        <w:tc>
          <w:tcPr>
            <w:tcW w:w="1327" w:type="dxa"/>
            <w:tcBorders>
              <w:top w:val="single" w:sz="4" w:space="0" w:color="auto"/>
              <w:bottom w:val="single" w:sz="4" w:space="0" w:color="auto"/>
            </w:tcBorders>
          </w:tcPr>
          <w:p w14:paraId="3EC45865" w14:textId="6E76946A" w:rsidR="00B60456" w:rsidRPr="00CD2CAD" w:rsidRDefault="00B60456" w:rsidP="00B60456">
            <w:pPr>
              <w:pStyle w:val="TableFigure"/>
              <w:spacing w:before="120" w:after="12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CD2CAD">
              <w:rPr>
                <w:b w:val="0"/>
                <w:bCs w:val="0"/>
                <w:sz w:val="20"/>
                <w:szCs w:val="20"/>
              </w:rPr>
              <w:t>Dimension</w:t>
            </w:r>
          </w:p>
        </w:tc>
        <w:tc>
          <w:tcPr>
            <w:tcW w:w="1981" w:type="dxa"/>
            <w:tcBorders>
              <w:top w:val="single" w:sz="4" w:space="0" w:color="auto"/>
              <w:bottom w:val="single" w:sz="4" w:space="0" w:color="auto"/>
            </w:tcBorders>
          </w:tcPr>
          <w:p w14:paraId="52D3591B" w14:textId="788A5470" w:rsidR="00B60456" w:rsidRPr="00CD2CAD" w:rsidRDefault="00B60456" w:rsidP="00B60456">
            <w:pPr>
              <w:pStyle w:val="TableFigure"/>
              <w:spacing w:before="120" w:after="12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Pr>
                <w:b w:val="0"/>
                <w:bCs w:val="0"/>
                <w:sz w:val="20"/>
                <w:szCs w:val="20"/>
              </w:rPr>
              <w:t>Interventions</w:t>
            </w:r>
            <w:r w:rsidRPr="00CD2CAD">
              <w:rPr>
                <w:b w:val="0"/>
                <w:bCs w:val="0"/>
                <w:sz w:val="20"/>
                <w:szCs w:val="20"/>
              </w:rPr>
              <w:t xml:space="preserve"> </w:t>
            </w:r>
          </w:p>
        </w:tc>
        <w:tc>
          <w:tcPr>
            <w:tcW w:w="2742" w:type="dxa"/>
            <w:tcBorders>
              <w:top w:val="single" w:sz="4" w:space="0" w:color="auto"/>
              <w:bottom w:val="single" w:sz="4" w:space="0" w:color="auto"/>
            </w:tcBorders>
          </w:tcPr>
          <w:p w14:paraId="4A28484C" w14:textId="557A196C" w:rsidR="00B60456" w:rsidRPr="00CD2CAD" w:rsidRDefault="00B60456" w:rsidP="00B60456">
            <w:pPr>
              <w:pStyle w:val="TableFigure"/>
              <w:spacing w:before="120" w:after="12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CD2CAD">
              <w:rPr>
                <w:b w:val="0"/>
                <w:bCs w:val="0"/>
                <w:sz w:val="20"/>
                <w:szCs w:val="20"/>
              </w:rPr>
              <w:t>Summary of conclusions</w:t>
            </w:r>
          </w:p>
        </w:tc>
        <w:tc>
          <w:tcPr>
            <w:tcW w:w="2976" w:type="dxa"/>
            <w:tcBorders>
              <w:top w:val="single" w:sz="4" w:space="0" w:color="auto"/>
              <w:bottom w:val="single" w:sz="4" w:space="0" w:color="auto"/>
            </w:tcBorders>
          </w:tcPr>
          <w:p w14:paraId="0A25BC09" w14:textId="2D166DFF" w:rsidR="00B60456" w:rsidRPr="005B2986" w:rsidRDefault="00B60456" w:rsidP="00B60456">
            <w:pPr>
              <w:pStyle w:val="TableFigure"/>
              <w:spacing w:before="120" w:after="120"/>
              <w:contextualSpacing w:val="0"/>
              <w:cnfStyle w:val="100000000000" w:firstRow="1" w:lastRow="0" w:firstColumn="0" w:lastColumn="0" w:oddVBand="0" w:evenVBand="0" w:oddHBand="0" w:evenHBand="0" w:firstRowFirstColumn="0" w:firstRowLastColumn="0" w:lastRowFirstColumn="0" w:lastRowLastColumn="0"/>
              <w:rPr>
                <w:b w:val="0"/>
                <w:sz w:val="20"/>
                <w:szCs w:val="20"/>
              </w:rPr>
            </w:pPr>
            <w:r>
              <w:rPr>
                <w:b w:val="0"/>
                <w:sz w:val="20"/>
                <w:szCs w:val="20"/>
              </w:rPr>
              <w:t xml:space="preserve">Examples of analyzed or </w:t>
            </w:r>
            <w:r>
              <w:rPr>
                <w:b w:val="0"/>
                <w:sz w:val="20"/>
                <w:szCs w:val="20"/>
              </w:rPr>
              <w:br/>
              <w:t>proposed moderators</w:t>
            </w:r>
          </w:p>
        </w:tc>
        <w:tc>
          <w:tcPr>
            <w:tcW w:w="1276" w:type="dxa"/>
            <w:tcBorders>
              <w:top w:val="single" w:sz="4" w:space="0" w:color="auto"/>
              <w:bottom w:val="single" w:sz="4" w:space="0" w:color="auto"/>
            </w:tcBorders>
          </w:tcPr>
          <w:p w14:paraId="4541DD8C" w14:textId="50F2B565" w:rsidR="00B60456" w:rsidRPr="00CD2CAD" w:rsidRDefault="00B60456" w:rsidP="00B60456">
            <w:pPr>
              <w:pStyle w:val="TableFigure"/>
              <w:spacing w:before="120" w:after="120"/>
              <w:contextualSpacing w:val="0"/>
              <w:cnfStyle w:val="100000000000" w:firstRow="1" w:lastRow="0" w:firstColumn="0" w:lastColumn="0" w:oddVBand="0" w:evenVBand="0" w:oddHBand="0" w:evenHBand="0" w:firstRowFirstColumn="0" w:firstRowLastColumn="0" w:lastRowFirstColumn="0" w:lastRowLastColumn="0"/>
              <w:rPr>
                <w:b w:val="0"/>
                <w:bCs w:val="0"/>
                <w:sz w:val="20"/>
                <w:szCs w:val="20"/>
              </w:rPr>
            </w:pPr>
            <w:r w:rsidRPr="00CD2CAD">
              <w:rPr>
                <w:b w:val="0"/>
                <w:bCs w:val="0"/>
                <w:sz w:val="20"/>
                <w:szCs w:val="20"/>
              </w:rPr>
              <w:t>AMSTAR quality</w:t>
            </w:r>
          </w:p>
        </w:tc>
      </w:tr>
      <w:tr w:rsidR="00B60456" w:rsidRPr="009811EA" w14:paraId="61A72EB3" w14:textId="0ADD298A"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Borders>
              <w:top w:val="single" w:sz="4" w:space="0" w:color="auto"/>
            </w:tcBorders>
          </w:tcPr>
          <w:p w14:paraId="5364257A" w14:textId="0FDD9852"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Alhejji </w:t>
            </w:r>
            <w:r>
              <w:rPr>
                <w:sz w:val="20"/>
                <w:szCs w:val="20"/>
              </w:rPr>
              <w:fldChar w:fldCharType="begin" w:fldLock="1"/>
            </w:r>
            <w:r>
              <w:rPr>
                <w:b w:val="0"/>
                <w:bCs w:val="0"/>
                <w:sz w:val="20"/>
                <w:szCs w:val="20"/>
              </w:rPr>
              <w:instrText>ADDIN CSL_CITATION {"citationItems":[{"id":"ITEM-1","itemData":{"ISSN":"10448004","abstract":"This article analyzes the scholarship on diversity-training outcomes utilizing a systematic literature review ( SLR) and provide insights for future research. The article advances our understanding of diversity-training outcomes through the integration of three perspectives: the business case, learning, and social justice perspectives. The SLR revealed: (a) a literature that is fragmented and diverse in terms of publication outlets; (b) researchers conduct diversity-training outcomes research in a diverse range or organizations, sectors, cultural and training contexts; (c) studies primarily reflect the business case or learning perspectives; and (d) existing studies have significant methodological limitations. We argue the need for future research to adopt multiple perspectives ensure better cross-fertilization of perspectives and make use of more sophisticated methodologies. [ABSTRACT FROM AUTHOR]","author":[{"dropping-particle":"","family":"Alhejji","given":"Hussain","non-dropping-particle":"","parse-names":false,"suffix":""},{"dropping-particle":"","family":"Garavan","given":"Thomas","non-dropping-particle":"","parse-names":false,"suffix":""},{"dropping-particle":"","family":"Carbery","given":"Ronan","non-dropping-particle":"","parse-names":false,"suffix":""},{"dropping-particle":"","family":"O'Brien","given":"Fergal","non-dropping-particle":"","parse-names":false,"suffix":""},{"dropping-particle":"","family":"McGuire","given":"David","non-dropping-particle":"","parse-names":false,"suffix":""}],"container-title":"Human Resource Development Quarterly","id":"ITEM-1","issue":"1","issued":{"date-parts":[["2016"]]},"note":"Accession Number: 113899663; Alhejji, Hussain 1; Garavan, Thomas 2; Carbery, Ronan 3; O'Brien, Fergal 1; McGuire, David 2; Affiliations: 1: Kemmy Business School, University of Limerick; 2: Edinburgh Napier Business School, Edinburgh Scotland; 3: Management and Marketing, University College Cork; Issue Info: Spring2016, Vol. 27 Issue 1, p95; Thesaurus Term: Diversity training programs; Thesaurus Term: Business enterprises; Subject Term: Methodology; Subject Term: Social justice; Subject Term: Learning; Author-Supplied Keyword: business; Author-Supplied Keyword: diversity training in organizations; Author-Supplied Keyword: learning perspectives; Author-Supplied Keyword: methodology; Author-Supplied Keyword: social justice; Author-Supplied Keyword: theory; Number of Pages: 55p; Document Type: Article; Full Text Word Count: 19045","page":"95-149","publisher":"John Wiley &amp; Sons, Inc.","title":"Diversity training programme outcomes: A systematic review.","type":"article-journal","volume":"27"},"suppress-author":1,"uris":["http://www.mendeley.com/documents/?uuid=4d6827a6-0a47-4a17-8dac-f229b5edc4ab"]}],"mendeley":{"formattedCitation":"(2016)","plainTextFormattedCitation":"(2016)","previouslyFormattedCitation":"(2016)"},"properties":{"noteIndex":0},"schema":"https://github.com/citation-style-language/schema/raw/master/csl-citation.json"}</w:instrText>
            </w:r>
            <w:r>
              <w:rPr>
                <w:sz w:val="20"/>
                <w:szCs w:val="20"/>
              </w:rPr>
              <w:fldChar w:fldCharType="separate"/>
            </w:r>
            <w:r w:rsidRPr="00CD2CAD">
              <w:rPr>
                <w:b w:val="0"/>
                <w:bCs w:val="0"/>
                <w:noProof/>
                <w:sz w:val="20"/>
                <w:szCs w:val="20"/>
              </w:rPr>
              <w:t>(2016)</w:t>
            </w:r>
            <w:r>
              <w:rPr>
                <w:sz w:val="20"/>
                <w:szCs w:val="20"/>
              </w:rPr>
              <w:fldChar w:fldCharType="end"/>
            </w:r>
          </w:p>
        </w:tc>
        <w:tc>
          <w:tcPr>
            <w:tcW w:w="1327" w:type="dxa"/>
            <w:tcBorders>
              <w:top w:val="single" w:sz="4" w:space="0" w:color="auto"/>
            </w:tcBorders>
          </w:tcPr>
          <w:p w14:paraId="68B0DBD0" w14:textId="578B1E2B"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Systematic </w:t>
            </w:r>
          </w:p>
        </w:tc>
        <w:tc>
          <w:tcPr>
            <w:tcW w:w="1203" w:type="dxa"/>
            <w:tcBorders>
              <w:top w:val="single" w:sz="4" w:space="0" w:color="auto"/>
            </w:tcBorders>
          </w:tcPr>
          <w:p w14:paraId="3A622160" w14:textId="76628D2E"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61</w:t>
            </w:r>
          </w:p>
        </w:tc>
        <w:tc>
          <w:tcPr>
            <w:tcW w:w="1327" w:type="dxa"/>
            <w:tcBorders>
              <w:top w:val="single" w:sz="4" w:space="0" w:color="auto"/>
            </w:tcBorders>
          </w:tcPr>
          <w:p w14:paraId="7EFA8C6A" w14:textId="7630192E"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Non-specific</w:t>
            </w:r>
          </w:p>
        </w:tc>
        <w:tc>
          <w:tcPr>
            <w:tcW w:w="1981" w:type="dxa"/>
            <w:tcBorders>
              <w:top w:val="single" w:sz="4" w:space="0" w:color="auto"/>
            </w:tcBorders>
          </w:tcPr>
          <w:p w14:paraId="6A543F52" w14:textId="4F9BD10A"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and education</w:t>
            </w:r>
          </w:p>
        </w:tc>
        <w:tc>
          <w:tcPr>
            <w:tcW w:w="2742" w:type="dxa"/>
            <w:tcBorders>
              <w:top w:val="single" w:sz="4" w:space="0" w:color="auto"/>
            </w:tcBorders>
          </w:tcPr>
          <w:p w14:paraId="385B9A20" w14:textId="5D987074"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Evidence base was methodologically limited and fragmented. Most studies on diversity training reported learning outcomes with limited evidence on social justice outcomes.</w:t>
            </w:r>
          </w:p>
        </w:tc>
        <w:tc>
          <w:tcPr>
            <w:tcW w:w="2976" w:type="dxa"/>
            <w:tcBorders>
              <w:top w:val="single" w:sz="4" w:space="0" w:color="auto"/>
            </w:tcBorders>
          </w:tcPr>
          <w:p w14:paraId="1D5B7ED8" w14:textId="5086A2E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Organizational justice, diversity beliefs, organizational culture and climate, diversity/training expertise, organizational strategy, internationalization, alignment of human resource management practices</w:t>
            </w:r>
          </w:p>
        </w:tc>
        <w:tc>
          <w:tcPr>
            <w:tcW w:w="1276" w:type="dxa"/>
            <w:tcBorders>
              <w:top w:val="single" w:sz="4" w:space="0" w:color="auto"/>
            </w:tcBorders>
          </w:tcPr>
          <w:p w14:paraId="618F5944" w14:textId="64AB5EAA"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4/9</w:t>
            </w:r>
          </w:p>
        </w:tc>
      </w:tr>
      <w:tr w:rsidR="00B60456" w:rsidRPr="009811EA" w14:paraId="0E1762DC" w14:textId="53606024" w:rsidTr="007308A3">
        <w:tc>
          <w:tcPr>
            <w:cnfStyle w:val="001000000000" w:firstRow="0" w:lastRow="0" w:firstColumn="1" w:lastColumn="0" w:oddVBand="0" w:evenVBand="0" w:oddHBand="0" w:evenHBand="0" w:firstRowFirstColumn="0" w:firstRowLastColumn="0" w:lastRowFirstColumn="0" w:lastRowLastColumn="0"/>
            <w:tcW w:w="1485" w:type="dxa"/>
          </w:tcPr>
          <w:p w14:paraId="65B76629" w14:textId="74279C0E"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Alonso </w:t>
            </w:r>
            <w:r>
              <w:rPr>
                <w:sz w:val="20"/>
                <w:szCs w:val="20"/>
              </w:rPr>
              <w:fldChar w:fldCharType="begin" w:fldLock="1"/>
            </w:r>
            <w:r>
              <w:rPr>
                <w:b w:val="0"/>
                <w:bCs w:val="0"/>
                <w:sz w:val="20"/>
                <w:szCs w:val="20"/>
              </w:rPr>
              <w:instrText>ADDIN CSL_CITATION {"citationItems":[{"id":"ITEM-1","itemData":{"ISSN":"1889-1861","author":[{"dropping-particle":"","family":"Alonso","given":"Pamela","non-dropping-particle":"","parse-names":false,"suffix":""},{"dropping-particle":"","family":"Moscoso","given":"Silvia","non-dropping-particle":"","parse-names":false,"suffix":""},{"dropping-particle":"","family":"Salgado","given":"Jesús F","non-dropping-particle":"","parse-names":false,"suffix":""}],"container-title":"The European journal of psychology applied to legal context","id":"ITEM-1","issue":"1","issued":{"date-parts":[["2017"]]},"page":"15-23","publisher":"Elsevier","title":"Structured behavioral interview as a legal guarantee for ensuring equal employment opportunities for women: A meta-analysis","type":"article-journal","volume":"9"},"suppress-author":1,"uris":["http://www.mendeley.com/documents/?uuid=354f0738-306a-4c95-95e7-68b17be0b717"]}],"mendeley":{"formattedCitation":"(2017)","plainTextFormattedCitation":"(2017)","previouslyFormattedCitation":"(2017)"},"properties":{"noteIndex":0},"schema":"https://github.com/citation-style-language/schema/raw/master/csl-citation.json"}</w:instrText>
            </w:r>
            <w:r>
              <w:rPr>
                <w:sz w:val="20"/>
                <w:szCs w:val="20"/>
              </w:rPr>
              <w:fldChar w:fldCharType="separate"/>
            </w:r>
            <w:r w:rsidRPr="00CD2CAD">
              <w:rPr>
                <w:b w:val="0"/>
                <w:bCs w:val="0"/>
                <w:noProof/>
                <w:sz w:val="20"/>
                <w:szCs w:val="20"/>
              </w:rPr>
              <w:t>(2017)</w:t>
            </w:r>
            <w:r>
              <w:rPr>
                <w:sz w:val="20"/>
                <w:szCs w:val="20"/>
              </w:rPr>
              <w:fldChar w:fldCharType="end"/>
            </w:r>
          </w:p>
        </w:tc>
        <w:tc>
          <w:tcPr>
            <w:tcW w:w="1327" w:type="dxa"/>
          </w:tcPr>
          <w:p w14:paraId="47D72AA1" w14:textId="761B4AE8"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Meta-analysis </w:t>
            </w:r>
          </w:p>
        </w:tc>
        <w:tc>
          <w:tcPr>
            <w:tcW w:w="1203" w:type="dxa"/>
          </w:tcPr>
          <w:p w14:paraId="248B465F" w14:textId="4141F9BF"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w:t>
            </w:r>
          </w:p>
        </w:tc>
        <w:tc>
          <w:tcPr>
            <w:tcW w:w="1327" w:type="dxa"/>
          </w:tcPr>
          <w:p w14:paraId="5C9F90CC" w14:textId="2BAC2456"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Gender</w:t>
            </w:r>
          </w:p>
        </w:tc>
        <w:tc>
          <w:tcPr>
            <w:tcW w:w="1981" w:type="dxa"/>
          </w:tcPr>
          <w:p w14:paraId="5ED35824" w14:textId="66170BD5"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De-biasing of selection procedures</w:t>
            </w:r>
          </w:p>
        </w:tc>
        <w:tc>
          <w:tcPr>
            <w:tcW w:w="2742" w:type="dxa"/>
          </w:tcPr>
          <w:p w14:paraId="55810374" w14:textId="26E366B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The use of structured behavioral interviews can help reduce discrimination against women in the labor market.</w:t>
            </w:r>
          </w:p>
        </w:tc>
        <w:tc>
          <w:tcPr>
            <w:tcW w:w="2976" w:type="dxa"/>
          </w:tcPr>
          <w:p w14:paraId="48D4EF59" w14:textId="58238A5F"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Cultural differences, different laws, job complexity, gender stereotypes associated with jobs</w:t>
            </w:r>
          </w:p>
        </w:tc>
        <w:tc>
          <w:tcPr>
            <w:tcW w:w="1276" w:type="dxa"/>
          </w:tcPr>
          <w:p w14:paraId="33552822" w14:textId="5A1DEB33"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4/11</w:t>
            </w:r>
          </w:p>
        </w:tc>
      </w:tr>
      <w:tr w:rsidR="00B60456" w:rsidRPr="009811EA" w14:paraId="2D2F843C" w14:textId="64F17F22"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32385C2D" w14:textId="6E800407"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Bezrukova </w:t>
            </w:r>
            <w:r>
              <w:rPr>
                <w:sz w:val="20"/>
                <w:szCs w:val="20"/>
              </w:rPr>
              <w:fldChar w:fldCharType="begin" w:fldLock="1"/>
            </w:r>
            <w:r>
              <w:rPr>
                <w:b w:val="0"/>
                <w:bCs w:val="0"/>
                <w:sz w:val="20"/>
                <w:szCs w:val="20"/>
              </w:rPr>
              <w:instrText>ADDIN CSL_CITATION {"citationItems":[{"id":"ITEM-1","itemData":{"ISSN":"00332909","abstract":"This meta-analysis of 260 independent samples assessed the effects of diversity training on 4 training outcomes over time and across characteristics of training context, design, and participants. Models from the training literature and psychological theory on diversity were used to generate theory-driven predictions. The results revealed an overall effect size (Hedges g) of .38 with the largest effect being for reactions to training and cognitive learning; smaller effects were found for behavioral and attitudinal/affective learning. Whereas the effects of diversity training on reactions and attitudinal/affective learning decayed over time, training effects on cognitive learning remained stable and even increased in some cases. While many of the diversity training programs fell short in demonstrating effectiveness on some training characteristics, our analysis does reveal that successful diversity training occurs. The positive effects of diversity training were greater when training was complemented by other diversity initiatives, targeted to both awareness and skills development, and conducted over a significant period of time. The proportion of women in a training group was associated with more favorable reactions to diversity training. Implications for policy and directions for future research on diversity training are discussed. [ABSTRACT FROM AUTHOR]","author":[{"dropping-particle":"","family":"Bezrukova","given":"Katerina","non-dropping-particle":"","parse-names":false,"suffix":""},{"dropping-particle":"","family":"Spell","given":"Chester S","non-dropping-particle":"","parse-names":false,"suffix":""},{"dropping-particle":"","family":"Perry","given":"Jamie L","non-dropping-particle":"","parse-names":false,"suffix":""},{"dropping-particle":"","family":"Jehn","given":"Karen A","non-dropping-particle":"","parse-names":false,"suffix":""}],"container-title":"Psychological Bulletin","id":"ITEM-1","issue":"11","issued":{"date-parts":[["2016","11"]]},"note":"Accession Number: 119182322; Bezrukova, Katerina 1; Email Address: ybezruko@buffalo.edu; Spell, Chester S. 2; Perry, Jamie L. 3; Jehn, Karen A. 4; Affiliations: 1: University at Buffalo; 2: Rutgers University; 3: Cornell University; 4: University of Melbourne; Issue Info: Nov2016, Vol. 142 Issue 11, p1227; Thesaurus Term: Diversity training programs; Thesaurus Term: Discrimination; Subject Term: Meta-analysis; Subject Term: Diversity in education; Subject Term: Prejudices; Author-Supplied Keyword: bias; Author-Supplied Keyword: discrimination; Author-Supplied Keyword: diversity education; Author-Supplied Keyword: diversity training; Author-Supplied Keyword: training effectiveness; Number of Pages: 48p; Document Type: Article","page":"1227-1274","title":"A meta-analytical integration of over 40 years of research on diversity training evaluation.","type":"article-journal","volume":"142"},"suppress-author":1,"uris":["http://www.mendeley.com/documents/?uuid=2d35852e-837c-47b4-a999-ba4342494245"]}],"mendeley":{"formattedCitation":"(2016)","plainTextFormattedCitation":"(2016)","previouslyFormattedCitation":"(2016)"},"properties":{"noteIndex":0},"schema":"https://github.com/citation-style-language/schema/raw/master/csl-citation.json"}</w:instrText>
            </w:r>
            <w:r>
              <w:rPr>
                <w:sz w:val="20"/>
                <w:szCs w:val="20"/>
              </w:rPr>
              <w:fldChar w:fldCharType="separate"/>
            </w:r>
            <w:r w:rsidRPr="00CD2CAD">
              <w:rPr>
                <w:b w:val="0"/>
                <w:bCs w:val="0"/>
                <w:noProof/>
                <w:sz w:val="20"/>
                <w:szCs w:val="20"/>
              </w:rPr>
              <w:t>(2016)</w:t>
            </w:r>
            <w:r>
              <w:rPr>
                <w:sz w:val="20"/>
                <w:szCs w:val="20"/>
              </w:rPr>
              <w:fldChar w:fldCharType="end"/>
            </w:r>
          </w:p>
        </w:tc>
        <w:tc>
          <w:tcPr>
            <w:tcW w:w="1327" w:type="dxa"/>
          </w:tcPr>
          <w:p w14:paraId="3735046A" w14:textId="00285404"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Meta-analysis</w:t>
            </w:r>
          </w:p>
        </w:tc>
        <w:tc>
          <w:tcPr>
            <w:tcW w:w="1203" w:type="dxa"/>
          </w:tcPr>
          <w:p w14:paraId="07F716BA" w14:textId="7C8472A4"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260</w:t>
            </w:r>
          </w:p>
        </w:tc>
        <w:tc>
          <w:tcPr>
            <w:tcW w:w="1327" w:type="dxa"/>
          </w:tcPr>
          <w:p w14:paraId="66EEF738" w14:textId="4BD43C82"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Non-specific</w:t>
            </w:r>
          </w:p>
        </w:tc>
        <w:tc>
          <w:tcPr>
            <w:tcW w:w="1981" w:type="dxa"/>
          </w:tcPr>
          <w:p w14:paraId="4BCF9151" w14:textId="07423B73"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and education</w:t>
            </w:r>
          </w:p>
        </w:tc>
        <w:tc>
          <w:tcPr>
            <w:tcW w:w="2742" w:type="dxa"/>
          </w:tcPr>
          <w:p w14:paraId="120A667F" w14:textId="2BAF6809"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Largest effects of diversity training were on reactions and cognitive learning, with smaller effects for behavioral and attitudinal/affective outcomes. There were also a number of moderators of diversity training on outcomes.</w:t>
            </w:r>
          </w:p>
        </w:tc>
        <w:tc>
          <w:tcPr>
            <w:tcW w:w="2976" w:type="dxa"/>
          </w:tcPr>
          <w:p w14:paraId="0D8A0771" w14:textId="66804948"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context (setting – organizational vs. educational; approach – standalone vs. integrated; attendance – mandatory vs. voluntary), training design (training length; training type – awareness, behavior, awareness and behavioral; instruction – many vs. one)</w:t>
            </w:r>
          </w:p>
        </w:tc>
        <w:tc>
          <w:tcPr>
            <w:tcW w:w="1276" w:type="dxa"/>
          </w:tcPr>
          <w:p w14:paraId="1FA732F0" w14:textId="2BEF11C9"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9/11</w:t>
            </w:r>
          </w:p>
        </w:tc>
      </w:tr>
      <w:tr w:rsidR="00B60456" w:rsidRPr="009811EA" w14:paraId="182D69E9" w14:textId="6C59F721" w:rsidTr="007308A3">
        <w:tc>
          <w:tcPr>
            <w:cnfStyle w:val="001000000000" w:firstRow="0" w:lastRow="0" w:firstColumn="1" w:lastColumn="0" w:oddVBand="0" w:evenVBand="0" w:oddHBand="0" w:evenHBand="0" w:firstRowFirstColumn="0" w:firstRowLastColumn="0" w:lastRowFirstColumn="0" w:lastRowLastColumn="0"/>
            <w:tcW w:w="1485" w:type="dxa"/>
          </w:tcPr>
          <w:p w14:paraId="12F0C126" w14:textId="1E9C8CAC" w:rsidR="00B60456" w:rsidRPr="00CD2CAD" w:rsidRDefault="00B60456" w:rsidP="00B60456">
            <w:pPr>
              <w:pStyle w:val="TableFigure"/>
              <w:spacing w:before="120" w:after="120"/>
              <w:contextualSpacing w:val="0"/>
              <w:rPr>
                <w:b w:val="0"/>
                <w:bCs w:val="0"/>
                <w:sz w:val="20"/>
                <w:szCs w:val="20"/>
              </w:rPr>
            </w:pPr>
            <w:r w:rsidRPr="00CD2CAD">
              <w:rPr>
                <w:b w:val="0"/>
                <w:bCs w:val="0"/>
                <w:sz w:val="20"/>
                <w:szCs w:val="20"/>
              </w:rPr>
              <w:t xml:space="preserve">Boehm </w:t>
            </w:r>
            <w:r>
              <w:rPr>
                <w:sz w:val="20"/>
                <w:szCs w:val="20"/>
              </w:rPr>
              <w:fldChar w:fldCharType="begin" w:fldLock="1"/>
            </w:r>
            <w:r>
              <w:rPr>
                <w:b w:val="0"/>
                <w:bCs w:val="0"/>
                <w:sz w:val="20"/>
                <w:szCs w:val="20"/>
              </w:rPr>
              <w:instrText>ADDIN CSL_CITATION {"citationItems":[{"id":"ITEM-1","itemData":{"ISSN":"2054-4650","author":[{"dropping-particle":"","family":"Boehm","given":"Stephan A","non-dropping-particle":"","parse-names":false,"suffix":""},{"dropping-particle":"","family":"Schröder","given":"Heike","non-dropping-particle":"","parse-names":false,"suffix":""},{"dropping-particle":"","family":"Bal","given":"Matthijs","non-dropping-particle":"","parse-names":false,"suffix":""}],"container-title":"Work, Aging and Retirement","id":"ITEM-1","issue":"4","issued":{"date-parts":[["2021"]]},"page":"257-272","publisher":"Oxford University Press US","title":"Age-related human resource management policies and practices: Antecedents, outcomes, and conceptualizations","type":"article-journal","volume":"7"},"suppress-author":1,"uris":["http://www.mendeley.com/documents/?uuid=bae161df-ebc2-4b07-8f09-f552df3dae34","http://www.mendeley.com/documents/?uuid=f500cf65-34ea-47db-9e91-41ee1d8a2b28"]}],"mendeley":{"formattedCitation":"(2021)","plainTextFormattedCitation":"(2021)","previouslyFormattedCitation":"(2021)"},"properties":{"noteIndex":0},"schema":"https://github.com/citation-style-language/schema/raw/master/csl-citation.json"}</w:instrText>
            </w:r>
            <w:r>
              <w:rPr>
                <w:sz w:val="20"/>
                <w:szCs w:val="20"/>
              </w:rPr>
              <w:fldChar w:fldCharType="separate"/>
            </w:r>
            <w:r w:rsidRPr="00076B51">
              <w:rPr>
                <w:b w:val="0"/>
                <w:bCs w:val="0"/>
                <w:noProof/>
                <w:sz w:val="20"/>
                <w:szCs w:val="20"/>
              </w:rPr>
              <w:t>(2021)</w:t>
            </w:r>
            <w:r>
              <w:rPr>
                <w:sz w:val="20"/>
                <w:szCs w:val="20"/>
              </w:rPr>
              <w:fldChar w:fldCharType="end"/>
            </w:r>
          </w:p>
        </w:tc>
        <w:tc>
          <w:tcPr>
            <w:tcW w:w="1327" w:type="dxa"/>
          </w:tcPr>
          <w:p w14:paraId="392E8FFE" w14:textId="7A708B4F"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Narrative</w:t>
            </w:r>
          </w:p>
        </w:tc>
        <w:tc>
          <w:tcPr>
            <w:tcW w:w="1203" w:type="dxa"/>
          </w:tcPr>
          <w:p w14:paraId="0B215102" w14:textId="12A029C3"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1327" w:type="dxa"/>
          </w:tcPr>
          <w:p w14:paraId="201CD032" w14:textId="1A9D3A02"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Age</w:t>
            </w:r>
          </w:p>
        </w:tc>
        <w:tc>
          <w:tcPr>
            <w:tcW w:w="1981" w:type="dxa"/>
          </w:tcPr>
          <w:p w14:paraId="1B6E4800" w14:textId="4019BAC5"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De-biasing of selection procedures; Flexible work arrangements; Health promotion activities; Informal workplace supports; Job training and coaching; Policies involving recruitment, leave, and compensation; </w:t>
            </w:r>
            <w:r>
              <w:rPr>
                <w:sz w:val="20"/>
                <w:szCs w:val="20"/>
              </w:rPr>
              <w:lastRenderedPageBreak/>
              <w:t>Workplace accommodations</w:t>
            </w:r>
          </w:p>
        </w:tc>
        <w:tc>
          <w:tcPr>
            <w:tcW w:w="2742" w:type="dxa"/>
          </w:tcPr>
          <w:p w14:paraId="1B5E6F4C" w14:textId="6004B46E"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Framework of dimensions of age-related policies and practices developed. Three tiers of outcomes associated with these policies and practices: societal, firm, and employee.</w:t>
            </w:r>
          </w:p>
        </w:tc>
        <w:tc>
          <w:tcPr>
            <w:tcW w:w="2976" w:type="dxa"/>
          </w:tcPr>
          <w:p w14:paraId="1CB7C300" w14:textId="62884923"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Employees’ age, life stage, generational membership</w:t>
            </w:r>
          </w:p>
        </w:tc>
        <w:tc>
          <w:tcPr>
            <w:tcW w:w="1276" w:type="dxa"/>
          </w:tcPr>
          <w:p w14:paraId="526A93F0" w14:textId="034C2F1B"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14CA6BDB"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1E2D8075" w14:textId="0A8A47E8"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Carlson </w:t>
            </w:r>
            <w:r>
              <w:rPr>
                <w:sz w:val="20"/>
                <w:szCs w:val="20"/>
              </w:rPr>
              <w:fldChar w:fldCharType="begin" w:fldLock="1"/>
            </w:r>
            <w:r>
              <w:rPr>
                <w:b w:val="0"/>
                <w:bCs w:val="0"/>
                <w:sz w:val="20"/>
                <w:szCs w:val="20"/>
              </w:rPr>
              <w:instrText>ADDIN CSL_CITATION {"citationItems":[{"id":"ITEM-1","itemData":{"ISSN":"1052-2263","author":[{"dropping-particle":"","family":"Carlson","given":"Sarah R","non-dropping-particle":"","parse-names":false,"suffix":""},{"dropping-particle":"","family":"Morningstar","given":"Mary E","non-dropping-particle":"","parse-names":false,"suffix":""},{"dropping-particle":"","family":"Munandar","given":"Vidya","non-dropping-particle":"","parse-names":false,"suffix":""}],"container-title":"Journal of Vocational Rehabilitation","id":"ITEM-1","issue":"3","issued":{"date-parts":[["2020"]]},"page":"251-265","publisher":"IOS Press","title":"Workplace supports for employees with intellectual disability: A systematic review of the intervention literature","type":"article-journal","volume":"52"},"suppress-author":1,"uris":["http://www.mendeley.com/documents/?uuid=1b80f3bc-04f5-494f-ae29-d57eeee66b5e","http://www.mendeley.com/documents/?uuid=747ceb63-9322-4f9f-b6cb-4b7a7f941c13"]}],"mendeley":{"formattedCitation":"(2020)","plainTextFormattedCitation":"(2020)","previouslyFormattedCitation":"(2020)"},"properties":{"noteIndex":0},"schema":"https://github.com/citation-style-language/schema/raw/master/csl-citation.json"}</w:instrText>
            </w:r>
            <w:r>
              <w:rPr>
                <w:sz w:val="20"/>
                <w:szCs w:val="20"/>
              </w:rPr>
              <w:fldChar w:fldCharType="separate"/>
            </w:r>
            <w:r w:rsidRPr="00076B51">
              <w:rPr>
                <w:b w:val="0"/>
                <w:bCs w:val="0"/>
                <w:noProof/>
                <w:sz w:val="20"/>
                <w:szCs w:val="20"/>
              </w:rPr>
              <w:t>(2020)</w:t>
            </w:r>
            <w:r>
              <w:rPr>
                <w:sz w:val="20"/>
                <w:szCs w:val="20"/>
              </w:rPr>
              <w:fldChar w:fldCharType="end"/>
            </w:r>
          </w:p>
        </w:tc>
        <w:tc>
          <w:tcPr>
            <w:tcW w:w="1327" w:type="dxa"/>
          </w:tcPr>
          <w:p w14:paraId="52A5C7AB" w14:textId="30CDC48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3CE9C9AE" w14:textId="3D86CD07"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14</w:t>
            </w:r>
          </w:p>
        </w:tc>
        <w:tc>
          <w:tcPr>
            <w:tcW w:w="1327" w:type="dxa"/>
          </w:tcPr>
          <w:p w14:paraId="6FEAFAE4" w14:textId="5F6ED738"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Disability</w:t>
            </w:r>
          </w:p>
        </w:tc>
        <w:tc>
          <w:tcPr>
            <w:tcW w:w="1981" w:type="dxa"/>
          </w:tcPr>
          <w:p w14:paraId="24A7DF23" w14:textId="092C1F8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Job training and coaching; Workplace accommodations</w:t>
            </w:r>
          </w:p>
        </w:tc>
        <w:tc>
          <w:tcPr>
            <w:tcW w:w="2742" w:type="dxa"/>
          </w:tcPr>
          <w:p w14:paraId="5728012E" w14:textId="5898FBCA"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Training improved workplace performance and social integration among workers with intellectual disability, but evidence for promoting career advancement or maintenance was unknown.</w:t>
            </w:r>
          </w:p>
        </w:tc>
        <w:tc>
          <w:tcPr>
            <w:tcW w:w="2976" w:type="dxa"/>
          </w:tcPr>
          <w:p w14:paraId="09C34280" w14:textId="7777777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34C215C8" w14:textId="50C0A693"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5/9</w:t>
            </w:r>
          </w:p>
        </w:tc>
      </w:tr>
      <w:tr w:rsidR="00B60456" w:rsidRPr="009811EA" w14:paraId="3E113888"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2342D87A" w14:textId="762479D7" w:rsidR="00B60456" w:rsidRDefault="00B60456" w:rsidP="00B60456">
            <w:pPr>
              <w:pStyle w:val="TableFigure"/>
              <w:spacing w:before="120" w:after="120"/>
              <w:contextualSpacing w:val="0"/>
              <w:rPr>
                <w:b w:val="0"/>
                <w:bCs w:val="0"/>
                <w:sz w:val="20"/>
                <w:szCs w:val="20"/>
              </w:rPr>
            </w:pPr>
            <w:r>
              <w:rPr>
                <w:b w:val="0"/>
                <w:bCs w:val="0"/>
                <w:sz w:val="20"/>
                <w:szCs w:val="20"/>
              </w:rPr>
              <w:t xml:space="preserve">Cavanagh </w:t>
            </w:r>
            <w:r>
              <w:rPr>
                <w:sz w:val="20"/>
                <w:szCs w:val="20"/>
              </w:rPr>
              <w:fldChar w:fldCharType="begin" w:fldLock="1"/>
            </w:r>
            <w:r>
              <w:rPr>
                <w:b w:val="0"/>
                <w:bCs w:val="0"/>
                <w:sz w:val="20"/>
                <w:szCs w:val="20"/>
              </w:rPr>
              <w:instrText>ADDIN CSL_CITATION {"citationItems":[{"id":"ITEM-1","itemData":{"DOI":"http://dx.doi.org/10.1111/1744-7941.12111","ISSN":"1038-4111","abstract":"This is a scoping review of literature on human resource management (HRM) and management practice that impacts on workers with physical, mental health and intellectual disabilities, employed or entering paid employment. The aim is to illuminate the use of HRM practices, managerial attitudes and employee outcomes in the disability literature. The methodological research framework commenced with seven databases and was supported with evidenced-based literature to find three main themes. Themes highlight the management and employer support for workers with disabilities, discrimination and attitudes towards employment of this cohort of workers, and performance and employment outcomes. As governments around the world seek to reduce welfare costs and increase the employment of people with disabilities this paper is timely. Overall, the paper contributes to a dearth of literature on the management of people with disabilities at the workplace to unpack the key barriers, challenges and trends, and develop a comprehensive research agenda. (PsycINFO Database Record (c) 2017 APA, all rights reserved)","author":[{"dropping-particle":"","family":"Cavanagh","given":"Jillian","non-dropping-particle":"","parse-names":false,"suffix":""},{"dropping-particle":"","family":"Bartram","given":"Timothy","non-dropping-particle":"","parse-names":false,"suffix":""},{"dropping-particle":"","family":"Meacham","given":"Hannah","non-dropping-particle":"","parse-names":false,"suffix":""},{"dropping-particle":"","family":"Bigby","given":"Christine","non-dropping-particle":"","parse-names":false,"suffix":""},{"dropping-particle":"","family":"Oakman","given":"Jodi","non-dropping-particle":"","parse-names":false,"suffix":""},{"dropping-particle":"","family":"Fossey","given":"Ellie","non-dropping-particle":"","parse-names":false,"suffix":""}],"container-title":"Asia Pacific Journal of Human Resources","editor":[{"dropping-particle":"","family":"Almond  Alvesson, Ball, Balser, Barlow, Bassett, Bengisu, Bigby, Chan, Charmaz, Cimera, Cimera, Cook, Cubero, Cunningham, Doctor, Donelly, Duff, Fevre, Fillary, Fyffe, Gates, Golub, Graffam, Greenan, Groschl, Hall, Hamner, Hand, Hartnett, Hashim, Hernande","given":"Alston","non-dropping-particle":"","parse-names":false,"suffix":""}],"id":"ITEM-1","issue":"1","issued":{"date-parts":[["2017"]]},"page":"6-43","publisher":"Wiley-Blackwell Publishing Ltd.","publisher-place":"Cavanagh, Jillian: Department of Management, Faculty of Business, Economics and Law, La Trobe University, Bundoora Campus, Melbourne, VIC, Australia, 3083, j.cavanagh@latrobe.edu.au","title":"Supporting workers with disabilities: A scoping review of the role of human resource management in contemporary organisations.","type":"article-journal","volume":"55"},"suppress-author":1,"uris":["http://www.mendeley.com/documents/?uuid=9270f521-1c04-4c4a-8d40-2b34c6958edc"]}],"mendeley":{"formattedCitation":"(2017)","plainTextFormattedCitation":"(2017)","previouslyFormattedCitation":"(2017)"},"properties":{"noteIndex":0},"schema":"https://github.com/citation-style-language/schema/raw/master/csl-citation.json"}</w:instrText>
            </w:r>
            <w:r>
              <w:rPr>
                <w:sz w:val="20"/>
                <w:szCs w:val="20"/>
              </w:rPr>
              <w:fldChar w:fldCharType="separate"/>
            </w:r>
            <w:r w:rsidRPr="008C72F7">
              <w:rPr>
                <w:b w:val="0"/>
                <w:bCs w:val="0"/>
                <w:noProof/>
                <w:sz w:val="20"/>
                <w:szCs w:val="20"/>
              </w:rPr>
              <w:t>(2017)</w:t>
            </w:r>
            <w:r>
              <w:rPr>
                <w:sz w:val="20"/>
                <w:szCs w:val="20"/>
              </w:rPr>
              <w:fldChar w:fldCharType="end"/>
            </w:r>
          </w:p>
        </w:tc>
        <w:tc>
          <w:tcPr>
            <w:tcW w:w="1327" w:type="dxa"/>
          </w:tcPr>
          <w:p w14:paraId="567783FB" w14:textId="6454BCE1"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Scoping</w:t>
            </w:r>
          </w:p>
        </w:tc>
        <w:tc>
          <w:tcPr>
            <w:tcW w:w="1203" w:type="dxa"/>
          </w:tcPr>
          <w:p w14:paraId="420F0ED9" w14:textId="08582889"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282</w:t>
            </w:r>
          </w:p>
        </w:tc>
        <w:tc>
          <w:tcPr>
            <w:tcW w:w="1327" w:type="dxa"/>
          </w:tcPr>
          <w:p w14:paraId="56B96C6E" w14:textId="704062B8"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22818A62" w14:textId="3353DD66"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2742" w:type="dxa"/>
          </w:tcPr>
          <w:p w14:paraId="5EA6A3F2" w14:textId="50B2A44E"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Lack of research and rigor on human resource management research, which is generalized and is not grounded in theory. Managers are unaware of disability management practices, recruitment/retention practices, and other intervention strategies for inclusion.</w:t>
            </w:r>
          </w:p>
        </w:tc>
        <w:tc>
          <w:tcPr>
            <w:tcW w:w="2976" w:type="dxa"/>
          </w:tcPr>
          <w:p w14:paraId="43E7B874" w14:textId="7777777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39EC6CA8" w14:textId="22DAEDF6"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4B790C55"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0B4A2820" w14:textId="60045E47" w:rsidR="00B60456" w:rsidRDefault="00B60456" w:rsidP="00B60456">
            <w:pPr>
              <w:pStyle w:val="TableFigure"/>
              <w:spacing w:before="120" w:after="120"/>
              <w:contextualSpacing w:val="0"/>
              <w:rPr>
                <w:b w:val="0"/>
                <w:bCs w:val="0"/>
                <w:sz w:val="20"/>
                <w:szCs w:val="20"/>
              </w:rPr>
            </w:pPr>
            <w:r>
              <w:rPr>
                <w:b w:val="0"/>
                <w:bCs w:val="0"/>
                <w:sz w:val="20"/>
                <w:szCs w:val="20"/>
              </w:rPr>
              <w:t xml:space="preserve">Chaudhuri </w:t>
            </w:r>
            <w:r>
              <w:rPr>
                <w:sz w:val="20"/>
                <w:szCs w:val="20"/>
              </w:rPr>
              <w:fldChar w:fldCharType="begin" w:fldLock="1"/>
            </w:r>
            <w:r>
              <w:rPr>
                <w:b w:val="0"/>
                <w:bCs w:val="0"/>
                <w:sz w:val="20"/>
                <w:szCs w:val="20"/>
              </w:rPr>
              <w:instrText>ADDIN CSL_CITATION {"citationItems":[{"id":"ITEM-1","itemData":{"ISSN":"2046-9012","author":[{"dropping-particle":"","family":"Chaudhuri","given":"Sanghamitra","non-dropping-particle":"","parse-names":false,"suffix":""},{"dropping-particle":"","family":"Park","given":"Sunyoung","non-dropping-particle":"","parse-names":false,"suffix":""},{"dropping-particle":"","family":"Johnson","given":"Karen R","non-dropping-particle":"","parse-names":false,"suffix":""}],"container-title":"European Journal of Training and Development","id":"ITEM-1","issue":"5/6","issued":{"date-parts":[["2021"]]},"page":"468-483","publisher":"Emerald Publishing Limited","title":"Engagement, inclusion, knowledge sharing, and talent development: Is reverse mentoring a panacea to all? Findings from literature review","type":"article-journal","volume":"46"},"suppress-author":1,"uris":["http://www.mendeley.com/documents/?uuid=cdbfec0e-b6af-4958-89ae-f18d10891233","http://www.mendeley.com/documents/?uuid=f30278ba-a13b-4c7c-8fb3-0039bf609920"]}],"mendeley":{"formattedCitation":"(2021)","plainTextFormattedCitation":"(2021)","previouslyFormattedCitation":"(2021)"},"properties":{"noteIndex":0},"schema":"https://github.com/citation-style-language/schema/raw/master/csl-citation.json"}</w:instrText>
            </w:r>
            <w:r>
              <w:rPr>
                <w:sz w:val="20"/>
                <w:szCs w:val="20"/>
              </w:rPr>
              <w:fldChar w:fldCharType="separate"/>
            </w:r>
            <w:r w:rsidRPr="00076B51">
              <w:rPr>
                <w:b w:val="0"/>
                <w:bCs w:val="0"/>
                <w:noProof/>
                <w:sz w:val="20"/>
                <w:szCs w:val="20"/>
              </w:rPr>
              <w:t>(2021)</w:t>
            </w:r>
            <w:r>
              <w:rPr>
                <w:sz w:val="20"/>
                <w:szCs w:val="20"/>
              </w:rPr>
              <w:fldChar w:fldCharType="end"/>
            </w:r>
          </w:p>
        </w:tc>
        <w:tc>
          <w:tcPr>
            <w:tcW w:w="1327" w:type="dxa"/>
          </w:tcPr>
          <w:p w14:paraId="36F1F8B7" w14:textId="22A1A5F5"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Narrative</w:t>
            </w:r>
          </w:p>
        </w:tc>
        <w:tc>
          <w:tcPr>
            <w:tcW w:w="1203" w:type="dxa"/>
          </w:tcPr>
          <w:p w14:paraId="7BDF5AF2" w14:textId="2E686B8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1327" w:type="dxa"/>
          </w:tcPr>
          <w:p w14:paraId="42B0E748" w14:textId="76F173AD"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Non-specific</w:t>
            </w:r>
          </w:p>
        </w:tc>
        <w:tc>
          <w:tcPr>
            <w:tcW w:w="1981" w:type="dxa"/>
          </w:tcPr>
          <w:p w14:paraId="17A58841" w14:textId="27EFB40D"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Role models and mentors</w:t>
            </w:r>
          </w:p>
        </w:tc>
        <w:tc>
          <w:tcPr>
            <w:tcW w:w="2742" w:type="dxa"/>
          </w:tcPr>
          <w:p w14:paraId="4468E9F3" w14:textId="31DB2878"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Reverse mentoring can help address workplace issues on diversity and inclusion through improving cultural understanding and educating about inequality. However, the research is dominated by conceptual, qualitative, and exploratory approaches.</w:t>
            </w:r>
          </w:p>
        </w:tc>
        <w:tc>
          <w:tcPr>
            <w:tcW w:w="2976" w:type="dxa"/>
          </w:tcPr>
          <w:p w14:paraId="1EE80826" w14:textId="216AB8D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(Coded but not reported)</w:t>
            </w:r>
          </w:p>
        </w:tc>
        <w:tc>
          <w:tcPr>
            <w:tcW w:w="1276" w:type="dxa"/>
          </w:tcPr>
          <w:p w14:paraId="07E3DBEF" w14:textId="2B9C1BE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r>
      <w:tr w:rsidR="00B60456" w:rsidRPr="009811EA" w14:paraId="06EC17C4"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21E30F4F" w14:textId="53785192" w:rsidR="00B60456" w:rsidRDefault="00B60456" w:rsidP="00B60456">
            <w:pPr>
              <w:pStyle w:val="TableFigure"/>
              <w:spacing w:before="120" w:after="120"/>
              <w:contextualSpacing w:val="0"/>
              <w:rPr>
                <w:b w:val="0"/>
                <w:bCs w:val="0"/>
                <w:sz w:val="20"/>
                <w:szCs w:val="20"/>
              </w:rPr>
            </w:pPr>
            <w:r>
              <w:rPr>
                <w:b w:val="0"/>
                <w:bCs w:val="0"/>
                <w:sz w:val="20"/>
                <w:szCs w:val="20"/>
              </w:rPr>
              <w:t xml:space="preserve">Cloostermans </w:t>
            </w:r>
            <w:r>
              <w:rPr>
                <w:sz w:val="20"/>
                <w:szCs w:val="20"/>
              </w:rPr>
              <w:fldChar w:fldCharType="begin" w:fldLock="1"/>
            </w:r>
            <w:r>
              <w:rPr>
                <w:b w:val="0"/>
                <w:bCs w:val="0"/>
                <w:sz w:val="20"/>
                <w:szCs w:val="20"/>
              </w:rPr>
              <w:instrText>ADDIN CSL_CITATION {"citationItems":[{"id":"ITEM-1","itemData":{"ISSN":"1432-1246","author":[{"dropping-particle":"","family":"Cloostermans","given":"Laura","non-dropping-particle":"","parse-names":false,"suffix":""},{"dropping-particle":"","family":"Bekkers","given":"Marga B","non-dropping-particle":"","parse-names":false,"suffix":""},{"dropping-particle":"","family":"Uiters","given":"Ellen","non-dropping-particle":"","parse-names":false,"suffix":""},{"dropping-particle":"","family":"Proper","given":"Karin I","non-dropping-particle":"","parse-names":false,"suffix":""}],"container-title":"International Archives of Occupational and Environmental Health","id":"ITEM-1","issue":"5","issued":{"date-parts":[["2015"]]},"page":"521-532","publisher":"Springer","title":"The effectiveness of interventions for ageing workers on (early) retirement, work ability and productivity: A systematic review","type":"article-journal","volume":"88"},"suppress-author":1,"uris":["http://www.mendeley.com/documents/?uuid=06ef2c4f-5134-442e-8d9d-990360483d18","http://www.mendeley.com/documents/?uuid=d521ec84-d479-44a6-bfc0-49a31460eba5"]}],"mendeley":{"formattedCitation":"(2015)","plainTextFormattedCitation":"(2015)","previouslyFormattedCitation":"(2015)"},"properties":{"noteIndex":0},"schema":"https://github.com/citation-style-language/schema/raw/master/csl-citation.json"}</w:instrText>
            </w:r>
            <w:r>
              <w:rPr>
                <w:sz w:val="20"/>
                <w:szCs w:val="20"/>
              </w:rPr>
              <w:fldChar w:fldCharType="separate"/>
            </w:r>
            <w:r w:rsidRPr="00845B82">
              <w:rPr>
                <w:b w:val="0"/>
                <w:bCs w:val="0"/>
                <w:noProof/>
                <w:sz w:val="20"/>
                <w:szCs w:val="20"/>
              </w:rPr>
              <w:t>(2015)</w:t>
            </w:r>
            <w:r>
              <w:rPr>
                <w:sz w:val="20"/>
                <w:szCs w:val="20"/>
              </w:rPr>
              <w:fldChar w:fldCharType="end"/>
            </w:r>
          </w:p>
        </w:tc>
        <w:tc>
          <w:tcPr>
            <w:tcW w:w="1327" w:type="dxa"/>
          </w:tcPr>
          <w:p w14:paraId="1ECF1F32" w14:textId="472EC70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Systematic</w:t>
            </w:r>
          </w:p>
        </w:tc>
        <w:tc>
          <w:tcPr>
            <w:tcW w:w="1203" w:type="dxa"/>
          </w:tcPr>
          <w:p w14:paraId="0AEC7E4F" w14:textId="28257328"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w:t>
            </w:r>
          </w:p>
        </w:tc>
        <w:tc>
          <w:tcPr>
            <w:tcW w:w="1327" w:type="dxa"/>
          </w:tcPr>
          <w:p w14:paraId="2DB65892" w14:textId="2B9CDF7B"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Age</w:t>
            </w:r>
          </w:p>
        </w:tc>
        <w:tc>
          <w:tcPr>
            <w:tcW w:w="1981" w:type="dxa"/>
          </w:tcPr>
          <w:p w14:paraId="47709189" w14:textId="1B1022A2"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Job training and coaching; Health promotion activities</w:t>
            </w:r>
          </w:p>
        </w:tc>
        <w:tc>
          <w:tcPr>
            <w:tcW w:w="2742" w:type="dxa"/>
          </w:tcPr>
          <w:p w14:paraId="448C0CF6" w14:textId="696F1C23"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Insufficient evidence for interventions to improve sustainable employment in older workers due to lack of randomized controlled trials</w:t>
            </w:r>
          </w:p>
        </w:tc>
        <w:tc>
          <w:tcPr>
            <w:tcW w:w="2976" w:type="dxa"/>
          </w:tcPr>
          <w:p w14:paraId="394FECFF" w14:textId="42EDAC96"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4BDA0B30" w14:textId="468D645C"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7/9</w:t>
            </w:r>
          </w:p>
        </w:tc>
      </w:tr>
      <w:tr w:rsidR="00B60456" w:rsidRPr="009811EA" w14:paraId="6C13D42C"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07B8E4D9" w14:textId="77F4ABB2" w:rsidR="00B60456" w:rsidRPr="00CD2CAD" w:rsidRDefault="00B60456" w:rsidP="00B60456">
            <w:pPr>
              <w:pStyle w:val="TableFigure"/>
              <w:spacing w:before="120" w:after="120"/>
              <w:contextualSpacing w:val="0"/>
              <w:rPr>
                <w:b w:val="0"/>
                <w:bCs w:val="0"/>
                <w:sz w:val="20"/>
                <w:szCs w:val="20"/>
              </w:rPr>
            </w:pPr>
            <w:r>
              <w:rPr>
                <w:b w:val="0"/>
                <w:bCs w:val="0"/>
                <w:sz w:val="20"/>
                <w:szCs w:val="20"/>
              </w:rPr>
              <w:lastRenderedPageBreak/>
              <w:t xml:space="preserve">Dearing </w:t>
            </w:r>
            <w:r>
              <w:rPr>
                <w:sz w:val="20"/>
                <w:szCs w:val="20"/>
              </w:rPr>
              <w:fldChar w:fldCharType="begin" w:fldLock="1"/>
            </w:r>
            <w:r>
              <w:rPr>
                <w:b w:val="0"/>
                <w:bCs w:val="0"/>
                <w:sz w:val="20"/>
                <w:szCs w:val="20"/>
              </w:rPr>
              <w:instrText>ADDIN CSL_CITATION {"citationItems":[{"id":"ITEM-1","itemData":{"DOI":"10.3224/zff.v28i1.22920","ISSN":"2196-2154","author":[{"dropping-particle":"","family":"Dearing","given":"Helene","non-dropping-particle":"","parse-names":false,"suffix":""}],"container-title":"Journal of Family Research","id":"ITEM-1","issue":"1","issued":{"date-parts":[["2016"]]},"page":"38-64","title":"Designing gender-equalizing parental leave schemes: What can we learn from recent empirical evidence from Europe?","type":"article-journal","volume":"28"},"suppress-author":1,"uris":["http://www.mendeley.com/documents/?uuid=1e2f759e-ef0a-48b1-838b-fa861e379670"]}],"mendeley":{"formattedCitation":"(2016)","plainTextFormattedCitation":"(2016)","previouslyFormattedCitation":"(2016)"},"properties":{"noteIndex":0},"schema":"https://github.com/citation-style-language/schema/raw/master/csl-citation.json"}</w:instrText>
            </w:r>
            <w:r>
              <w:rPr>
                <w:sz w:val="20"/>
                <w:szCs w:val="20"/>
              </w:rPr>
              <w:fldChar w:fldCharType="separate"/>
            </w:r>
            <w:r w:rsidRPr="008F5213">
              <w:rPr>
                <w:b w:val="0"/>
                <w:bCs w:val="0"/>
                <w:noProof/>
                <w:sz w:val="20"/>
                <w:szCs w:val="20"/>
              </w:rPr>
              <w:t>(2016)</w:t>
            </w:r>
            <w:r>
              <w:rPr>
                <w:sz w:val="20"/>
                <w:szCs w:val="20"/>
              </w:rPr>
              <w:fldChar w:fldCharType="end"/>
            </w:r>
          </w:p>
        </w:tc>
        <w:tc>
          <w:tcPr>
            <w:tcW w:w="1327" w:type="dxa"/>
          </w:tcPr>
          <w:p w14:paraId="5B3000C4" w14:textId="24FB65EE"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5B9A5849" w14:textId="13FD05C3"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32</w:t>
            </w:r>
          </w:p>
        </w:tc>
        <w:tc>
          <w:tcPr>
            <w:tcW w:w="1327" w:type="dxa"/>
          </w:tcPr>
          <w:p w14:paraId="4B39D6BD" w14:textId="7B19B4E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Gender</w:t>
            </w:r>
          </w:p>
        </w:tc>
        <w:tc>
          <w:tcPr>
            <w:tcW w:w="1981" w:type="dxa"/>
          </w:tcPr>
          <w:p w14:paraId="04EFF1EC" w14:textId="528F3F93"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sidRPr="008F5213">
              <w:rPr>
                <w:sz w:val="20"/>
                <w:szCs w:val="20"/>
              </w:rPr>
              <w:t>Policies involving recruitment, leave, and compensation</w:t>
            </w:r>
          </w:p>
        </w:tc>
        <w:tc>
          <w:tcPr>
            <w:tcW w:w="2742" w:type="dxa"/>
          </w:tcPr>
          <w:p w14:paraId="0420955F" w14:textId="0D2489B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Duration of leave should be moderate to support women’s employment in labor market, but the literature is not consistent regarding the optimal duration of leave. An ideal model for gender-equalizing leave schemes should reserve a share of leave for fathers.</w:t>
            </w:r>
          </w:p>
        </w:tc>
        <w:tc>
          <w:tcPr>
            <w:tcW w:w="2976" w:type="dxa"/>
          </w:tcPr>
          <w:p w14:paraId="25787C76" w14:textId="16417330"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Women’s level of education and income, presence of leave for fathers</w:t>
            </w:r>
          </w:p>
        </w:tc>
        <w:tc>
          <w:tcPr>
            <w:tcW w:w="1276" w:type="dxa"/>
          </w:tcPr>
          <w:p w14:paraId="710F1E8C" w14:textId="4A43C8BB"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4/10</w:t>
            </w:r>
          </w:p>
        </w:tc>
      </w:tr>
      <w:tr w:rsidR="00B60456" w:rsidRPr="009811EA" w14:paraId="1A1F079D"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2BAC9214" w14:textId="79069603"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Dickson </w:t>
            </w:r>
            <w:r>
              <w:rPr>
                <w:sz w:val="20"/>
                <w:szCs w:val="20"/>
              </w:rPr>
              <w:fldChar w:fldCharType="begin" w:fldLock="1"/>
            </w:r>
            <w:r>
              <w:rPr>
                <w:b w:val="0"/>
                <w:bCs w:val="0"/>
                <w:sz w:val="20"/>
                <w:szCs w:val="20"/>
              </w:rPr>
              <w:instrText>ADDIN CSL_CITATION {"citationItems":[{"id":"ITEM-1","itemData":{"ISSN":"24752843","abstract":"As older workers leave the workforce, they take their human capital and specific skill sets with them. Their retirement will have significantly adverse effects on the numerous sectors that employ older adults, including government, public administration, education, and healthcare. This perspective paper describes some factors that hinder or support continued employment of occupational therapy practitioners over the age of 50 and suggests workplace accommodations and considerations that might allow some to work longer in the field. A literature review shows that flexible scheduling, ergonomic design, assistive technology, mentoring, continued training, and appreciation of diversity can support continued employment. The need for healthcare providers is only expected to grow in the near future. Providing accommodations and anticipating the needs of older workers may allow them to stay in the workforce longer. Supporting generational diversity in the healthcare workforce can benefit consumers, providers, and the system at large.who surveyed variables in the social determinants of health model: illicit drug use contributes to poorer health associated with drug-induced illness and premature death. [ABSTRACT FROM AUTHOR]","author":[{"dropping-particle":"","family":"Dickson","given":"Jewell J","non-dropping-particle":"","parse-names":false,"suffix":""}],"container-title":"Journal of Best Practices in Health Professions Diversity","id":"ITEM-1","issue":"2","issued":{"date-parts":[["2015"]]},"note":"Accession Number: 122521996; Dickson, Jewell J. 1; Email Address: jdickson@alasu.edu; Affiliations: 1: 1Department of Occupational Therapy, Alabama State University, Montgomery, Alabama; Issue Info: Fall2015, Vol. 8 Issue 2, p1071; Thesaurus Term: Corporate culture; Thesaurus Term: Discrimination in employment; Thesaurus Term: Employee recruitment; Thesaurus Term: Employment reentry; Thesaurus Term: Employment of people with disabilities; Thesaurus Term: Flextime; Thesaurus Term: Ergonomics; Thesaurus Term: Medical personnel; Thesaurus Term: Nurses; Thesaurus Term: Professions; Thesaurus Term: Retirement; Thesaurus Term: Employee retention; Subject Term: Ageism; Subject Term: Aging; Subject Term: Intergenerational relations; Subject Term: Mentoring; Subject Term: Occupational therapists; Subject Term: Self-help devices for people with disabilities; Subject Term: Continuing medical education; Subject: United States; Author-Supplied Keyword: Diversity; Author-Supplied Keyword: Healthcare Workforce; NAICS/Industry Codes: 923130 Administration of Human Resource Programs (except Education, Public Health, and Veterans' Affairs Programs); NAICS/Industry Codes: 541612 Human Resources Consulting Services; NAICS/Industry Codes: 621340 Offices of Physical, Occupational and Speech Therapists, and Audiologists; NAICS/Industry Codes: 813920 Professional Organizations; Number of Pages: 16p; Document Type: Article","page":"1071-1086","publisher":"University of North Carolina Press","title":"Supporting a generationally diverse workforce: Considerations for aging providers in the US healthcare system.","type":"article-journal","volume":"8"},"suppress-author":1,"uris":["http://www.mendeley.com/documents/?uuid=d529d375-2a07-498c-99cd-c37f46021114"]}],"mendeley":{"formattedCitation":"(2015)","plainTextFormattedCitation":"(2015)","previouslyFormattedCitation":"(2015)"},"properties":{"noteIndex":0},"schema":"https://github.com/citation-style-language/schema/raw/master/csl-citation.json"}</w:instrText>
            </w:r>
            <w:r>
              <w:rPr>
                <w:sz w:val="20"/>
                <w:szCs w:val="20"/>
              </w:rPr>
              <w:fldChar w:fldCharType="separate"/>
            </w:r>
            <w:r w:rsidRPr="000D276D">
              <w:rPr>
                <w:b w:val="0"/>
                <w:bCs w:val="0"/>
                <w:noProof/>
                <w:sz w:val="20"/>
                <w:szCs w:val="20"/>
              </w:rPr>
              <w:t>(2015)</w:t>
            </w:r>
            <w:r>
              <w:rPr>
                <w:sz w:val="20"/>
                <w:szCs w:val="20"/>
              </w:rPr>
              <w:fldChar w:fldCharType="end"/>
            </w:r>
          </w:p>
        </w:tc>
        <w:tc>
          <w:tcPr>
            <w:tcW w:w="1327" w:type="dxa"/>
          </w:tcPr>
          <w:p w14:paraId="166CD46C" w14:textId="3938541C"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Narrative</w:t>
            </w:r>
          </w:p>
        </w:tc>
        <w:tc>
          <w:tcPr>
            <w:tcW w:w="1203" w:type="dxa"/>
          </w:tcPr>
          <w:p w14:paraId="681DEDD4" w14:textId="496B2F5A"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1327" w:type="dxa"/>
          </w:tcPr>
          <w:p w14:paraId="5F39B980" w14:textId="03BD9D91"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Age</w:t>
            </w:r>
          </w:p>
        </w:tc>
        <w:tc>
          <w:tcPr>
            <w:tcW w:w="1981" w:type="dxa"/>
          </w:tcPr>
          <w:p w14:paraId="448E5B63" w14:textId="27B325CD"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Audits, reviews, and assessments; Flexible work arrangements; Job training and coaching; Policies involving recruitment, leave, and compensation; Role models and mentors; Workplace accommodations, Other</w:t>
            </w:r>
          </w:p>
        </w:tc>
        <w:tc>
          <w:tcPr>
            <w:tcW w:w="2742" w:type="dxa"/>
          </w:tcPr>
          <w:p w14:paraId="2454B06B" w14:textId="20E1FE12"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B13CEB">
              <w:rPr>
                <w:sz w:val="20"/>
                <w:szCs w:val="20"/>
              </w:rPr>
              <w:t>Flexible scheduling, ergonomic design, assistive technology, mentoring, training, and appreciation of diversity can support continued employment. Training and development can overcome prejudices against older workers. Workforce assessments on workers approaching retirement are recommended for policy development.</w:t>
            </w:r>
          </w:p>
        </w:tc>
        <w:tc>
          <w:tcPr>
            <w:tcW w:w="2976" w:type="dxa"/>
          </w:tcPr>
          <w:p w14:paraId="5CE5DFD8" w14:textId="777777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6000CF56" w14:textId="1A4B7C22"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6617F7AF"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219ECD54" w14:textId="5781CAC6"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Edge </w:t>
            </w:r>
            <w:r>
              <w:rPr>
                <w:sz w:val="20"/>
                <w:szCs w:val="20"/>
              </w:rPr>
              <w:fldChar w:fldCharType="begin" w:fldLock="1"/>
            </w:r>
            <w:r>
              <w:rPr>
                <w:b w:val="0"/>
                <w:bCs w:val="0"/>
                <w:sz w:val="20"/>
                <w:szCs w:val="20"/>
              </w:rPr>
              <w:instrText>ADDIN CSL_CITATION {"citationItems":[{"id":"ITEM-1","itemData":{"ISSN":"2107-6952","author":[{"dropping-particle":"","family":"Edge","given":"Clare Ellen","non-dropping-particle":"","parse-names":false,"suffix":""},{"dropping-particle":"","family":"Cooper","given":"Anna Mary","non-dropping-particle":"","parse-names":false,"suffix":""},{"dropping-particle":"","family":"Coffey","given":"Margaret","non-dropping-particle":"","parse-names":false,"suffix":""}],"container-title":"Public Health Reviews","id":"ITEM-1","issue":"2","issued":{"date-parts":[["2017"]]},"page":"1-27","publisher":"BioMed Central","title":"Barriers and facilitators to extended working lives in Europe: A gender focus","type":"article-journal","volume":"38"},"suppress-author":1,"uris":["http://www.mendeley.com/documents/?uuid=5d55829f-9701-4526-9009-174e8f75747a","http://www.mendeley.com/documents/?uuid=fd626201-bf93-418f-a20c-3600ab40fc76"]}],"mendeley":{"formattedCitation":"(2017)","plainTextFormattedCitation":"(2017)","previouslyFormattedCitation":"(2017)"},"properties":{"noteIndex":0},"schema":"https://github.com/citation-style-language/schema/raw/master/csl-citation.json"}</w:instrText>
            </w:r>
            <w:r>
              <w:rPr>
                <w:sz w:val="20"/>
                <w:szCs w:val="20"/>
              </w:rPr>
              <w:fldChar w:fldCharType="separate"/>
            </w:r>
            <w:r w:rsidRPr="00076B51">
              <w:rPr>
                <w:b w:val="0"/>
                <w:bCs w:val="0"/>
                <w:noProof/>
                <w:sz w:val="20"/>
                <w:szCs w:val="20"/>
              </w:rPr>
              <w:t>(2017)</w:t>
            </w:r>
            <w:r>
              <w:rPr>
                <w:sz w:val="20"/>
                <w:szCs w:val="20"/>
              </w:rPr>
              <w:fldChar w:fldCharType="end"/>
            </w:r>
          </w:p>
        </w:tc>
        <w:tc>
          <w:tcPr>
            <w:tcW w:w="1327" w:type="dxa"/>
          </w:tcPr>
          <w:p w14:paraId="6437C53D" w14:textId="35E094C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4A969811" w14:textId="2A5DEDDA"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w:t>
            </w:r>
          </w:p>
        </w:tc>
        <w:tc>
          <w:tcPr>
            <w:tcW w:w="1327" w:type="dxa"/>
          </w:tcPr>
          <w:p w14:paraId="0E549507" w14:textId="07DABBF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Age (with a focus on gender)</w:t>
            </w:r>
          </w:p>
        </w:tc>
        <w:tc>
          <w:tcPr>
            <w:tcW w:w="1981" w:type="dxa"/>
          </w:tcPr>
          <w:p w14:paraId="5DE5E0A4" w14:textId="0895DF0B"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Audits, reviews, and assessments; Flexible work arrangements; Health promotion activities</w:t>
            </w:r>
          </w:p>
        </w:tc>
        <w:tc>
          <w:tcPr>
            <w:tcW w:w="2742" w:type="dxa"/>
          </w:tcPr>
          <w:p w14:paraId="56E7EF22" w14:textId="643ADC1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Health was a major barrier to extended working lives, as well as other gender-based inequalities. Flexible work arrangements and retirement options to balance work and caring responsibilities may help extend women’s working lives.</w:t>
            </w:r>
          </w:p>
        </w:tc>
        <w:tc>
          <w:tcPr>
            <w:tcW w:w="2976" w:type="dxa"/>
          </w:tcPr>
          <w:p w14:paraId="393CC8A1" w14:textId="7777777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1ACDD959" w14:textId="79C943D9"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5/9</w:t>
            </w:r>
          </w:p>
        </w:tc>
      </w:tr>
      <w:tr w:rsidR="00B60456" w:rsidRPr="009811EA" w14:paraId="5EF01B64"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254DE843" w14:textId="2058B4EB"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Furtado </w:t>
            </w:r>
            <w:r>
              <w:rPr>
                <w:sz w:val="20"/>
                <w:szCs w:val="20"/>
              </w:rPr>
              <w:fldChar w:fldCharType="begin" w:fldLock="1"/>
            </w:r>
            <w:r>
              <w:rPr>
                <w:b w:val="0"/>
                <w:bCs w:val="0"/>
                <w:sz w:val="20"/>
                <w:szCs w:val="20"/>
              </w:rPr>
              <w:instrText>ADDIN CSL_CITATION {"citationItems":[{"id":"ITEM-1","itemData":{"DOI":"10.3390/bs11020021","ISSN":"2076-328X","author":[{"dropping-particle":"V","family":"Furtado","given":"Julia","non-dropping-particle":"","parse-names":false,"suffix":""},{"dropping-particle":"","family":"Moreira","given":"António C","non-dropping-particle":"","parse-names":false,"suffix":""},{"dropping-particle":"","family":"Mota","given":"Jorge","non-dropping-particle":"","parse-names":false,"suffix":""}],"container-title":"Behavioral Sciences","id":"ITEM-1","issue":"2","issued":{"date-parts":[["2021"]]},"page":"21","publisher":"MDPI","title":"Gender affirmative action and management: A systematic literature review on how diversity and inclusion management affect gender equity in organizations","type":"article-journal","volume":"11"},"suppress-author":1,"uris":["http://www.mendeley.com/documents/?uuid=b6e01754-b242-4ed2-b5de-257faad2873f","http://www.mendeley.com/documents/?uuid=4c960343-6f56-468c-83e1-db6e5ba69082"]}],"mendeley":{"formattedCitation":"(2021)","plainTextFormattedCitation":"(2021)","previouslyFormattedCitation":"(2021)"},"properties":{"noteIndex":0},"schema":"https://github.com/citation-style-language/schema/raw/master/csl-citation.json"}</w:instrText>
            </w:r>
            <w:r>
              <w:rPr>
                <w:sz w:val="20"/>
                <w:szCs w:val="20"/>
              </w:rPr>
              <w:fldChar w:fldCharType="separate"/>
            </w:r>
            <w:r w:rsidRPr="00076B51">
              <w:rPr>
                <w:b w:val="0"/>
                <w:bCs w:val="0"/>
                <w:noProof/>
                <w:sz w:val="20"/>
                <w:szCs w:val="20"/>
              </w:rPr>
              <w:t>(2021)</w:t>
            </w:r>
            <w:r>
              <w:rPr>
                <w:sz w:val="20"/>
                <w:szCs w:val="20"/>
              </w:rPr>
              <w:fldChar w:fldCharType="end"/>
            </w:r>
          </w:p>
        </w:tc>
        <w:tc>
          <w:tcPr>
            <w:tcW w:w="1327" w:type="dxa"/>
          </w:tcPr>
          <w:p w14:paraId="38D41DF1" w14:textId="41EF51BF"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Systematic</w:t>
            </w:r>
          </w:p>
        </w:tc>
        <w:tc>
          <w:tcPr>
            <w:tcW w:w="1203" w:type="dxa"/>
          </w:tcPr>
          <w:p w14:paraId="3C8D8AF5" w14:textId="315D7271"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76</w:t>
            </w:r>
          </w:p>
        </w:tc>
        <w:tc>
          <w:tcPr>
            <w:tcW w:w="1327" w:type="dxa"/>
          </w:tcPr>
          <w:p w14:paraId="1D189BC4" w14:textId="185599EB"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Gender</w:t>
            </w:r>
          </w:p>
        </w:tc>
        <w:tc>
          <w:tcPr>
            <w:tcW w:w="1981" w:type="dxa"/>
          </w:tcPr>
          <w:p w14:paraId="541C81F9" w14:textId="56B91579"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Policies involving recruitment, leave, and compensation</w:t>
            </w:r>
          </w:p>
        </w:tc>
        <w:tc>
          <w:tcPr>
            <w:tcW w:w="2742" w:type="dxa"/>
          </w:tcPr>
          <w:p w14:paraId="64B30A24" w14:textId="3FAF484E"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Performance, employee dissatisfaction, and attitudes involving discrimination, tokenism, and stigmatization </w:t>
            </w:r>
            <w:r>
              <w:rPr>
                <w:sz w:val="20"/>
                <w:szCs w:val="20"/>
              </w:rPr>
              <w:lastRenderedPageBreak/>
              <w:t>were common outcomes of affirmative action, which affected people differently.</w:t>
            </w:r>
          </w:p>
        </w:tc>
        <w:tc>
          <w:tcPr>
            <w:tcW w:w="2976" w:type="dxa"/>
          </w:tcPr>
          <w:p w14:paraId="7B89D341" w14:textId="67ECA791"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lastRenderedPageBreak/>
              <w:t>Gender of employees</w:t>
            </w:r>
          </w:p>
        </w:tc>
        <w:tc>
          <w:tcPr>
            <w:tcW w:w="1276" w:type="dxa"/>
          </w:tcPr>
          <w:p w14:paraId="4398FB5E" w14:textId="6BE9986F"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1/9</w:t>
            </w:r>
          </w:p>
        </w:tc>
      </w:tr>
      <w:tr w:rsidR="00B60456" w:rsidRPr="009811EA" w14:paraId="427DBA98"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0E40AE79" w14:textId="294C9599"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Gabaldon </w:t>
            </w:r>
            <w:r>
              <w:rPr>
                <w:sz w:val="20"/>
                <w:szCs w:val="20"/>
              </w:rPr>
              <w:fldChar w:fldCharType="begin" w:fldLock="1"/>
            </w:r>
            <w:r>
              <w:rPr>
                <w:b w:val="0"/>
                <w:bCs w:val="0"/>
                <w:sz w:val="20"/>
                <w:szCs w:val="20"/>
              </w:rPr>
              <w:instrText>ADDIN CSL_CITATION {"citationItems":[{"id":"ITEM-1","itemData":{"ISSN":"09648410","abstract":"Manuscript Type Review Research Question/Issue This paper seeks to provide a systematic review of the multidisciplinary theoretical approaches to women on boards in order to understand the factors that hinder and facilitate the access of women to boards, to show the instruments that can be used to promote women to senior corporate positions, and to outline a research agenda suggesting gaps that still need to be filled. Research Finding/Results Women's access to boards appears to be fragmented in research silos from a variety of areas, lacking a comprehensive view that provides instruments to overcome the barriers hindering the access of women to corporate boards. More in particular, this paper has found very little scientific analysis to understand what instruments can be the most efficient in eliminating barriers for women to reach boardrooms given different cultural environments. Theoretical Implications This paper aims to create a comprehensive framework for understanding the presence of women on boards and for indicating existing gaps to be filled by new research in the future. This framework will help future researchers in analyzing specific instruments and to measure their efficiency in eliminating gender imbalance. Depending on the approach taken for research, the theoretical backgrounds used vary. While on the supply side the predominant theories are gender role theory, gender self-schema, and work-family conflict, the demand side is based on gender discrimination, human and social capital theory, resource dependence theory, and institutional environment theory. Practical Implications This research provides suggestions to typify causes and provide nuanced policy tools to promote women into leadership positions. Future lines of research are proposed to fill the gaps in understanding female representation in top management positions. [ABSTRACT FROM AUTHOR]","author":[{"dropping-particle":"","family":"Gabaldon","given":"Patricia","non-dropping-particle":"","parse-names":false,"suffix":""},{"dropping-particle":"","family":"Anca","given":"Celia","non-dropping-particle":"","parse-names":false,"suffix":""},{"dropping-particle":"","family":"Mateos de Cabo","given":"Ruth","non-dropping-particle":"","parse-names":false,"suffix":""},{"dropping-particle":"","family":"Gimeno","given":"Ricardo","non-dropping-particle":"","parse-names":false,"suffix":""}],"container-title":"Corporate Governance: An International Review","id":"ITEM-1","issue":"3","issued":{"date-parts":[["2016","5"]]},"note":"Accession Number: 114712799; Gabaldon, Patricia; Anca, Celia; Mateos de Cabo, Ruth; Gimeno, Ricardo; Issue Info: May2016, Vol. 24 Issue 3, p371; Thesaurus Term: Supply &amp;amp; demand; Thesaurus Term: Corporate governance laws; Thesaurus Term: Infrastructure (Economics); Thesaurus Term: Resource dependence theory; Thesaurus Term: Women employees; Thesaurus Term: Work-life balance; Author-Supplied Keyword: Corporate Governance; Author-Supplied Keyword: Demand Side; Author-Supplied Keyword: Literature Review; Author-Supplied Keyword: Supply Side; Author-Supplied Keyword: Women on Boards; Number of Pages: 15p; Document Type: Article; Full Text Word Count: 12126","page":"371-385","publisher":"Wiley-Blackwell","title":"Searching for women on boards: An analysis from the supply and demand perspective.","type":"article-journal","volume":"24"},"suppress-author":1,"uris":["http://www.mendeley.com/documents/?uuid=193cb282-826a-49d7-8ed3-73b62b7021f9"]}],"mendeley":{"formattedCitation":"(2016)","plainTextFormattedCitation":"(2016)","previouslyFormattedCitation":"(2016)"},"properties":{"noteIndex":0},"schema":"https://github.com/citation-style-language/schema/raw/master/csl-citation.json"}</w:instrText>
            </w:r>
            <w:r>
              <w:rPr>
                <w:sz w:val="20"/>
                <w:szCs w:val="20"/>
              </w:rPr>
              <w:fldChar w:fldCharType="separate"/>
            </w:r>
            <w:r w:rsidRPr="00D54C16">
              <w:rPr>
                <w:b w:val="0"/>
                <w:bCs w:val="0"/>
                <w:noProof/>
                <w:sz w:val="20"/>
                <w:szCs w:val="20"/>
              </w:rPr>
              <w:t>(2016)</w:t>
            </w:r>
            <w:r>
              <w:rPr>
                <w:sz w:val="20"/>
                <w:szCs w:val="20"/>
              </w:rPr>
              <w:fldChar w:fldCharType="end"/>
            </w:r>
          </w:p>
        </w:tc>
        <w:tc>
          <w:tcPr>
            <w:tcW w:w="1327" w:type="dxa"/>
          </w:tcPr>
          <w:p w14:paraId="6271FE18" w14:textId="1F2F4B10"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4A2DCA04" w14:textId="5FDF40D4"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~207</w:t>
            </w:r>
          </w:p>
        </w:tc>
        <w:tc>
          <w:tcPr>
            <w:tcW w:w="1327" w:type="dxa"/>
          </w:tcPr>
          <w:p w14:paraId="59ABD97D" w14:textId="0F3FA6A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Gender</w:t>
            </w:r>
          </w:p>
        </w:tc>
        <w:tc>
          <w:tcPr>
            <w:tcW w:w="1981" w:type="dxa"/>
          </w:tcPr>
          <w:p w14:paraId="30C368AD" w14:textId="6B34DE0E"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Flexible work arrangements; Policies involving recruitment, leave, and compensation; Role models and mentors; Visibility</w:t>
            </w:r>
          </w:p>
        </w:tc>
        <w:tc>
          <w:tcPr>
            <w:tcW w:w="2742" w:type="dxa"/>
          </w:tcPr>
          <w:p w14:paraId="53938DA3" w14:textId="50D307F0"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Little scientific evidence as to what instruments can help remove barriers for women joining boards. Role models, mentoring, training programs, policies for equitable labor distribution, visibility, and work–family policies are interventions to address supply side barriers. Hard measures such as quotas, targets, or ear-marking can help address demand side barriers such as gender discrimination.</w:t>
            </w:r>
          </w:p>
        </w:tc>
        <w:tc>
          <w:tcPr>
            <w:tcW w:w="2976" w:type="dxa"/>
          </w:tcPr>
          <w:p w14:paraId="00776C4C" w14:textId="7777777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5EAD896B" w14:textId="717A6B68"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3/10</w:t>
            </w:r>
          </w:p>
        </w:tc>
      </w:tr>
      <w:tr w:rsidR="00B60456" w:rsidRPr="009811EA" w14:paraId="67630F0E"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20131510" w14:textId="73BFCE5C"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Gensby </w:t>
            </w:r>
            <w:r>
              <w:rPr>
                <w:sz w:val="20"/>
                <w:szCs w:val="20"/>
              </w:rPr>
              <w:fldChar w:fldCharType="begin" w:fldLock="1"/>
            </w:r>
            <w:r>
              <w:rPr>
                <w:b w:val="0"/>
                <w:bCs w:val="0"/>
                <w:sz w:val="20"/>
                <w:szCs w:val="20"/>
              </w:rPr>
              <w:instrText>ADDIN CSL_CITATION {"citationItems":[{"id":"ITEM-1","itemData":{"DOI":"10.1007/s10926-013-9437-x","ISSN":"1053-0487","abstract":"Purpose: This paper presents results from a Campbell systematic review on the nature and effectiveness of workplace disability management programs (WPDM) promoting return to work (RTW), as implemented and practiced by employers. A classification of WPDM program components, based on the review results, is proposed. Methods: Twelve databases were searched between 1948 to July 2010 for peer-reviewed studies of WPDM programs provided by employers to re-entering workers with occupational or non-occupational illnesses or injuries. Screening of articles, risk of bias assessment and data extraction were conducted in pairs of reviewers. Studies were clustered around various dimensions of the design and context of programs. Results: 16,932 records were identified by the initial search. 599 papers were assessed for relevance. Thirteen studies met inclusion criteria. Twelve peer reviewed articles (two non-randomized studies, and ten single group experimental before and after studies), including ten different WPDM programs informed the synthesis of results. Narrative descriptions of the included program characteristics provided insight on program scope, components, procedures and human resources involved. However, there were insufficient data on the characteristics of the sample and the effect sizes were uncertain. A taxonomy classifying policies and practices around WPDM programs is proposed. Conclusion: There is insufficient evidence to draw conclusions on the effectiveness of employer provided WPDM programs promoting RTW. It was not possible to determine if specific program components or specific sets of components are driving effectiveness. The proposed taxonomy may guide future WPDM program evaluation and clarify the setup of programs offered to identify gaps in existing company strategies. (PsycINFO Database Record (c) 2016 APA, all rights reserved)","author":[{"dropping-particle":"","family":"Gensby","given":"U","non-dropping-particle":"","parse-names":false,"suffix":""},{"dropping-particle":"","family":"Labriola","given":"M","non-dropping-particle":"","parse-names":false,"suffix":""},{"dropping-particle":"","family":"Irvin","given":"E","non-dropping-particle":"","parse-names":false,"suffix":""},{"dropping-particle":"","family":"Amick 3rd","given":"B C","non-dropping-particle":"","parse-names":false,"suffix":""},{"dropping-particle":"","family":"Lund","given":"T","non-dropping-particle":"","parse-names":false,"suffix":""}],"container-title":"Journal of Occupational Rehabilitation","editor":[{"dropping-particle":"","family":"Akabas Amick, Amick, Annett, Badii, Bernacki, Breslin, Brewer, Brooker, Bunn, Burton, Cunningham, Davis, Durand, Dyreborg, Eakin, Franche, Frank, Frick, Gensby, Gensby, Gice, Goldner, Habeck, Habeck, Habeck, Habeck, Harder, Higgins, James, Krause, Labrio","given":"Allen","non-dropping-particle":"","parse-names":false,"suffix":""}],"id":"ITEM-1","issue":"2","issued":{"date-parts":[["2014"]]},"page":"220-241","publisher":"Springer","publisher-place":"Labriola, M.: Department of Occupational Medicine, Danish Ramazzini Centre, Regional Hospital Herning, Gl. Landevej 61, Herning, Denmark, 7400, Merlab@rm.dk","title":"A classification of components of workplace disability management programs: Results from a systematic review.","type":"article-journal","volume":"24"},"suppress-author":1,"uris":["http://www.mendeley.com/documents/?uuid=b604b3c9-22e9-4b94-bea9-238a842541a6"]}],"mendeley":{"formattedCitation":"(2014)","plainTextFormattedCitation":"(2014)","previouslyFormattedCitation":"(2014)"},"properties":{"noteIndex":0},"schema":"https://github.com/citation-style-language/schema/raw/master/csl-citation.json"}</w:instrText>
            </w:r>
            <w:r>
              <w:rPr>
                <w:sz w:val="20"/>
                <w:szCs w:val="20"/>
              </w:rPr>
              <w:fldChar w:fldCharType="separate"/>
            </w:r>
            <w:r w:rsidRPr="00036CA5">
              <w:rPr>
                <w:b w:val="0"/>
                <w:bCs w:val="0"/>
                <w:noProof/>
                <w:sz w:val="20"/>
                <w:szCs w:val="20"/>
              </w:rPr>
              <w:t>(2014)</w:t>
            </w:r>
            <w:r>
              <w:rPr>
                <w:sz w:val="20"/>
                <w:szCs w:val="20"/>
              </w:rPr>
              <w:fldChar w:fldCharType="end"/>
            </w:r>
          </w:p>
        </w:tc>
        <w:tc>
          <w:tcPr>
            <w:tcW w:w="1327" w:type="dxa"/>
          </w:tcPr>
          <w:p w14:paraId="171BC920" w14:textId="26B5EAAF"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Systematic </w:t>
            </w:r>
          </w:p>
        </w:tc>
        <w:tc>
          <w:tcPr>
            <w:tcW w:w="1203" w:type="dxa"/>
          </w:tcPr>
          <w:p w14:paraId="1FFFA0F3" w14:textId="7F01BDAC"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13 (25 articles)</w:t>
            </w:r>
          </w:p>
        </w:tc>
        <w:tc>
          <w:tcPr>
            <w:tcW w:w="1327" w:type="dxa"/>
          </w:tcPr>
          <w:p w14:paraId="2CCE5954" w14:textId="61819455"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0345B732" w14:textId="7939967A"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Other</w:t>
            </w:r>
          </w:p>
        </w:tc>
        <w:tc>
          <w:tcPr>
            <w:tcW w:w="2742" w:type="dxa"/>
          </w:tcPr>
          <w:p w14:paraId="2491BE2D" w14:textId="29EE5595"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Lack of concrete evidence regarding effectiveness of workplace disability management programs for return to work.</w:t>
            </w:r>
          </w:p>
        </w:tc>
        <w:tc>
          <w:tcPr>
            <w:tcW w:w="2976" w:type="dxa"/>
          </w:tcPr>
          <w:p w14:paraId="211C574A" w14:textId="7CE5492D"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(Insufficient studies for subgroup and moderator analysis)</w:t>
            </w:r>
          </w:p>
        </w:tc>
        <w:tc>
          <w:tcPr>
            <w:tcW w:w="1276" w:type="dxa"/>
          </w:tcPr>
          <w:p w14:paraId="063982FE" w14:textId="0082484D"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10/10</w:t>
            </w:r>
          </w:p>
        </w:tc>
      </w:tr>
      <w:tr w:rsidR="00B60456" w:rsidRPr="009811EA" w14:paraId="1901A295"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6ACE07DF" w14:textId="4B49A797"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Hegewisch </w:t>
            </w:r>
            <w:r>
              <w:rPr>
                <w:sz w:val="20"/>
                <w:szCs w:val="20"/>
              </w:rPr>
              <w:fldChar w:fldCharType="begin" w:fldLock="1"/>
            </w:r>
            <w:r>
              <w:rPr>
                <w:b w:val="0"/>
                <w:bCs w:val="0"/>
                <w:sz w:val="20"/>
                <w:szCs w:val="20"/>
              </w:rPr>
              <w:instrText>ADDIN CSL_CITATION {"citationItems":[{"id":"ITEM-1","itemData":{"ISSN":"13668803","abstract":"All industrialized countries, as well as many developing and transition countries, have policies in place to support work-family reconciliation such as care-related leaves, policies that increase the quality or availability of flexible and alternative work arrangements, and childcare supports. While work-family policies share common elements across borders, the extent and nature of supports vary widely across countries. This cross-national diversity in policies has supported a substantial body of research on the effect of different policy designs on women's labor market outcomes and, increasingly, on men's take-up of work-family provisions. The purpose of this paper is to provide an overview of this research and to draw out implications in terms of policy designs that seem to maximize women's labor force participation, narrow the gender gap in earnings, and increase men's participation in caregiving at home. The paper reviews the research literature on leave policies, flexible and/or alternative work arrangements and childcare supports, and highlights the implications of policy designs for male take-up. The paper then discusses the growing literature on adverse and unintended consequences of work-family policies for gender equality and concludes by highlighting gaps in current knowledge. [ABSTRACT FROM AUTHOR]","author":[{"dropping-particle":"","family":"Hegewisch","given":"Ariane","non-dropping-particle":"","parse-names":false,"suffix":""},{"dropping-particle":"","family":"Gornick","given":"Janet C","non-dropping-particle":"","parse-names":false,"suffix":""}],"container-title":"Community, Work &amp; Family","id":"ITEM-1","issue":"2","issued":{"date-parts":[["2011","5"]]},"note":"Accession Number: 60734420; Hegewisch, Ariane 1; Email Address: Hegewisch@iwpr.org; Gornick, Janet C. 2; Affiliations: 1: Institute for Women's Policy Research, Washington, DC, USA; 2: City University of New York (CUNY) Graduate Center, New York, NY, USA; Issue Info: May2011, Vol. 14 Issue 2, p119; Thesaurus Term: Women's employment; Thesaurus Term: Child care services; Thesaurus Term: Labor supply; Subject Term: Family policy; Subject: OECD countries; Author-Supplied Keyword: childcare; Author-Supplied Keyword: flexible working; Author-Supplied Keyword: gender equality; Author-Supplied Keyword: parental leave; Author-Supplied Keyword: wage gap; Author-Supplied Keyword: women's labor force participation; Author-Supplied Keyword: work-family policies; Author-Supplied Keyword: blicas de la conciliación de la vida laboral y familiar; Author-Supplied Keyword: brecha salarial; Author-Supplied Keyword: cuidado de los niñ Author-Supplied Keyword: flexibilidad laboral; Author-Supplied Keyword: igualidad de género; Author-Supplied Keyword: os; Author-Supplied Keyword: participación laboral de la mujeres; Author-Supplied Keyword: permiso parental; Author-Supplied Keyword: Polı´ticas pú Language of Keywords: English; Language of Keywords: French; NAICS/Industry Codes: 624410 Child Day Care Services; NAICS/Industry Codes: 624190 Other Individual and Family Services; NAICS/Industry Codes: 561320 Temporary Help Services; Number of Pages: 20p; Document Type: Article","page":"119-138","publisher":"Routledge","title":"The impact of work-family policies on women's employment: a review of research from OECD countries.","type":"article-journal","volume":"14"},"suppress-author":1,"uris":["http://www.mendeley.com/documents/?uuid=a599e0a2-38c0-4946-b870-7c3487c8eee0"]}],"mendeley":{"formattedCitation":"(2011)","plainTextFormattedCitation":"(2011)","previouslyFormattedCitation":"(2011)"},"properties":{"noteIndex":0},"schema":"https://github.com/citation-style-language/schema/raw/master/csl-citation.json"}</w:instrText>
            </w:r>
            <w:r>
              <w:rPr>
                <w:sz w:val="20"/>
                <w:szCs w:val="20"/>
              </w:rPr>
              <w:fldChar w:fldCharType="separate"/>
            </w:r>
            <w:r w:rsidRPr="006A1BBB">
              <w:rPr>
                <w:b w:val="0"/>
                <w:bCs w:val="0"/>
                <w:noProof/>
                <w:sz w:val="20"/>
                <w:szCs w:val="20"/>
              </w:rPr>
              <w:t>(2011)</w:t>
            </w:r>
            <w:r>
              <w:rPr>
                <w:sz w:val="20"/>
                <w:szCs w:val="20"/>
              </w:rPr>
              <w:fldChar w:fldCharType="end"/>
            </w:r>
          </w:p>
        </w:tc>
        <w:tc>
          <w:tcPr>
            <w:tcW w:w="1327" w:type="dxa"/>
          </w:tcPr>
          <w:p w14:paraId="7D10D970" w14:textId="78401DF9"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Narrative</w:t>
            </w:r>
          </w:p>
        </w:tc>
        <w:tc>
          <w:tcPr>
            <w:tcW w:w="1203" w:type="dxa"/>
          </w:tcPr>
          <w:p w14:paraId="0A729F64" w14:textId="2A650519"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t>
            </w:r>
          </w:p>
        </w:tc>
        <w:tc>
          <w:tcPr>
            <w:tcW w:w="1327" w:type="dxa"/>
          </w:tcPr>
          <w:p w14:paraId="6A5982FC" w14:textId="77B1008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Gender</w:t>
            </w:r>
          </w:p>
        </w:tc>
        <w:tc>
          <w:tcPr>
            <w:tcW w:w="1981" w:type="dxa"/>
          </w:tcPr>
          <w:p w14:paraId="0702FE94" w14:textId="59E08F8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Flexible work arrangements; Policies involving recruitment, leave, and compensation</w:t>
            </w:r>
          </w:p>
        </w:tc>
        <w:tc>
          <w:tcPr>
            <w:tcW w:w="2742" w:type="dxa"/>
          </w:tcPr>
          <w:p w14:paraId="18ED1F01" w14:textId="58C66E8B"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Trade-offs and unintended consequences associated with work-family policies which may reinforce traditional and unequal division of work. </w:t>
            </w:r>
          </w:p>
        </w:tc>
        <w:tc>
          <w:tcPr>
            <w:tcW w:w="2976" w:type="dxa"/>
          </w:tcPr>
          <w:p w14:paraId="539012FA" w14:textId="03354BF2"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Interactions between policy packages, context (e.g., country, economic context, cultural context, political and institutional context)</w:t>
            </w:r>
          </w:p>
        </w:tc>
        <w:tc>
          <w:tcPr>
            <w:tcW w:w="1276" w:type="dxa"/>
          </w:tcPr>
          <w:p w14:paraId="5BCB156B" w14:textId="574D8264"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r>
      <w:tr w:rsidR="00B60456" w:rsidRPr="009811EA" w14:paraId="5C5209C1"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7791294D" w14:textId="650D6B04"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House </w:t>
            </w:r>
            <w:r>
              <w:rPr>
                <w:sz w:val="20"/>
                <w:szCs w:val="20"/>
              </w:rPr>
              <w:fldChar w:fldCharType="begin" w:fldLock="1"/>
            </w:r>
            <w:r>
              <w:rPr>
                <w:b w:val="0"/>
                <w:bCs w:val="0"/>
                <w:sz w:val="20"/>
                <w:szCs w:val="20"/>
              </w:rPr>
              <w:instrText>ADDIN CSL_CITATION {"citationItems":[{"id":"ITEM-1","itemData":{"DOI":"10.1136/bmjopen-2020-040355","author":[{"dropping-particle":"","family":"House","given":"Allan","non-dropping-particle":"","parse-names":false,"suffix":""},{"dropping-particle":"","family":"Dracup","given":"Naila","non-dropping-particle":"","parse-names":false,"suffix":""},{"dropping-particle":"","family":"Burkinshaw","given":"Paula","non-dropping-particle":"","parse-names":false,"suffix":""},{"dropping-particle":"","family":"Ward","given":"Vicky","non-dropping-particle":"","parse-names":false,"suffix":""},{"dropping-particle":"","family":"Bryant","given":"Louise D","non-dropping-particle":"","parse-names":false,"suffix":""}],"container-title":"BMJ Open","id":"ITEM-1","issued":{"date-parts":[["2021"]]},"page":"e040355","title":"Mentoring as an intervention to promote gender equality in academic medicine: A systematic review","type":"article-journal","volume":"11"},"suppress-author":1,"uris":["http://www.mendeley.com/documents/?uuid=24d9100e-3956-4014-98ec-a38c0d99628b","http://www.mendeley.com/documents/?uuid=30878270-352d-4709-9d05-ba9a30434125"]}],"mendeley":{"formattedCitation":"(2021)","plainTextFormattedCitation":"(2021)","previouslyFormattedCitation":"(2021)"},"properties":{"noteIndex":0},"schema":"https://github.com/citation-style-language/schema/raw/master/csl-citation.json"}</w:instrText>
            </w:r>
            <w:r>
              <w:rPr>
                <w:sz w:val="20"/>
                <w:szCs w:val="20"/>
              </w:rPr>
              <w:fldChar w:fldCharType="separate"/>
            </w:r>
            <w:r w:rsidRPr="00377A99">
              <w:rPr>
                <w:b w:val="0"/>
                <w:bCs w:val="0"/>
                <w:noProof/>
                <w:sz w:val="20"/>
                <w:szCs w:val="20"/>
              </w:rPr>
              <w:t>(2021)</w:t>
            </w:r>
            <w:r>
              <w:rPr>
                <w:sz w:val="20"/>
                <w:szCs w:val="20"/>
              </w:rPr>
              <w:fldChar w:fldCharType="end"/>
            </w:r>
          </w:p>
        </w:tc>
        <w:tc>
          <w:tcPr>
            <w:tcW w:w="1327" w:type="dxa"/>
          </w:tcPr>
          <w:p w14:paraId="16EA5973" w14:textId="5584975D"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Systematic</w:t>
            </w:r>
          </w:p>
        </w:tc>
        <w:tc>
          <w:tcPr>
            <w:tcW w:w="1203" w:type="dxa"/>
          </w:tcPr>
          <w:p w14:paraId="3776489A" w14:textId="2BCBA2EE"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32</w:t>
            </w:r>
          </w:p>
        </w:tc>
        <w:tc>
          <w:tcPr>
            <w:tcW w:w="1327" w:type="dxa"/>
          </w:tcPr>
          <w:p w14:paraId="4FCBFBC9" w14:textId="035F318C"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Gender</w:t>
            </w:r>
          </w:p>
        </w:tc>
        <w:tc>
          <w:tcPr>
            <w:tcW w:w="1981" w:type="dxa"/>
          </w:tcPr>
          <w:p w14:paraId="5F871E91" w14:textId="0A84F3DA"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Role models and mentors</w:t>
            </w:r>
          </w:p>
        </w:tc>
        <w:tc>
          <w:tcPr>
            <w:tcW w:w="2742" w:type="dxa"/>
          </w:tcPr>
          <w:p w14:paraId="5DAC84A1" w14:textId="2D1922BE"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Positive individual outcomes of mentoring in academic medicine included job-related wellbeing, satisfaction, increased confidence and self-efficacy, and development of skills. No definitive evidence to support mentoring as a solution for reducing gender </w:t>
            </w:r>
            <w:r>
              <w:rPr>
                <w:sz w:val="20"/>
                <w:szCs w:val="20"/>
              </w:rPr>
              <w:lastRenderedPageBreak/>
              <w:t>inequalities in academic medicine. Literature dominated by limited research designs.</w:t>
            </w:r>
          </w:p>
        </w:tc>
        <w:tc>
          <w:tcPr>
            <w:tcW w:w="2976" w:type="dxa"/>
          </w:tcPr>
          <w:p w14:paraId="5C47F078" w14:textId="7777777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3E68FA2B" w14:textId="5934DE7B"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6/9</w:t>
            </w:r>
          </w:p>
        </w:tc>
      </w:tr>
      <w:tr w:rsidR="00B60456" w:rsidRPr="009811EA" w14:paraId="78F175EE"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1AC280DD" w14:textId="4C42ED35"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Isaac </w:t>
            </w:r>
            <w:r>
              <w:rPr>
                <w:sz w:val="20"/>
                <w:szCs w:val="20"/>
              </w:rPr>
              <w:fldChar w:fldCharType="begin" w:fldLock="1"/>
            </w:r>
            <w:r>
              <w:rPr>
                <w:b w:val="0"/>
                <w:bCs w:val="0"/>
                <w:sz w:val="20"/>
                <w:szCs w:val="20"/>
              </w:rPr>
              <w:instrText>ADDIN CSL_CITATION {"citationItems":[{"id":"ITEM-1","itemData":{"DOI":"10.1097/ACM.0b013e3181b6ba00","author":[{"dropping-particle":"","family":"Isaac","given":"Carol","non-dropping-particle":"","parse-names":false,"suffix":""},{"dropping-particle":"","family":"Lee","given":"Barbara","non-dropping-particle":"","parse-names":false,"suffix":""},{"dropping-particle":"","family":"Carnes","given":"Molly","non-dropping-particle":"","parse-names":false,"suffix":""}],"container-title":"Academic Medicine","id":"ITEM-1","issue":"10","issued":{"date-parts":[["2009"]]},"page":"1440-1446","publisher":"NIH Public Access","title":"Interventions that affect gender bias in hiring: A systematic review","type":"article-journal","volume":"84"},"suppress-author":1,"uris":["http://www.mendeley.com/documents/?uuid=ce07a835-ed99-4f28-be82-7e8d60c072e2"]}],"mendeley":{"formattedCitation":"(2009)","plainTextFormattedCitation":"(2009)","previouslyFormattedCitation":"(2009)"},"properties":{"noteIndex":0},"schema":"https://github.com/citation-style-language/schema/raw/master/csl-citation.json"}</w:instrText>
            </w:r>
            <w:r>
              <w:rPr>
                <w:sz w:val="20"/>
                <w:szCs w:val="20"/>
              </w:rPr>
              <w:fldChar w:fldCharType="separate"/>
            </w:r>
            <w:r w:rsidRPr="00377A99">
              <w:rPr>
                <w:b w:val="0"/>
                <w:bCs w:val="0"/>
                <w:noProof/>
                <w:sz w:val="20"/>
                <w:szCs w:val="20"/>
              </w:rPr>
              <w:t>(2009)</w:t>
            </w:r>
            <w:r>
              <w:rPr>
                <w:sz w:val="20"/>
                <w:szCs w:val="20"/>
              </w:rPr>
              <w:fldChar w:fldCharType="end"/>
            </w:r>
          </w:p>
        </w:tc>
        <w:tc>
          <w:tcPr>
            <w:tcW w:w="1327" w:type="dxa"/>
          </w:tcPr>
          <w:p w14:paraId="32D6719B" w14:textId="0C185EC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67D1208C" w14:textId="2C72F36F"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27</w:t>
            </w:r>
          </w:p>
        </w:tc>
        <w:tc>
          <w:tcPr>
            <w:tcW w:w="1327" w:type="dxa"/>
          </w:tcPr>
          <w:p w14:paraId="5CDA8182" w14:textId="5F85C33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Gender</w:t>
            </w:r>
          </w:p>
        </w:tc>
        <w:tc>
          <w:tcPr>
            <w:tcW w:w="1981" w:type="dxa"/>
          </w:tcPr>
          <w:p w14:paraId="45A75296" w14:textId="6C4EFC6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De-biasing of selection procedures; Diversity training and education; Policies involving recruitment, leave, and compensation</w:t>
            </w:r>
          </w:p>
        </w:tc>
        <w:tc>
          <w:tcPr>
            <w:tcW w:w="2742" w:type="dxa"/>
          </w:tcPr>
          <w:p w14:paraId="3F180FB8" w14:textId="2EEDA34E"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Commitment to value of credentials, women’s presence at above 25% of candidate pool, providing proof of competence and past performance help address hiring bias against women. Evidence that diversity training and employment equity policies do not promote gender equity in hiring.</w:t>
            </w:r>
          </w:p>
        </w:tc>
        <w:tc>
          <w:tcPr>
            <w:tcW w:w="2976" w:type="dxa"/>
          </w:tcPr>
          <w:p w14:paraId="2C88833E" w14:textId="7777777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191FEDC6" w14:textId="4EE118FD"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7/10</w:t>
            </w:r>
          </w:p>
        </w:tc>
      </w:tr>
      <w:tr w:rsidR="00B60456" w:rsidRPr="009811EA" w14:paraId="1DFCFD47"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3EEE39AC" w14:textId="2FC406A0"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Jansen </w:t>
            </w:r>
            <w:r>
              <w:rPr>
                <w:sz w:val="20"/>
                <w:szCs w:val="20"/>
              </w:rPr>
              <w:fldChar w:fldCharType="begin" w:fldLock="1"/>
            </w:r>
            <w:r>
              <w:rPr>
                <w:b w:val="0"/>
                <w:bCs w:val="0"/>
                <w:sz w:val="20"/>
                <w:szCs w:val="20"/>
              </w:rPr>
              <w:instrText>ADDIN CSL_CITATION {"citationItems":[{"id":"ITEM-1","itemData":{"ISSN":"1573-3688","author":[{"dropping-particle":"","family":"Jansen","given":"Joke","non-dropping-particle":"","parse-names":false,"suffix":""},{"dropping-particle":"","family":"Ooijen","given":"Raun","non-dropping-particle":"van","parse-names":false,"suffix":""},{"dropping-particle":"","family":"Koning","given":"P W C","non-dropping-particle":"","parse-names":false,"suffix":""},{"dropping-particle":"","family":"Boot","given":"Cécile R L","non-dropping-particle":"","parse-names":false,"suffix":""},{"dropping-particle":"","family":"Brouwer","given":"Sandra","non-dropping-particle":"","parse-names":false,"suffix":""}],"container-title":"Journal of Occupational Rehabilitation","id":"ITEM-1","issue":"4","issued":{"date-parts":[["2021"]]},"page":"916-949","publisher":"Springer","title":"The role of the employer in supporting work participation of workers with disabilities: A systematic literature review using an interdisciplinary approach","type":"article-journal","volume":"31"},"suppress-author":1,"uris":["http://www.mendeley.com/documents/?uuid=81e1840f-f9ad-4290-abd2-eb33568957e7","http://www.mendeley.com/documents/?uuid=4e835c28-0936-41a8-a9ae-b96603f2095d"]}],"mendeley":{"formattedCitation":"(2021)","plainTextFormattedCitation":"(2021)","previouslyFormattedCitation":"(2021)"},"properties":{"noteIndex":0},"schema":"https://github.com/citation-style-language/schema/raw/master/csl-citation.json"}</w:instrText>
            </w:r>
            <w:r>
              <w:rPr>
                <w:sz w:val="20"/>
                <w:szCs w:val="20"/>
              </w:rPr>
              <w:fldChar w:fldCharType="separate"/>
            </w:r>
            <w:r w:rsidRPr="00076B51">
              <w:rPr>
                <w:b w:val="0"/>
                <w:bCs w:val="0"/>
                <w:noProof/>
                <w:sz w:val="20"/>
                <w:szCs w:val="20"/>
              </w:rPr>
              <w:t>(2021)</w:t>
            </w:r>
            <w:r>
              <w:rPr>
                <w:sz w:val="20"/>
                <w:szCs w:val="20"/>
              </w:rPr>
              <w:fldChar w:fldCharType="end"/>
            </w:r>
          </w:p>
        </w:tc>
        <w:tc>
          <w:tcPr>
            <w:tcW w:w="1327" w:type="dxa"/>
          </w:tcPr>
          <w:p w14:paraId="54274F41" w14:textId="2D3A707C"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Systematic</w:t>
            </w:r>
          </w:p>
        </w:tc>
        <w:tc>
          <w:tcPr>
            <w:tcW w:w="1203" w:type="dxa"/>
          </w:tcPr>
          <w:p w14:paraId="03184D4E" w14:textId="1CBF5FEC"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52 studies (50 articles)</w:t>
            </w:r>
          </w:p>
        </w:tc>
        <w:tc>
          <w:tcPr>
            <w:tcW w:w="1327" w:type="dxa"/>
          </w:tcPr>
          <w:p w14:paraId="565A50E6" w14:textId="55AA9894"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61DE5DCC" w14:textId="566D2832"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Informal workplace supports; Workplace accommodations; Other</w:t>
            </w:r>
          </w:p>
        </w:tc>
        <w:tc>
          <w:tcPr>
            <w:tcW w:w="2742" w:type="dxa"/>
          </w:tcPr>
          <w:p w14:paraId="2AC14E93" w14:textId="3A83D715"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Work accommodations, social support, organizational culture, and company characteristics associated with continued employment and return to work.</w:t>
            </w:r>
          </w:p>
        </w:tc>
        <w:tc>
          <w:tcPr>
            <w:tcW w:w="2976" w:type="dxa"/>
          </w:tcPr>
          <w:p w14:paraId="381BD3B1" w14:textId="7777777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54F033B8" w14:textId="0C1FB97E"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6/9</w:t>
            </w:r>
          </w:p>
        </w:tc>
      </w:tr>
      <w:tr w:rsidR="00B60456" w:rsidRPr="009811EA" w14:paraId="4E5A3046"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7DB01A98" w14:textId="59174C5E"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Kalinoski </w:t>
            </w:r>
            <w:r>
              <w:rPr>
                <w:sz w:val="20"/>
                <w:szCs w:val="20"/>
              </w:rPr>
              <w:fldChar w:fldCharType="begin" w:fldLock="1"/>
            </w:r>
            <w:r>
              <w:rPr>
                <w:b w:val="0"/>
                <w:bCs w:val="0"/>
                <w:sz w:val="20"/>
                <w:szCs w:val="20"/>
              </w:rPr>
              <w:instrText>ADDIN CSL_CITATION {"citationItems":[{"id":"ITEM-1","itemData":{"ISSN":"08943796","abstract":"The purpose of this meta-analysis was to use theory and research on diversity, attitudes, and training to examine potential differential effects on affective-based, cognitive-based, and skill-based outcomes, to examine potential moderators of those effects with a focus on affective-based outcomes, and finally, to provide quantitative estimates of these posited relationships. Results from 65 studies ( N = 8465) revealed sizable effects on affective-based, cognitive-based, and skill-based outcomes as well as interesting boundary conditions for these effects on affective-based outcomes. This study provides practical value to human resources managers and trainers wishing to implement diversity training within organizations as well as interesting theoretical advances for researchers. Practitioners have quantitative evidence that diversity training changes affective-based, cognitive-based, and skill-based trainee outcomes. This study also supports and addresses future research needs. Copyright © 2012 John Wiley &amp; Sons, Ltd. [ABSTRACT FROM AUTHOR]","author":[{"dropping-particle":"","family":"Kalinoski","given":"Zachary T","non-dropping-particle":"","parse-names":false,"</w:instrText>
            </w:r>
            <w:r>
              <w:rPr>
                <w:rFonts w:hint="eastAsia"/>
                <w:b w:val="0"/>
                <w:bCs w:val="0"/>
                <w:sz w:val="20"/>
                <w:szCs w:val="20"/>
              </w:rPr>
              <w:instrText>suffix":""},{"dropping-particle":"","family":"Steele</w:instrText>
            </w:r>
            <w:r>
              <w:rPr>
                <w:rFonts w:hint="eastAsia"/>
                <w:b w:val="0"/>
                <w:bCs w:val="0"/>
                <w:sz w:val="20"/>
                <w:szCs w:val="20"/>
              </w:rPr>
              <w:instrText>‐</w:instrText>
            </w:r>
            <w:r>
              <w:rPr>
                <w:rFonts w:hint="eastAsia"/>
                <w:b w:val="0"/>
                <w:bCs w:val="0"/>
                <w:sz w:val="20"/>
                <w:szCs w:val="20"/>
              </w:rPr>
              <w:instrText>Johnson","given":"Debra","non-dropping-particle":"","parse-names":false,"suffix":""},{"dropping-particle":"","family":"Peyton","given":"Elizabeth J","non-dropping-particle":"","parse-names":false,"suffi</w:instrText>
            </w:r>
            <w:r>
              <w:rPr>
                <w:b w:val="0"/>
                <w:bCs w:val="0"/>
                <w:sz w:val="20"/>
                <w:szCs w:val="20"/>
              </w:rPr>
              <w:instrText>x":""},{"dropping-particle":"","family":"Leas","given":"Keith A","non-dropping-particle":"","parse-names":false,"suffix":""},{"dropping-particle":"","family":"Steinke","given":"Julie","non-dropping-particle":"","parse-names":false,"suffix":""},{"dropping-particle":"","family":"Bowling","given":"Nathan A","non-dropping-particle":"","parse-names":false,"suffix":""}],"container-title":"Journal of Organizational Behavior","id":"ITEM-1","issue":"8","issued":{"date-parts":[["2013","11"]]},"note":"Accession Numb</w:instrText>
            </w:r>
            <w:r>
              <w:rPr>
                <w:rFonts w:hint="eastAsia"/>
                <w:b w:val="0"/>
                <w:bCs w:val="0"/>
                <w:sz w:val="20"/>
                <w:szCs w:val="20"/>
              </w:rPr>
              <w:instrText>er: 91573028; Kalinoski, Zachary T. 1; Steele</w:instrText>
            </w:r>
            <w:r>
              <w:rPr>
                <w:rFonts w:hint="eastAsia"/>
                <w:b w:val="0"/>
                <w:bCs w:val="0"/>
                <w:sz w:val="20"/>
                <w:szCs w:val="20"/>
              </w:rPr>
              <w:instrText>‐</w:instrText>
            </w:r>
            <w:r>
              <w:rPr>
                <w:rFonts w:hint="eastAsia"/>
                <w:b w:val="0"/>
                <w:bCs w:val="0"/>
                <w:sz w:val="20"/>
                <w:szCs w:val="20"/>
              </w:rPr>
              <w:instrText>Johnson, Debra 1; Peyton, Elizabeth J. 1; Leas, Keith A. 1; Steinke, Julie 1; Bowling, Nathan A. 1; Affiliations: 1: Department of Psychology, Wright State University, Dayton Ohio, U.S.A.; Issue Info: Nov2013,</w:instrText>
            </w:r>
            <w:r>
              <w:rPr>
                <w:b w:val="0"/>
                <w:bCs w:val="0"/>
                <w:sz w:val="20"/>
                <w:szCs w:val="20"/>
              </w:rPr>
              <w:instrText xml:space="preserve"> Vol. 34 Issue 8, p1076; Thesaurus Term: Personnel management; Thesaurus Term: Training; Subject Term: Diversity in organizations; Subject Term: Organizational behavior research; Subject Term: Meta-analysis; Author-Supplied Keyword: diversity training; Au</w:instrText>
            </w:r>
            <w:r>
              <w:rPr>
                <w:rFonts w:hint="eastAsia"/>
                <w:b w:val="0"/>
                <w:bCs w:val="0"/>
                <w:sz w:val="20"/>
                <w:szCs w:val="20"/>
              </w:rPr>
              <w:instrText>thor-Supplied Keyword: meta</w:instrText>
            </w:r>
            <w:r>
              <w:rPr>
                <w:rFonts w:hint="eastAsia"/>
                <w:b w:val="0"/>
                <w:bCs w:val="0"/>
                <w:sz w:val="20"/>
                <w:szCs w:val="20"/>
              </w:rPr>
              <w:instrText>‐</w:instrText>
            </w:r>
            <w:r>
              <w:rPr>
                <w:rFonts w:hint="eastAsia"/>
                <w:b w:val="0"/>
                <w:bCs w:val="0"/>
                <w:sz w:val="20"/>
                <w:szCs w:val="20"/>
              </w:rPr>
              <w:instrText>analysis; Author-Supplied Keyword: meta-analysis; Author-Supplied Keyword: training evaluation; NAICS/Industry Codes: 923130 Administration of Human Resource Programs (except Education, Public Health, and Veterans' Affairs Prog</w:instrText>
            </w:r>
            <w:r>
              <w:rPr>
                <w:b w:val="0"/>
                <w:bCs w:val="0"/>
                <w:sz w:val="20"/>
                <w:szCs w:val="20"/>
              </w:rPr>
              <w:instrText>rams); NAICS/Industry Codes: 541612 Human Resources Consulting Services; Number of Pages: 29p; Document Type: Article","page":"1076-1104","publisher":"John Wiley &amp; Sons, Inc.","title":"A meta-analytic evaluation of diversity training outcomes.","type":"article-journal","volume":"34"},"suppress-author":1,"uris":["http://www.mendeley.com/documents/?uuid=5208d9dc-6bbd-4d55-af8c-f63350548e1b"]}],"mendeley":{"formattedCitation":"(2013)","plainTextFormattedCitation":"(2013)","previouslyFormattedCitation":"(2013)"},"properties":{"noteIndex":0},"schema":"https://github.com/citation-style-language/schema/raw/master/csl-citation.json"}</w:instrText>
            </w:r>
            <w:r>
              <w:rPr>
                <w:sz w:val="20"/>
                <w:szCs w:val="20"/>
              </w:rPr>
              <w:fldChar w:fldCharType="separate"/>
            </w:r>
            <w:r w:rsidRPr="00472B10">
              <w:rPr>
                <w:b w:val="0"/>
                <w:bCs w:val="0"/>
                <w:noProof/>
                <w:sz w:val="20"/>
                <w:szCs w:val="20"/>
              </w:rPr>
              <w:t>(2013)</w:t>
            </w:r>
            <w:r>
              <w:rPr>
                <w:sz w:val="20"/>
                <w:szCs w:val="20"/>
              </w:rPr>
              <w:fldChar w:fldCharType="end"/>
            </w:r>
          </w:p>
        </w:tc>
        <w:tc>
          <w:tcPr>
            <w:tcW w:w="1327" w:type="dxa"/>
          </w:tcPr>
          <w:p w14:paraId="67F93E11" w14:textId="66828CE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Meta-analysis</w:t>
            </w:r>
          </w:p>
        </w:tc>
        <w:tc>
          <w:tcPr>
            <w:tcW w:w="1203" w:type="dxa"/>
          </w:tcPr>
          <w:p w14:paraId="5FCEEDF6" w14:textId="07851BAB"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65</w:t>
            </w:r>
          </w:p>
        </w:tc>
        <w:tc>
          <w:tcPr>
            <w:tcW w:w="1327" w:type="dxa"/>
          </w:tcPr>
          <w:p w14:paraId="208BE3C4" w14:textId="621C8EA0"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Non-specific</w:t>
            </w:r>
          </w:p>
        </w:tc>
        <w:tc>
          <w:tcPr>
            <w:tcW w:w="1981" w:type="dxa"/>
          </w:tcPr>
          <w:p w14:paraId="31AD912C" w14:textId="5D23EDDD"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and education</w:t>
            </w:r>
          </w:p>
        </w:tc>
        <w:tc>
          <w:tcPr>
            <w:tcW w:w="2742" w:type="dxa"/>
          </w:tcPr>
          <w:p w14:paraId="6AA71CF3" w14:textId="41D9BD7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showed medium to large effects of cognitive- and skill- based outcomes, and smaller effects on affect-based outcomes. Research has shown inconsistent results and is subject to moderators such as the format of training.</w:t>
            </w:r>
          </w:p>
        </w:tc>
        <w:tc>
          <w:tcPr>
            <w:tcW w:w="2976" w:type="dxa"/>
          </w:tcPr>
          <w:p w14:paraId="545FB759" w14:textId="2EAF3B7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Design and delivery of diversity training, including amount of social interaction, task interdependence, active vs. passive training, delivery method (computer vs. person), training duration, distributed vs. massed practice, trainee motivation</w:t>
            </w:r>
          </w:p>
        </w:tc>
        <w:tc>
          <w:tcPr>
            <w:tcW w:w="1276" w:type="dxa"/>
          </w:tcPr>
          <w:p w14:paraId="280E798F" w14:textId="1E94FAA1"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8/11</w:t>
            </w:r>
          </w:p>
        </w:tc>
      </w:tr>
      <w:tr w:rsidR="00B60456" w:rsidRPr="009811EA" w14:paraId="497FF85C"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5B9CFD2C" w14:textId="4DAF6CFC"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Kapoor </w:t>
            </w:r>
            <w:r>
              <w:rPr>
                <w:sz w:val="20"/>
                <w:szCs w:val="20"/>
              </w:rPr>
              <w:fldChar w:fldCharType="begin" w:fldLock="1"/>
            </w:r>
            <w:r>
              <w:rPr>
                <w:b w:val="0"/>
                <w:bCs w:val="0"/>
                <w:sz w:val="20"/>
                <w:szCs w:val="20"/>
              </w:rPr>
              <w:instrText>ADDIN CSL_CITATION {"citationItems":[{"id":"ITEM-1","itemData":{"author":[{"dropping-particle":"","family":"Kapoor","given":"Camille","non-dropping-particle":"","parse-names":false,"suffix":""},{"dropping-particle":"","family":"Solomon","given":"Nicole","non-dropping-particle":"","parse-names":false,"suffix":""}],"container-title":"Worldwide Hospitality and Tourism Themes","id":"ITEM-1","issue":"4","issued":{"date-parts":[["2011"]]},"page":"308-318","publisher":"Emerald Group Publishing Limited","title":"Understanding and managing generational differences in the workplace","type":"article-journal","volume":"3"},"suppress-author":1,"uris":["http://www.mendeley.com/documents/?uuid=8f554465-9a8e-476a-b0eb-9b3adb94075f","http://www.mendeley.com/documents/?uuid=c76b26f3-3ddb-4baf-9f7a-33e9f2515f1a"]}],"mendeley":{"formattedCitation":"(2011)","plainTextFormattedCitation":"(2011)","previouslyFormattedCitation":"(2011)"},"properties":{"noteIndex":0},"schema":"https://github.com/citation-style-language/schema/raw/master/csl-citation.json"}</w:instrText>
            </w:r>
            <w:r>
              <w:rPr>
                <w:sz w:val="20"/>
                <w:szCs w:val="20"/>
              </w:rPr>
              <w:fldChar w:fldCharType="separate"/>
            </w:r>
            <w:r w:rsidRPr="00076B51">
              <w:rPr>
                <w:b w:val="0"/>
                <w:bCs w:val="0"/>
                <w:noProof/>
                <w:sz w:val="20"/>
                <w:szCs w:val="20"/>
              </w:rPr>
              <w:t>(2011)</w:t>
            </w:r>
            <w:r>
              <w:rPr>
                <w:sz w:val="20"/>
                <w:szCs w:val="20"/>
              </w:rPr>
              <w:fldChar w:fldCharType="end"/>
            </w:r>
          </w:p>
        </w:tc>
        <w:tc>
          <w:tcPr>
            <w:tcW w:w="1327" w:type="dxa"/>
          </w:tcPr>
          <w:p w14:paraId="30A97A5F" w14:textId="124867D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Narrative</w:t>
            </w:r>
          </w:p>
        </w:tc>
        <w:tc>
          <w:tcPr>
            <w:tcW w:w="1203" w:type="dxa"/>
          </w:tcPr>
          <w:p w14:paraId="70C84BE0" w14:textId="47A17611"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1327" w:type="dxa"/>
          </w:tcPr>
          <w:p w14:paraId="4F13C783" w14:textId="1375FFE6"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Age</w:t>
            </w:r>
          </w:p>
        </w:tc>
        <w:tc>
          <w:tcPr>
            <w:tcW w:w="1981" w:type="dxa"/>
          </w:tcPr>
          <w:p w14:paraId="44D9BF3C" w14:textId="6B807A98"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Diversity training and education; Role models and mentors; Other</w:t>
            </w:r>
          </w:p>
        </w:tc>
        <w:tc>
          <w:tcPr>
            <w:tcW w:w="2742" w:type="dxa"/>
          </w:tcPr>
          <w:p w14:paraId="708A480C" w14:textId="16FE67F6"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Productive work environments for different generations can be promoted through mentor programs, generational diversity training, enhanced communication methods, and a focus on policies around </w:t>
            </w:r>
            <w:r>
              <w:rPr>
                <w:sz w:val="20"/>
                <w:szCs w:val="20"/>
              </w:rPr>
              <w:lastRenderedPageBreak/>
              <w:t>recruitment, retention, and rewards.</w:t>
            </w:r>
          </w:p>
        </w:tc>
        <w:tc>
          <w:tcPr>
            <w:tcW w:w="2976" w:type="dxa"/>
          </w:tcPr>
          <w:p w14:paraId="488E2D71" w14:textId="777777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03FAD9BE" w14:textId="7709A865"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660865B0"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09AE1E9E" w14:textId="12C428C4"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Khalifa </w:t>
            </w:r>
            <w:r>
              <w:rPr>
                <w:sz w:val="20"/>
                <w:szCs w:val="20"/>
              </w:rPr>
              <w:fldChar w:fldCharType="begin" w:fldLock="1"/>
            </w:r>
            <w:r>
              <w:rPr>
                <w:b w:val="0"/>
                <w:bCs w:val="0"/>
                <w:sz w:val="20"/>
                <w:szCs w:val="20"/>
              </w:rPr>
              <w:instrText>ADDIN CSL_CITATION {"citationItems":[{"id":"ITEM-1","itemData":{"DOI":"10.1080/09638288.2018.1527952","ISSN":"0963-8288","author":[{"dropping-particle":"","family":"Khalifa","given":"Ghaidaa","non-dropping-particle":"","parse-names":false,"suffix":""},{"dropping-particle":"","family":"Sharif","given":"Zonera","non-dropping-particle":"","parse-names":false,"suffix":""},{"dropping-particle":"","family":"Sultan","given":"Madiha","non-dropping-particle":"","parse-names":false,"suffix":""},{"dropping-particle":"Di","family":"Rezze","given":"Briano","non-dropping-particle":"","parse-names":false,"suffix":""}],"container-title":"Disability and Rehabilitation","id":"ITEM-1","issue":"9","issued":{"date-parts":[["2020"]]},"page":"1316-1331","publisher":"Taylor &amp; Francis","title":"Workplace accommodations for adults with autism spectrum disorder: A scoping review","type":"article-journal","volume":"42"},"suppress-author":1,"uris":["http://www.mendeley.com/documents/?uuid=1bc6d44c-481a-471a-8be6-d3de2c45b847","http://www.mendeley.com/documents/?uuid=aa1fccb3-7085-4623-b302-1689f4a11155"]}],"mendeley":{"formattedCitation":"(2020)","plainTextFormattedCitation":"(2020)","previouslyFormattedCitation":"(2020)"},"properties":{"noteIndex":0},"schema":"https://github.com/citation-style-language/schema/raw/master/csl-citation.json"}</w:instrText>
            </w:r>
            <w:r>
              <w:rPr>
                <w:sz w:val="20"/>
                <w:szCs w:val="20"/>
              </w:rPr>
              <w:fldChar w:fldCharType="separate"/>
            </w:r>
            <w:r w:rsidRPr="00076B51">
              <w:rPr>
                <w:b w:val="0"/>
                <w:bCs w:val="0"/>
                <w:noProof/>
                <w:sz w:val="20"/>
                <w:szCs w:val="20"/>
              </w:rPr>
              <w:t>(2020)</w:t>
            </w:r>
            <w:r>
              <w:rPr>
                <w:sz w:val="20"/>
                <w:szCs w:val="20"/>
              </w:rPr>
              <w:fldChar w:fldCharType="end"/>
            </w:r>
          </w:p>
        </w:tc>
        <w:tc>
          <w:tcPr>
            <w:tcW w:w="1327" w:type="dxa"/>
          </w:tcPr>
          <w:p w14:paraId="77D938C9" w14:textId="1F062BBA"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Scoping</w:t>
            </w:r>
          </w:p>
        </w:tc>
        <w:tc>
          <w:tcPr>
            <w:tcW w:w="1203" w:type="dxa"/>
          </w:tcPr>
          <w:p w14:paraId="6364695C" w14:textId="2D15ADB2"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25</w:t>
            </w:r>
          </w:p>
        </w:tc>
        <w:tc>
          <w:tcPr>
            <w:tcW w:w="1327" w:type="dxa"/>
          </w:tcPr>
          <w:p w14:paraId="1E2ACF75" w14:textId="1112883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Disability</w:t>
            </w:r>
          </w:p>
        </w:tc>
        <w:tc>
          <w:tcPr>
            <w:tcW w:w="1981" w:type="dxa"/>
          </w:tcPr>
          <w:p w14:paraId="6B657798" w14:textId="6540858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Job training and coaching; Workplace accommodations</w:t>
            </w:r>
          </w:p>
        </w:tc>
        <w:tc>
          <w:tcPr>
            <w:tcW w:w="2742" w:type="dxa"/>
          </w:tcPr>
          <w:p w14:paraId="2EA9F5FC" w14:textId="5BAFC32B"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Workplace accommodations, including those related to providing employment support and relationships, can help improve work experiences and job performance among people with autism spectrum disorder.</w:t>
            </w:r>
          </w:p>
        </w:tc>
        <w:tc>
          <w:tcPr>
            <w:tcW w:w="2976" w:type="dxa"/>
          </w:tcPr>
          <w:p w14:paraId="62573BD3" w14:textId="77777777"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494E9073" w14:textId="1172208B"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r>
      <w:tr w:rsidR="00B60456" w:rsidRPr="009811EA" w14:paraId="4768095E"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325FAF99" w14:textId="0261C1F1"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Mahon </w:t>
            </w:r>
            <w:r>
              <w:rPr>
                <w:sz w:val="20"/>
                <w:szCs w:val="20"/>
              </w:rPr>
              <w:fldChar w:fldCharType="begin" w:fldLock="1"/>
            </w:r>
            <w:r>
              <w:rPr>
                <w:b w:val="0"/>
                <w:bCs w:val="0"/>
                <w:sz w:val="20"/>
                <w:szCs w:val="20"/>
              </w:rPr>
              <w:instrText>ADDIN CSL_CITATION {"citationItems":[{"id":"ITEM-1","itemData":{"ISSN":"09534814","abstract":"Purpose – The purpose of this paper is to investigate the challenges, worldwide of managing an aging workforce. The paper offers suggestions for public policy and for individual organizational approaches to developing, managing and motivating an aging workforce. Design/methodology/approach – The paper reviews in depth international literature, public policies and corporate policies that deal with an aging workforce. Findings – In virtually every nation in the world, society is aging and the costs to society – on multiple dimensions demand organizational action and changes in public policy. For the first time in recorded history the number of people aged 65+ will exceed those 15 and under starting in 2015. It is also predicted that those 80+ will be greater than those under 15 in Europe by 2060. Originality/value – This paper explores the impact of a worldwide aging society on the management of organizations and the demands that this aging will place on public policy. It addresses the profound impacts of changing dependency ratios on nations and on their future competitiveness. [ABSTRACT FROM AUTHOR]","author":[{"dropping-particle":"","family":"Mahon","given":"John F","non-dropping-particle":"","parse-names":false,"suffix":""},{"dropping-particle":"","family":"Millar","given":"Carla C J M","non-dropping-particle":"","parse-names":false,"suffix":""}],"container-title":"Journal of Organizational Change Management","id":"ITEM-1","issue":"4","issued":{"date-parts":[["2014","7"]]},"note":"Accession Number: 99125300; Mahon, John F.; Millar, Carla C. J. M.; Issue Info: 2014, Vol. 27 Issue 4, p553; Thesaurus Term: Employment of older people; Thesaurus Term: Personnel management; Thesaurus Term: Organizational structure; Thesaurus Term: Employee rules; Thesaurus Term: Diversity in the workplace; Subject Term: Aging; Subject Term: Organizational change management; Author-Supplied Keyword: Age management; Author-Supplied Keyword: Change management; Author-Supplied Keyword: Demographics; Author-Supplied Keyword: Diversity; Author-Supplied Keyword: International public policy; NAICS/Industry Codes: 541612 Human Resources Consulting Services; NAICS/Industry Codes: 923130 Administration of Human Resource Programs (except Education, Public Health, and Veterans' Affairs Programs); Number of Pages: 16p; Document Type: Article; Full Text Word Count: 7306","page":"553-568","title":"ManAGEment: The challenges of global age diversity for corporations and governments.","type":"article-journal","volume":"27"},"suppress-author":1,"uris":["http://www.mendeley.com/documents/?uuid=ae8b5b60-e66f-4b63-94fb-32fd2d8daaca"]}],"mendeley":{"formattedCitation":"(2014)","plainTextFormattedCitation":"(2014)","previouslyFormattedCitation":"(2014)"},"properties":{"noteIndex":0},"schema":"https://github.com/citation-style-language/schema/raw/master/csl-citation.json"}</w:instrText>
            </w:r>
            <w:r>
              <w:rPr>
                <w:sz w:val="20"/>
                <w:szCs w:val="20"/>
              </w:rPr>
              <w:fldChar w:fldCharType="separate"/>
            </w:r>
            <w:r w:rsidRPr="000B5B79">
              <w:rPr>
                <w:b w:val="0"/>
                <w:bCs w:val="0"/>
                <w:noProof/>
                <w:sz w:val="20"/>
                <w:szCs w:val="20"/>
              </w:rPr>
              <w:t>(2014)</w:t>
            </w:r>
            <w:r>
              <w:rPr>
                <w:sz w:val="20"/>
                <w:szCs w:val="20"/>
              </w:rPr>
              <w:fldChar w:fldCharType="end"/>
            </w:r>
          </w:p>
        </w:tc>
        <w:tc>
          <w:tcPr>
            <w:tcW w:w="1327" w:type="dxa"/>
          </w:tcPr>
          <w:p w14:paraId="1BE03CAD" w14:textId="6804805A"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Narrative</w:t>
            </w:r>
          </w:p>
        </w:tc>
        <w:tc>
          <w:tcPr>
            <w:tcW w:w="1203" w:type="dxa"/>
          </w:tcPr>
          <w:p w14:paraId="04848641" w14:textId="28C62995"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1327" w:type="dxa"/>
          </w:tcPr>
          <w:p w14:paraId="6B1F1113" w14:textId="0232D558"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Age</w:t>
            </w:r>
          </w:p>
        </w:tc>
        <w:tc>
          <w:tcPr>
            <w:tcW w:w="1981" w:type="dxa"/>
          </w:tcPr>
          <w:p w14:paraId="21DEFF37" w14:textId="678BE9E4"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Diversity training and education; Flexible work arrangements; Job training and coaching; Policies involving recruitment, leave, and compensation; Workplace accommodations; Other</w:t>
            </w:r>
          </w:p>
        </w:tc>
        <w:tc>
          <w:tcPr>
            <w:tcW w:w="2742" w:type="dxa"/>
          </w:tcPr>
          <w:p w14:paraId="02F19775" w14:textId="61888D4F"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Developing skills for managers to work with ageing population, focusing on recruitment (and exit), training, focusing on promotion and development, flexible work, workplace accommodations (ergonomics, job design), and changing attitudes towards ageing workers described as actions to help develop an ageing workforce.</w:t>
            </w:r>
          </w:p>
        </w:tc>
        <w:tc>
          <w:tcPr>
            <w:tcW w:w="2976" w:type="dxa"/>
          </w:tcPr>
          <w:p w14:paraId="3B706167" w14:textId="777777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094C1902" w14:textId="479F0ADB"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1433646A"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76D536CB" w14:textId="1D599812"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Manoharan </w:t>
            </w:r>
            <w:r>
              <w:rPr>
                <w:sz w:val="20"/>
                <w:szCs w:val="20"/>
              </w:rPr>
              <w:fldChar w:fldCharType="begin" w:fldLock="1"/>
            </w:r>
            <w:r>
              <w:rPr>
                <w:b w:val="0"/>
                <w:bCs w:val="0"/>
                <w:sz w:val="20"/>
                <w:szCs w:val="20"/>
              </w:rPr>
              <w:instrText>ADDIN CSL_CITATION {"citationItems":[{"id":"ITEM-1","itemData":{"ISSN":"0278-4319","author":[{"dropping-particle":"","family":"Manoharan","given":"Ashokkumar","non-dropping-particle":"","parse-names":false,"suffix":""},{"dropping-particle":"","family":"Singal","given":"Manisha","non-dropping-particle":"","parse-names":false,"suffix":""}],"container-title":"International Journal of Hospitality Management","id":"ITEM-1","issued":{"date-parts":[["2017"]]},"page":"77-91","publisher":"Elsevier","title":"A systematic literature review of research on diversity and diversity management in the hospitality literature","type":"article-journal","volume":"66"},"suppress-author":1,"uris":["http://www.mendeley.com/documents/?uuid=8ee48c7d-333f-414d-a143-1901f2c2f247"]}],"mendeley":{"formattedCitation":"(2017)","plainTextFormattedCitation":"(2017)","previouslyFormattedCitation":"(2017)"},"properties":{"noteIndex":0},"schema":"https://github.com/citation-style-language/schema/raw/master/csl-citation.json"}</w:instrText>
            </w:r>
            <w:r>
              <w:rPr>
                <w:sz w:val="20"/>
                <w:szCs w:val="20"/>
              </w:rPr>
              <w:fldChar w:fldCharType="separate"/>
            </w:r>
            <w:r w:rsidRPr="000B5B79">
              <w:rPr>
                <w:b w:val="0"/>
                <w:bCs w:val="0"/>
                <w:noProof/>
                <w:sz w:val="20"/>
                <w:szCs w:val="20"/>
              </w:rPr>
              <w:t>(2017)</w:t>
            </w:r>
            <w:r>
              <w:rPr>
                <w:sz w:val="20"/>
                <w:szCs w:val="20"/>
              </w:rPr>
              <w:fldChar w:fldCharType="end"/>
            </w:r>
          </w:p>
        </w:tc>
        <w:tc>
          <w:tcPr>
            <w:tcW w:w="1327" w:type="dxa"/>
          </w:tcPr>
          <w:p w14:paraId="6CA40E4B" w14:textId="697C02BA"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6CC53985" w14:textId="75724361"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122</w:t>
            </w:r>
          </w:p>
        </w:tc>
        <w:tc>
          <w:tcPr>
            <w:tcW w:w="1327" w:type="dxa"/>
          </w:tcPr>
          <w:p w14:paraId="653CA145" w14:textId="1608566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Non-specific</w:t>
            </w:r>
          </w:p>
        </w:tc>
        <w:tc>
          <w:tcPr>
            <w:tcW w:w="1981" w:type="dxa"/>
          </w:tcPr>
          <w:p w14:paraId="6203BAF1" w14:textId="605FD9B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Other</w:t>
            </w:r>
          </w:p>
        </w:tc>
        <w:tc>
          <w:tcPr>
            <w:tcW w:w="2742" w:type="dxa"/>
          </w:tcPr>
          <w:p w14:paraId="44279873" w14:textId="1E01544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Greater need for theoretically-driven, empirical research on what diversity management policies or practices are most effective.</w:t>
            </w:r>
          </w:p>
        </w:tc>
        <w:tc>
          <w:tcPr>
            <w:tcW w:w="2976" w:type="dxa"/>
          </w:tcPr>
          <w:p w14:paraId="2AB010C5" w14:textId="1389E336"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Leadership styles (e.g., transformational leadership), diversity climate</w:t>
            </w:r>
          </w:p>
        </w:tc>
        <w:tc>
          <w:tcPr>
            <w:tcW w:w="1276" w:type="dxa"/>
          </w:tcPr>
          <w:p w14:paraId="3E105902" w14:textId="61559132"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2/10</w:t>
            </w:r>
          </w:p>
        </w:tc>
      </w:tr>
      <w:tr w:rsidR="00B60456" w:rsidRPr="009811EA" w14:paraId="4EA2EE57"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3E5EA3B1" w14:textId="28734DC4"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McDowell </w:t>
            </w:r>
            <w:r>
              <w:rPr>
                <w:sz w:val="20"/>
                <w:szCs w:val="20"/>
              </w:rPr>
              <w:fldChar w:fldCharType="begin" w:fldLock="1"/>
            </w:r>
            <w:r>
              <w:rPr>
                <w:b w:val="0"/>
                <w:bCs w:val="0"/>
                <w:sz w:val="20"/>
                <w:szCs w:val="20"/>
              </w:rPr>
              <w:instrText>ADDIN CSL_CITATION {"citationItems":[{"id":"ITEM-1","itemData":{"DOI":"10.1007/s10926-014-9512-y","ISSN":"1053-0487","abstract":"Purpose: Disability discrimination legislation means that employees with a disability or mental illness are legally entitled to reasonable workplace accommodations that enable them to work effectively and safely. This scoping review aims to investigate the types of workplace accommodations provided for people with mental illness, and their costs and benefits. Methods: A literature search was conducted using five electronic databases. Peer reviewed research articles published between 1993 and June 2013 were included in this scoping review and their quality was assessed. Opinion papers, reports, and case descriptions were excluded. Results: Nine studies explored workplace accommodations for people with mental illness. The most commonly reported work-related accommodations were flexible scheduling/reduced hours, modified training and supervision, and modified job duties/descriptions. The least common type of accommodation was physical modification to the workplace. For employees with persistent mental illness who were accessing a supported employment agency, the majority of accommodations related to support from the job coach or employment specialist, such as facilitating communication with the employer during hiring or on the job. The quality of the studies varied considerably and the benefits of the accommodations are not yet well documented. There is limited evidence that a larger number of workplace accommodations are associated with longer job tenure. Conclusions: Workplace accommodations appear to be important to support employees with mental illness, but more accessible information about how disability discrimination legislation applies to this population is needed. Future research should address the implementation and effectiveness of mental health-related workplace accommodations. (PsycINFO Database Record (c) 2016 APA, all rights reserved)","author":[{"dropping-particle":"","family":"McDowell","given":"Caitlin","non-dropping-particle":"","parse-names":false,"suffix":""},{"dropping-particle":"","family":"Fossey","given":"Ellie","non-dropping-particle":"","parse-names":false,"suffix":""}],"container-title":"Journal of Occupational Rehabilitation","editor":[{"dropping-particle":"","family":"Banks Corbiere, Curtin, De Rijk, Drake, Fabian, Gewurtz, Granger, Granger, Grant, Henry, King, Letts, MacDonald-Wilson, MacDonald-Wilson, Mak, Mancuso, McAlpine, Mizzoni, Saunders, Schartz, Secker, Secker, Thomas, Unger, Waghorn, Walls, Wang, Wahlin, Zwe","given":"Becker","non-dropping-particle":"","parse-names":false,"suffix":""}],"id":"ITEM-1","issue":"1","issued":{"date-parts":[["2015"]]},"page":"197-206","publisher":"Springer","publisher-place":"Fossey, Ellie: Department of Occupational Therapy, La Trobe University, VIC, Australia, 3086, e.fossey@latrobe.edu.au","title":"Workplace accommodations for people with mental illness: A scoping review.","type":"article-journal","volume":"25"},"suppress-author":1,"uris":["http://www.mendeley.com/documents/?uuid=d64d7a59-458f-4416-941f-00dead761c76"]}],"mendeley":{"formattedCitation":"(2015)","plainTextFormattedCitation":"(2015)","previouslyFormattedCitation":"(2015)"},"properties":{"noteIndex":0},"schema":"https://github.com/citation-style-language/schema/raw/master/csl-citation.json"}</w:instrText>
            </w:r>
            <w:r>
              <w:rPr>
                <w:sz w:val="20"/>
                <w:szCs w:val="20"/>
              </w:rPr>
              <w:fldChar w:fldCharType="separate"/>
            </w:r>
            <w:r w:rsidRPr="00C95284">
              <w:rPr>
                <w:b w:val="0"/>
                <w:bCs w:val="0"/>
                <w:noProof/>
                <w:sz w:val="20"/>
                <w:szCs w:val="20"/>
              </w:rPr>
              <w:t>(2015)</w:t>
            </w:r>
            <w:r>
              <w:rPr>
                <w:sz w:val="20"/>
                <w:szCs w:val="20"/>
              </w:rPr>
              <w:fldChar w:fldCharType="end"/>
            </w:r>
          </w:p>
        </w:tc>
        <w:tc>
          <w:tcPr>
            <w:tcW w:w="1327" w:type="dxa"/>
          </w:tcPr>
          <w:p w14:paraId="4FBA895A" w14:textId="00013803"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Scoping</w:t>
            </w:r>
          </w:p>
        </w:tc>
        <w:tc>
          <w:tcPr>
            <w:tcW w:w="1203" w:type="dxa"/>
          </w:tcPr>
          <w:p w14:paraId="4234298C" w14:textId="5953F160"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9</w:t>
            </w:r>
          </w:p>
        </w:tc>
        <w:tc>
          <w:tcPr>
            <w:tcW w:w="1327" w:type="dxa"/>
          </w:tcPr>
          <w:p w14:paraId="662AB041" w14:textId="57CB5CDB"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0EB8A9FF" w14:textId="033814AD"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Diversity training and education; Job training and coaching; Workplace accommodations</w:t>
            </w:r>
          </w:p>
        </w:tc>
        <w:tc>
          <w:tcPr>
            <w:tcW w:w="2742" w:type="dxa"/>
          </w:tcPr>
          <w:p w14:paraId="5D5E6331" w14:textId="6F0A458E"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Flexible hours, modified training and supervision, and modified job duties were common accommodations. Limited evidence suggests workplace accommodations can improve job tenure for employees with mental illness. Lack of disclosure about mental illness and limited </w:t>
            </w:r>
            <w:r>
              <w:rPr>
                <w:sz w:val="20"/>
                <w:szCs w:val="20"/>
              </w:rPr>
              <w:lastRenderedPageBreak/>
              <w:t>knowledge about disability legislation and accommodations are major barriers.</w:t>
            </w:r>
          </w:p>
        </w:tc>
        <w:tc>
          <w:tcPr>
            <w:tcW w:w="2976" w:type="dxa"/>
          </w:tcPr>
          <w:p w14:paraId="2FA8287F" w14:textId="777777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09103A8D" w14:textId="3F8014BB"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7B8855FC"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71FFDF00" w14:textId="20A7D78D"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Metinyurt </w:t>
            </w:r>
            <w:r>
              <w:rPr>
                <w:sz w:val="20"/>
                <w:szCs w:val="20"/>
              </w:rPr>
              <w:fldChar w:fldCharType="begin" w:fldLock="1"/>
            </w:r>
            <w:r>
              <w:rPr>
                <w:b w:val="0"/>
                <w:bCs w:val="0"/>
                <w:sz w:val="20"/>
                <w:szCs w:val="20"/>
              </w:rPr>
              <w:instrText>ADDIN CSL_CITATION {"citationItems":[{"id":"ITEM-1","itemData":{"ISSN":"0732-118X","author":[{"dropping-particle":"","family":"Metinyurt","given":"Tuğba","non-dropping-particle":"","parse-names":false,"suffix":""},{"dropping-particle":"","family":"Haynes-Baratz","given":"Michelle C","non-dropping-particle":"","parse-names":false,"suffix":""},{"dropping-particle":"","family":"Bond","given":"Meg A","non-dropping-particle":"","parse-names":false,"suffix":""}],"container-title":"New Ideas in Psychology","id":"ITEM-1","issued":{"date-parts":[["2021"]]},"page":"100879","publisher":"Elsevier","title":"A systematic review of interventions to address workplace bias: What we know, what we don't, and lessons learned","type":"article-journal","volume":"63"},"suppress-author":1,"uris":["http://www.mendeley.com/documents/?uuid=593729d2-32b0-4259-a5f5-1cdf6fea5f45","http://www.mendeley.com/documents/?uuid=795b8905-b067-494a-86fd-45aed8267fd7"]}],"mendeley":{"formattedCitation":"(2021)","plainTextFormattedCitation":"(2021)","previouslyFormattedCitation":"(2021)"},"properties":{"noteIndex":0},"schema":"https://github.com/citation-style-language/schema/raw/master/csl-citation.json"}</w:instrText>
            </w:r>
            <w:r>
              <w:rPr>
                <w:sz w:val="20"/>
                <w:szCs w:val="20"/>
              </w:rPr>
              <w:fldChar w:fldCharType="separate"/>
            </w:r>
            <w:r w:rsidRPr="00076B51">
              <w:rPr>
                <w:b w:val="0"/>
                <w:bCs w:val="0"/>
                <w:noProof/>
                <w:sz w:val="20"/>
                <w:szCs w:val="20"/>
              </w:rPr>
              <w:t>(2021)</w:t>
            </w:r>
            <w:r>
              <w:rPr>
                <w:sz w:val="20"/>
                <w:szCs w:val="20"/>
              </w:rPr>
              <w:fldChar w:fldCharType="end"/>
            </w:r>
          </w:p>
        </w:tc>
        <w:tc>
          <w:tcPr>
            <w:tcW w:w="1327" w:type="dxa"/>
          </w:tcPr>
          <w:p w14:paraId="001AEDC7" w14:textId="036A94AF"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242098A0" w14:textId="6F97B7F0"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w:t>
            </w:r>
          </w:p>
        </w:tc>
        <w:tc>
          <w:tcPr>
            <w:tcW w:w="1327" w:type="dxa"/>
          </w:tcPr>
          <w:p w14:paraId="118C07D9" w14:textId="0ADB31C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Non-specific (focus on gender)</w:t>
            </w:r>
          </w:p>
        </w:tc>
        <w:tc>
          <w:tcPr>
            <w:tcW w:w="1981" w:type="dxa"/>
          </w:tcPr>
          <w:p w14:paraId="4415C9E7" w14:textId="6B2FF29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and education</w:t>
            </w:r>
          </w:p>
        </w:tc>
        <w:tc>
          <w:tcPr>
            <w:tcW w:w="2742" w:type="dxa"/>
          </w:tcPr>
          <w:p w14:paraId="12EF73FE" w14:textId="563C2A19"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Evidence of positive impacts on awareness of biases and some impact on behavioral intentions, but unclear whether this translates into behavior change. </w:t>
            </w:r>
          </w:p>
        </w:tc>
        <w:tc>
          <w:tcPr>
            <w:tcW w:w="2976" w:type="dxa"/>
          </w:tcPr>
          <w:p w14:paraId="154FE073" w14:textId="7777777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07419F49" w14:textId="61264C74"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3/9</w:t>
            </w:r>
          </w:p>
        </w:tc>
      </w:tr>
      <w:tr w:rsidR="00B60456" w:rsidRPr="009811EA" w14:paraId="5E957C50"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215F9A7D" w14:textId="1C01B947"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Nevala </w:t>
            </w:r>
            <w:r>
              <w:rPr>
                <w:sz w:val="20"/>
                <w:szCs w:val="20"/>
              </w:rPr>
              <w:fldChar w:fldCharType="begin" w:fldLock="1"/>
            </w:r>
            <w:r>
              <w:rPr>
                <w:b w:val="0"/>
                <w:bCs w:val="0"/>
                <w:sz w:val="20"/>
                <w:szCs w:val="20"/>
              </w:rPr>
              <w:instrText>ADDIN CSL_CITATION {"citationItems":[{"id":"ITEM-1","itemData":{"DOI":"10.1007/s10926-014-9548-z","ISSN":"1053-0487","abstract":"Purpose: A systematic review was conducted to review the effectiveness of workplace accommodation (WA) regarding employment, work ability, and cost-benefit among disabled people. It also describes the evidence gained on the barriers and facilitators of WA process to sustain employment. Methods: We reviewed systematically current scientific evidence about effectiveness of WA among disabled persons. The outcomes were employment, work ability, and cost-benefit. Qualitative studies of employment facilitators and barriers were also included. The population comprised people with physical disability, visual impairment, hearing impairment, cognitive disability, or mental disability, aged 18-68 years. CINAHL, the Cochrane Library, Embase, Medic, OTseeker, PEDro, PsycInfo, PubMed, Scopus, and Web of Science were searched for peer-reviewed articles published in English from January 1990 to November 2012. Results: Three quantitative (one randomized controlled, one concurrently controlled, and one cohort) and eight qualitative studies met the inclusion criteria. There was moderate evidence that specific types of WA (vocational counselling and guidance, education and self-advocacy, help of others, changes in work schedules, work organization, and special transportation) promote employment among physically disabled persons and reduce costs. There was low evidence that WA (liaison, education, work aids, and work techniques) coordinated by case managers increases return to work and is cost-effective when compared with the usual care of persons with physical and cognitive disabilities. The key facilitators and barriers of employment were self-advocacy, support of the employer and community, amount of training and counselling, and flexibility of work schedules and work organization. Conclusions: More high-quality studies using validated measures of the work ability and functioning of disabled persons are needed. The identified barriers and facilitators found in the qualitative studies should be used to develop quantitative study designs. (PsycINFO Database Record (c) 2016 APA, all rights reserved)","author":[{"dropping-particle":"","family":"Nevala","given":"Nina","non-dropping-particle":"","parse-names":false,"suffix":""},{"dropping-particle":"","family":"Pehkonen","given":"Irmeli","non-dropping-particle":"","parse-names":false,"suffix":""},{"dropping-particle":"","family":"Koskela","given":"Inka","non-dropping-particle":"","parse-names":false,"suffix":""},{"dropping-particle":"","family":"Ruusuvuori","given":"Johanna","non-dropping-particle":"","parse-names":false,"suffix":""},{"dropping-particle":"","family":"Anttila","given":"Heidi","non-dropping-particle":"","parse-names":false,"suffix":""}],"container-title":"Journal of Occupational Rehabilitation","editor":[{"dropping-particle":"","family":"Allaire Anttila, Auger, Baldridge, Balser, Balser, Bauer, Butterfield, Chen, Cieza, Colquitt, Crooks, Crowther, de Jonge, De Rijk, Dunstan, Dyck, Finger, Gamble, Gates, Gold, Hannes, Huang, Khan, Khan, Lacaille, Lock, MacEachen, Mauri, Medin, Nevala-Pura","given":"Anner","non-dropping-particle":"","parse-names":false,"suffix":""}],"id":"ITEM-1","issue":"2","issued":{"date-parts":[["2015"]]},"page":"432-448","publisher":"Springer","publisher-place":"Nevala, Nina: Finnish Institute of Occupational Health, Topeliuksenkatu 41 a A, Helsinki, Finland, 00250, nina.nevala@ttl.fi","title":"Workplace accommodation among persons with disabilities: A systematic review of its effectiveness and barriers or facilitators.","type":"article-journal","volume":"25"},"suppress-author":1,"uris":["http://www.mendeley.com/documents/?uuid=439154ad-a9fc-45a1-97da-9295ef280b04"]}],"mendeley":{"formattedCitation":"(2015)","plainTextFormattedCitation":"(2015)","previouslyFormattedCitation":"(2015)"},"properties":{"noteIndex":0},"schema":"https://github.com/citation-style-language/schema/raw/master/csl-citation.json"}</w:instrText>
            </w:r>
            <w:r>
              <w:rPr>
                <w:sz w:val="20"/>
                <w:szCs w:val="20"/>
              </w:rPr>
              <w:fldChar w:fldCharType="separate"/>
            </w:r>
            <w:r w:rsidRPr="008C71FE">
              <w:rPr>
                <w:b w:val="0"/>
                <w:bCs w:val="0"/>
                <w:noProof/>
                <w:sz w:val="20"/>
                <w:szCs w:val="20"/>
              </w:rPr>
              <w:t>(2015)</w:t>
            </w:r>
            <w:r>
              <w:rPr>
                <w:sz w:val="20"/>
                <w:szCs w:val="20"/>
              </w:rPr>
              <w:fldChar w:fldCharType="end"/>
            </w:r>
          </w:p>
        </w:tc>
        <w:tc>
          <w:tcPr>
            <w:tcW w:w="1327" w:type="dxa"/>
          </w:tcPr>
          <w:p w14:paraId="6BB667A1" w14:textId="2CA6B0B9"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Systematic</w:t>
            </w:r>
          </w:p>
        </w:tc>
        <w:tc>
          <w:tcPr>
            <w:tcW w:w="1203" w:type="dxa"/>
          </w:tcPr>
          <w:p w14:paraId="4FB26A7F" w14:textId="33D089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w:t>
            </w:r>
          </w:p>
        </w:tc>
        <w:tc>
          <w:tcPr>
            <w:tcW w:w="1327" w:type="dxa"/>
          </w:tcPr>
          <w:p w14:paraId="0AAC7044" w14:textId="450474C4"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145BAA49" w14:textId="27EECD42"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Flexible work arrangements; Informal workplace supports; Job training and coaching; Workplace accommodations</w:t>
            </w:r>
          </w:p>
        </w:tc>
        <w:tc>
          <w:tcPr>
            <w:tcW w:w="2742" w:type="dxa"/>
          </w:tcPr>
          <w:p w14:paraId="1BA0743C" w14:textId="4D9FE5A4"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Workplace accommodations such as vocational counselling, education, help of others, changes in work schedules have been found to improve employment among employees with physical disability. Barriers to the use of workplace accommodations are knowledge and information about accommodations.</w:t>
            </w:r>
          </w:p>
        </w:tc>
        <w:tc>
          <w:tcPr>
            <w:tcW w:w="2976" w:type="dxa"/>
          </w:tcPr>
          <w:p w14:paraId="3C532D98" w14:textId="7777777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7597E0BC" w14:textId="34625B3E"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7/10</w:t>
            </w:r>
          </w:p>
        </w:tc>
      </w:tr>
      <w:tr w:rsidR="00B60456" w:rsidRPr="009811EA" w14:paraId="17E22F94"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0750F9D0" w14:textId="51FDF5C5"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Phillips </w:t>
            </w:r>
            <w:r>
              <w:rPr>
                <w:sz w:val="20"/>
                <w:szCs w:val="20"/>
              </w:rPr>
              <w:fldChar w:fldCharType="begin" w:fldLock="1"/>
            </w:r>
            <w:r>
              <w:rPr>
                <w:b w:val="0"/>
                <w:bCs w:val="0"/>
                <w:sz w:val="20"/>
                <w:szCs w:val="20"/>
              </w:rPr>
              <w:instrText>ADDIN CSL_CITATION {"citationItems":[{"id":"ITEM-1","itemData":{"DOI":"10.1007/s10926-015-9612-3","ISSN":"1053-0487","abstract":"Purpose: Misinformation and negative attitudes toward disability contribute to lower employment rates among people with disabilities. Diversity training is an intervention intended to improve intergroup relations and reduce prejudice. We conducted a systematic review to determine the use and effectiveness of disability diversity training aimed at improving employment outcomes for employees with disabilities. Methods: Five databases were searched for peer-reviewed studies of disability diversity training interventions provided within the workplace. Studies identified for inclusion were assessed for quality of methodology. Results: Of the total of 1322 articles identified by the search, three studies met the criteria for inclusion. Two of the three articles focused specifically on training to improve outcomes related to workplace injuries among existing employees. The other study provided an initial test of a more general disability diversity training program. Conclusions: There is currently a lack of empirically validated diversity training programs that focus specifically on disability. A number of disability diversity trainings and resources exist, but none have been well researched. Related literature on diversity training and disability awareness suggests the possibility for enhancing diversity training practices through training design, content, participant, and outcomes considerations. By integrating best practices in workplace diversity training with existing disability training resources, practitioners and researchers may be able to design effective disability diversity training programs. (PsycINFO Database Record (c) 2017 APA, all rights reserved)","author":[{"dropping-particle":"","family":"Phillips","given":"Brian N","non-dropping-particle":"","parse-names":false,"suffix":""},{"dropping-particle":"","family":"Deiches","given":"Jon","non-dropping-particle":"","parse-names":false,"suffix":""},{"dropping-particle":"","family":"Morrison","given":"Blaise","non-dropping-particle":"","parse-names":false,"suffix":""},{"dropping-particle":"","family":"Chan","given":"Fong","non-dropping-particle":"","parse-names":false,"suffix":""},{"dropping-particle":"","family":"Bezyak","given":"Jill L","non-dropping-particle":"","parse-names":false,"suffix":""}],"container-title":"Journal of Occupational Rehabilitation","editor":[{"dropping-particle":"","family":"Amir Barker, Baum, Bendick, Berry, Bezrukova, Brostrand, Bruyere, Bruyere, Burke, Bush, Celik, Chan, Chan, Cocchiara, Colella, Combs, De Meuse, Deleire, Fabian, Fischer, Fraser, Fraser, Gany, Gilbride, Gilbride, Grizzard, Hagner, Hanover, Hernandez, Hern","given":"Bailey","non-dropping-particle":"","parse-names":false,"suffix":""}],"id":"ITEM-1","issue":"3","issued":{"date-parts":[["2016"]]},"page":"264-275","publisher":"Springer","publisher-place":"Phillips, Brian N., bnphillips2@wisc.edu","title":"Disability diversity training in the workplace: Systematic review and future directions.","type":"article-journal","volume":"26"},"suppress-author":1,"uris":["http://www.mendeley.com/documents/?uuid=a5becebe-fdcb-49cd-99ba-aa54a50568f9"]}],"mendeley":{"formattedCitation":"(2016)","plainTextFormattedCitation":"(2016)","previouslyFormattedCitation":"(2016)"},"properties":{"noteIndex":0},"schema":"https://github.com/citation-style-language/schema/raw/master/csl-citation.json"}</w:instrText>
            </w:r>
            <w:r>
              <w:rPr>
                <w:sz w:val="20"/>
                <w:szCs w:val="20"/>
              </w:rPr>
              <w:fldChar w:fldCharType="separate"/>
            </w:r>
            <w:r w:rsidRPr="008C71FE">
              <w:rPr>
                <w:b w:val="0"/>
                <w:bCs w:val="0"/>
                <w:noProof/>
                <w:sz w:val="20"/>
                <w:szCs w:val="20"/>
              </w:rPr>
              <w:t>(2016)</w:t>
            </w:r>
            <w:r>
              <w:rPr>
                <w:sz w:val="20"/>
                <w:szCs w:val="20"/>
              </w:rPr>
              <w:fldChar w:fldCharType="end"/>
            </w:r>
          </w:p>
        </w:tc>
        <w:tc>
          <w:tcPr>
            <w:tcW w:w="1327" w:type="dxa"/>
          </w:tcPr>
          <w:p w14:paraId="488C4D72" w14:textId="42F89BB7"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4983E0AF" w14:textId="417DD5B6"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w:t>
            </w:r>
          </w:p>
        </w:tc>
        <w:tc>
          <w:tcPr>
            <w:tcW w:w="1327" w:type="dxa"/>
          </w:tcPr>
          <w:p w14:paraId="634F8458" w14:textId="7248772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Disability</w:t>
            </w:r>
          </w:p>
        </w:tc>
        <w:tc>
          <w:tcPr>
            <w:tcW w:w="1981" w:type="dxa"/>
          </w:tcPr>
          <w:p w14:paraId="7C951DF3" w14:textId="32050529"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and education</w:t>
            </w:r>
          </w:p>
        </w:tc>
        <w:tc>
          <w:tcPr>
            <w:tcW w:w="2742" w:type="dxa"/>
          </w:tcPr>
          <w:p w14:paraId="7FAAE863" w14:textId="34C1FD9D"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Low number of final articles and quality of articles prevented conclusions from being drawn on effectiveness of disability diversity training interventions on employment outcomes for people with disability.</w:t>
            </w:r>
          </w:p>
        </w:tc>
        <w:tc>
          <w:tcPr>
            <w:tcW w:w="2976" w:type="dxa"/>
          </w:tcPr>
          <w:p w14:paraId="1848B051" w14:textId="2BDE4CF6"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Company size, industry (e.g., primary vs. secondary labor market), disability type</w:t>
            </w:r>
          </w:p>
        </w:tc>
        <w:tc>
          <w:tcPr>
            <w:tcW w:w="1276" w:type="dxa"/>
          </w:tcPr>
          <w:p w14:paraId="5AA21A92" w14:textId="5E08F26A"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7/10</w:t>
            </w:r>
          </w:p>
        </w:tc>
      </w:tr>
      <w:tr w:rsidR="00B60456" w:rsidRPr="009811EA" w14:paraId="380C6F9A"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5D898BD9" w14:textId="5E90CE65"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Prince </w:t>
            </w:r>
            <w:r>
              <w:rPr>
                <w:sz w:val="20"/>
                <w:szCs w:val="20"/>
              </w:rPr>
              <w:fldChar w:fldCharType="begin" w:fldLock="1"/>
            </w:r>
            <w:r>
              <w:rPr>
                <w:b w:val="0"/>
                <w:bCs w:val="0"/>
                <w:sz w:val="20"/>
                <w:szCs w:val="20"/>
              </w:rPr>
              <w:instrText>ADDIN CSL_CITATION {"citationItems":[{"id":"ITEM-1","itemData":{"DOI":"10.3233/JVR-160844","ISSN":"1052-2263","abstract":"BACKGROUND: Invisible disabilities refer to a range of mental and physical disabilities that, like visible impairments, vary in their origins, degree of severity and in whether they are episodic or permanent. Much of the mainstream literature on employment and disability does not consider the question of a person disclosing their hidden disability to an employer. While disclosure is the route to a workplace accommodation process and can be in the best interest of the employee with a disability, it is a highly risky decision to disclose with numerous potential disadvantages along with advantages. The resulting situation is the predicament of disclosure for employees with invisible disabilities. OBJECTIVE: Employers can create a workplace culture that encourages disclosure by people with invisible disabilities by being clear about the competencies required for a job; giving as much information, in accessible formats, as possible in advance; and, in recruitment and selection processes, allowing opportunities for the individual to disclose. CONCLUSION: Many workplace accommodations for people with visible or invisible disabilities are actually about managing effectively rather than making exceptions: about having clear expectations, open communications and inclusive practices. (PsycINFO Database Record (c) 2017 APA, all rights reserved)","author":[{"dropping-particle":"","family":"Prince","given":"Michael J","non-dropping-particle":"","parse-names":false,"suffix":""}],"container-title":"Journal of Vocational Rehabilitation","editor":[{"dropping-particle":"","family":"Ballon Basner, Bishop, Bouton, Brisbois, Brune, Bulow, Charmaz, Charmaz, Chaudoir, Church, Clair, Colella, Crawford, Cote, Dalgini, Dalgini, Davis, Davis, Devlin, Dhanhani, Fesko, Fitzgerald, Fitzgerald, Fitzpatrick, Garcia, Gibson, Gignac, Ginsberg, Gof","given":"Barreto","non-dropping-particle":"","parse-names":false,"suffix":""}],"id":"ITEM-1","issue":"1","issued":{"date-parts":[["2017"]]},"page":"75-86","publisher":"IOS Press","publisher-place":"Prince, Michael J.: Faculty of Human and Social Development, University of Victoria, PO Box 1700 STN CSC, Victoria, BC, Canada, V8W 2Y2, mprince@uvic.ca","title":"Persons with invisible disabilities and workplace accommodation: Findings from a scoping literature review.","type":"article-journal","volume":"46"},"suppress-author":1,"uris":["http://www.mendeley.com/documents/?uuid=2936a9fe-c857-417f-b3c6-99c9080d196a"]}],"mendeley":{"formattedCitation":"(2017)","plainTextFormattedCitation":"(2017)","previouslyFormattedCitation":"(2017)"},"properties":{"noteIndex":0},"schema":"https://github.com/citation-style-language/schema/raw/master/csl-citation.json"}</w:instrText>
            </w:r>
            <w:r>
              <w:rPr>
                <w:sz w:val="20"/>
                <w:szCs w:val="20"/>
              </w:rPr>
              <w:fldChar w:fldCharType="separate"/>
            </w:r>
            <w:r w:rsidRPr="00CE34DF">
              <w:rPr>
                <w:b w:val="0"/>
                <w:bCs w:val="0"/>
                <w:noProof/>
                <w:sz w:val="20"/>
                <w:szCs w:val="20"/>
              </w:rPr>
              <w:t>(2017)</w:t>
            </w:r>
            <w:r>
              <w:rPr>
                <w:sz w:val="20"/>
                <w:szCs w:val="20"/>
              </w:rPr>
              <w:fldChar w:fldCharType="end"/>
            </w:r>
          </w:p>
        </w:tc>
        <w:tc>
          <w:tcPr>
            <w:tcW w:w="1327" w:type="dxa"/>
          </w:tcPr>
          <w:p w14:paraId="00C6E6AB" w14:textId="3C0C992E"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Scoping</w:t>
            </w:r>
          </w:p>
        </w:tc>
        <w:tc>
          <w:tcPr>
            <w:tcW w:w="1203" w:type="dxa"/>
          </w:tcPr>
          <w:p w14:paraId="698BD1A3" w14:textId="0C10D5A2"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1327" w:type="dxa"/>
          </w:tcPr>
          <w:p w14:paraId="33F637CD" w14:textId="1B7A7F06"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07C793C2" w14:textId="46BD3DD6"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Workplace accommodations; Other</w:t>
            </w:r>
          </w:p>
        </w:tc>
        <w:tc>
          <w:tcPr>
            <w:tcW w:w="2742" w:type="dxa"/>
          </w:tcPr>
          <w:p w14:paraId="0E7C3C9E" w14:textId="3E5718FA"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Employers can help encourage disclosure—a barrier to workplace accommodations—through being clear in communication, providing safe opportunities for disclosure and discussing </w:t>
            </w:r>
            <w:r>
              <w:rPr>
                <w:sz w:val="20"/>
                <w:szCs w:val="20"/>
              </w:rPr>
              <w:lastRenderedPageBreak/>
              <w:t>accommodations, and consulting HR or disability management experts.</w:t>
            </w:r>
          </w:p>
        </w:tc>
        <w:tc>
          <w:tcPr>
            <w:tcW w:w="2976" w:type="dxa"/>
          </w:tcPr>
          <w:p w14:paraId="2DAAE136" w14:textId="777777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4F2E2348" w14:textId="37A0C4CE"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03DE071A"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33E0413A" w14:textId="0F14840A"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Procknow </w:t>
            </w:r>
            <w:r>
              <w:rPr>
                <w:sz w:val="20"/>
                <w:szCs w:val="20"/>
              </w:rPr>
              <w:fldChar w:fldCharType="begin" w:fldLock="1"/>
            </w:r>
            <w:r>
              <w:rPr>
                <w:b w:val="0"/>
                <w:bCs w:val="0"/>
                <w:sz w:val="20"/>
                <w:szCs w:val="20"/>
              </w:rPr>
              <w:instrText>ADDIN CSL_CITATION {"citationItems":[{"id":"ITEM-1","itemData":{"DOI":"10.1177/1534484316671194","ISSN":"1534-4843","abstract":"This structured literature review explores disability issues in human resource development (HRD) to ascertain what research exists and suggest future research. This review identifies the work related to disability issues published in the Academy of Human Resource Development (AHRD) proceedings and the four journals. HRD scholarship, germane to our discussion of disability, has focused on organizational entry barriers, organizational post-entry barriers, career development (CD) and advancement, workplace training for disability inclusiveness, workplace training for disabled employees, and harassment, discrimination, and allegations of discharge-related discrimination. (PsycINFO Database Record (c) 2017 APA, all rights reserved)","author":[{"dropping-particle":"","family":"Procknow","given":"Greg","non-dropping-particle":"","parse-names":false,"suffix":""},{"dropping-particle":"","family":"Rocco","given":"Tonette S","non-dropping-particle":"","parse-names":false,"suffix":""}],"container-title":"Human Resource Development Review","editor":[{"dropping-particle":"","family":"Alfred Altman, Augustin, Bajawa, Bickenbach, Bierema, Boyle, Byrd, Byrd, Callahan, Charlton, Choi, Clardy, Claus, Collin, Collins, Collins, Davis, Devlin, Dotterer, Estes, Eversole, Fevre, Fornes, Fornes, Fornes, Fornes, Foster, Foucault, Freeburg, Gedro","given":"Aliaga","non-dropping-particle":"","parse-names":false,"suffix":""}],"id":"ITEM-1","issue":"4","issued":{"date-parts":[["2016"]]},"page":"379-403","publisher":"Sage Publications","publisher-place":"Procknow, Greg: Ontario Institute for Studies in Education, University of Toronto, 252 Bloor Street West, Toronto, ON, Canada, M5S 1V6","title":"The unheard, unseen, and often forgotten: An examination of disability in the human resource development literature.","type":"article-journal","volume":"15"},"suppress-author":1,"uris":["http://www.mendeley.com/documents/?uuid=5b4ff283-7c68-4cea-b566-4154bf9c4f17"]}],"mendeley":{"formattedCitation":"(2016)","plainTextFormattedCitation":"(2016)","previouslyFormattedCitation":"(2016)"},"properties":{"noteIndex":0},"schema":"https://github.com/citation-style-language/schema/raw/master/csl-citation.json"}</w:instrText>
            </w:r>
            <w:r>
              <w:rPr>
                <w:sz w:val="20"/>
                <w:szCs w:val="20"/>
              </w:rPr>
              <w:fldChar w:fldCharType="separate"/>
            </w:r>
            <w:r w:rsidRPr="009B0407">
              <w:rPr>
                <w:b w:val="0"/>
                <w:bCs w:val="0"/>
                <w:noProof/>
                <w:sz w:val="20"/>
                <w:szCs w:val="20"/>
              </w:rPr>
              <w:t>(2016)</w:t>
            </w:r>
            <w:r>
              <w:rPr>
                <w:sz w:val="20"/>
                <w:szCs w:val="20"/>
              </w:rPr>
              <w:fldChar w:fldCharType="end"/>
            </w:r>
          </w:p>
        </w:tc>
        <w:tc>
          <w:tcPr>
            <w:tcW w:w="1327" w:type="dxa"/>
          </w:tcPr>
          <w:p w14:paraId="3D332477" w14:textId="08D11A98"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Narrative</w:t>
            </w:r>
          </w:p>
        </w:tc>
        <w:tc>
          <w:tcPr>
            <w:tcW w:w="1203" w:type="dxa"/>
          </w:tcPr>
          <w:p w14:paraId="6E0AAD43" w14:textId="768F7EF8"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~32</w:t>
            </w:r>
          </w:p>
        </w:tc>
        <w:tc>
          <w:tcPr>
            <w:tcW w:w="1327" w:type="dxa"/>
          </w:tcPr>
          <w:p w14:paraId="2AA5E0D9" w14:textId="76276F5D"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Disability</w:t>
            </w:r>
          </w:p>
        </w:tc>
        <w:tc>
          <w:tcPr>
            <w:tcW w:w="1981" w:type="dxa"/>
          </w:tcPr>
          <w:p w14:paraId="38AFA1E6" w14:textId="4512E57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training and education; Job training and coaching, Policies involving recruitment, leave, and compensation; Role models and mentors</w:t>
            </w:r>
          </w:p>
        </w:tc>
        <w:tc>
          <w:tcPr>
            <w:tcW w:w="2742" w:type="dxa"/>
          </w:tcPr>
          <w:p w14:paraId="44E2CFD1" w14:textId="7BE6979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Disability (particularly mental and cognitive) is often left out of workplace diversity considerations. Training and development, career planning, and organizational re-entry through training programs can help improve skills, confidence and self-efficacy, and work satisfaction. Diversity training alone is unlikely to lead to sweeping organizational change.</w:t>
            </w:r>
          </w:p>
        </w:tc>
        <w:tc>
          <w:tcPr>
            <w:tcW w:w="2976" w:type="dxa"/>
          </w:tcPr>
          <w:p w14:paraId="6FC1D06F" w14:textId="77777777"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4C4B67E8" w14:textId="0F8EAE4F"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r>
      <w:tr w:rsidR="00B60456" w:rsidRPr="009811EA" w14:paraId="16F56E61"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42646A22" w14:textId="397C6D44"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Ruhindwa </w:t>
            </w:r>
            <w:r>
              <w:rPr>
                <w:sz w:val="20"/>
                <w:szCs w:val="20"/>
              </w:rPr>
              <w:fldChar w:fldCharType="begin" w:fldLock="1"/>
            </w:r>
            <w:r>
              <w:rPr>
                <w:b w:val="0"/>
                <w:bCs w:val="0"/>
                <w:sz w:val="20"/>
                <w:szCs w:val="20"/>
              </w:rPr>
              <w:instrText>ADDIN CSL_CITATION {"citationItems":[{"id":"ITEM-1","itemData":{"ISSN":"1836-8808","author":[{"dropping-particle":"","family":"Ruhindwa","given":"Amos","non-dropping-particle":"","parse-names":false,"suffix":""},{"dropping-particle":"","family":"Randall","given":"Christine","non-dropping-particle":"","parse-names":false,"suffix":""},{"dropping-particle":"","family":"Cartmel","given":"Jennifer","non-dropping-particle":"","parse-names":false,"suffix":""}],"container-title":"Journal of Social Inclusion","id":"ITEM-1","issue":"1","issued":{"date-parts":[["2016"]]},"page":"4-19","publisher":"School of Human Services and Social Work, Griffith University","title":"Exploring the challenges experienced by people with disabilities in the employment sector in Austra</w:instrText>
            </w:r>
            <w:r>
              <w:rPr>
                <w:rFonts w:hint="eastAsia"/>
                <w:b w:val="0"/>
                <w:bCs w:val="0"/>
                <w:sz w:val="20"/>
                <w:szCs w:val="20"/>
              </w:rPr>
              <w:instrText>lia: Advocating for inclusive practice</w:instrText>
            </w:r>
            <w:r>
              <w:rPr>
                <w:rFonts w:hint="eastAsia"/>
                <w:b w:val="0"/>
                <w:bCs w:val="0"/>
                <w:sz w:val="20"/>
                <w:szCs w:val="20"/>
              </w:rPr>
              <w:instrText>‐</w:instrText>
            </w:r>
            <w:r>
              <w:rPr>
                <w:rFonts w:hint="eastAsia"/>
                <w:b w:val="0"/>
                <w:bCs w:val="0"/>
                <w:sz w:val="20"/>
                <w:szCs w:val="20"/>
              </w:rPr>
              <w:instrText>a review of literature","type":"article-journal","volume":"7"},"suppress-author":1,"uris":["http://www.mendeley.com/documents/?uuid=a680f920-522b-43d4-96e6-7c9532916c52","http://www.mendeley.com/documents/?uuid=3cf69</w:instrText>
            </w:r>
            <w:r>
              <w:rPr>
                <w:b w:val="0"/>
                <w:bCs w:val="0"/>
                <w:sz w:val="20"/>
                <w:szCs w:val="20"/>
              </w:rPr>
              <w:instrText>8dc-d272-425c-b40f-9ed38c460e83"]}],"mendeley":{"formattedCitation":"(2016)","plainTextFormattedCitation":"(2016)","previouslyFormattedCitation":"(2016)"},"properties":{"noteIndex":0},"schema":"https://github.com/citation-style-language/schema/raw/master/csl-citation.json"}</w:instrText>
            </w:r>
            <w:r>
              <w:rPr>
                <w:sz w:val="20"/>
                <w:szCs w:val="20"/>
              </w:rPr>
              <w:fldChar w:fldCharType="separate"/>
            </w:r>
            <w:r w:rsidRPr="00076B51">
              <w:rPr>
                <w:b w:val="0"/>
                <w:bCs w:val="0"/>
                <w:noProof/>
                <w:sz w:val="20"/>
                <w:szCs w:val="20"/>
              </w:rPr>
              <w:t>(2016)</w:t>
            </w:r>
            <w:r>
              <w:rPr>
                <w:sz w:val="20"/>
                <w:szCs w:val="20"/>
              </w:rPr>
              <w:fldChar w:fldCharType="end"/>
            </w:r>
          </w:p>
        </w:tc>
        <w:tc>
          <w:tcPr>
            <w:tcW w:w="1327" w:type="dxa"/>
          </w:tcPr>
          <w:p w14:paraId="2148632F" w14:textId="26281AEB"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Narrative</w:t>
            </w:r>
          </w:p>
        </w:tc>
        <w:tc>
          <w:tcPr>
            <w:tcW w:w="1203" w:type="dxa"/>
          </w:tcPr>
          <w:p w14:paraId="7111CAD4" w14:textId="151D41F0"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t>
            </w:r>
          </w:p>
        </w:tc>
        <w:tc>
          <w:tcPr>
            <w:tcW w:w="1327" w:type="dxa"/>
          </w:tcPr>
          <w:p w14:paraId="529F0F2A" w14:textId="719CEFA8"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3B15AAAE" w14:textId="51F3D61B"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Audits, reviews, and assessments; Other</w:t>
            </w:r>
          </w:p>
        </w:tc>
        <w:tc>
          <w:tcPr>
            <w:tcW w:w="2742" w:type="dxa"/>
          </w:tcPr>
          <w:p w14:paraId="4941A8AE" w14:textId="17F60250"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Employers need to adopt proactive and planned approach with clearly defined policies for including the participation of people with disability. Employers are also recommended to carry out in-depth investigations to understand barriers to employing people with disability.</w:t>
            </w:r>
          </w:p>
        </w:tc>
        <w:tc>
          <w:tcPr>
            <w:tcW w:w="2976" w:type="dxa"/>
          </w:tcPr>
          <w:p w14:paraId="5C186B8E" w14:textId="777777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76F10262" w14:textId="796613F4"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42198512"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7082D3FA" w14:textId="4362D17A"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Schloemer-Jarvis </w:t>
            </w:r>
            <w:r>
              <w:rPr>
                <w:sz w:val="20"/>
                <w:szCs w:val="20"/>
              </w:rPr>
              <w:fldChar w:fldCharType="begin" w:fldLock="1"/>
            </w:r>
            <w:r>
              <w:rPr>
                <w:b w:val="0"/>
                <w:bCs w:val="0"/>
                <w:sz w:val="20"/>
                <w:szCs w:val="20"/>
              </w:rPr>
              <w:instrText>ADDIN CSL_CITATION {"citationItems":[{"id":"ITEM-1","itemData":{"DOI":"10.1080/09585192.2021.1996433","ISSN":"14664399","abstract":"Organizations are increasingly aware that a better vocational inclusion of persons with disabilities (PWD) is in their self-interest for reasons such as a shortage of skilled labor, an increasing prevalence of disability in their aging workforces, and changed societal attitudes and laws regarding the promotion of diversity and equity in the workplace. Human resource (HR) practices have been identified as a primary enabler of inclusion, yet research on disability-related HR Management is scattered across disciplines. To provide an evidence-based analysis and integration, this article systematically reviews the literature on HR management in the context of employing persons with disabilities, using the high-performance work practices ‘selection and staffing’, ‘training and development’, ‘(performance) appraisal, promotion, and career management’ and ‘compensation and benefits’ as an organizing framework. We systematically reviewed and summarized the key findings of 74 empirical studies conducted from 1990 through 2020. Most studies focused on selection and staffing practices, providing strong evidence that standardization and structure reduce bias in the appraisal of PWD and related employment decisions. Research regarding appropriate HR practices that allow to utilize, develop and reward PWDs’ potential, in contrast, is still in its infancy.","author":[{"dropping-particle":"","family":"Schloemer-Jarvis","given":"Aileen","non-dropping-particle":"","parse-names":false,"suffix":""},{"dropping-particle":"","family":"Bader","given":"Benjamin","non-dropping-particle":"","parse-names":false,"suffix":""},{"dropping-particle":"","family":"Böhm","given":"Stephan A.","non-dropping-particle":"","parse-names":false,"suffix":""}],"container-title":"International Journal of Human Resource Management","id":"ITEM-1","issue":"1","issued":{"date-parts":[["2022"]]},"page":"45-98","publisher":"Taylor &amp; Francis","title":"The role of human resource practices for including persons with disabilities in the workforce: A systematic literature review","type":"article-journal","volume":"33"},"suppress-author":1,"uris":["http://www.mendeley.com/documents/?uuid=9d0b5ab2-8cd4-4e01-aefb-77105227051c","http://www.mendeley.com/documents/?uuid=6d6a4d40-e168-49ff-9fb5-a4a6f7bd6325"]}],"mendeley":{"formattedCitation":"(2022)","plainTextFormattedCitation":"(2022)","previouslyFormattedCitation":"(2022)"},"properties":{"noteIndex":0},"schema":"https://github.com/citation-style-language/schema/raw/master/csl-citation.json"}</w:instrText>
            </w:r>
            <w:r>
              <w:rPr>
                <w:sz w:val="20"/>
                <w:szCs w:val="20"/>
              </w:rPr>
              <w:fldChar w:fldCharType="separate"/>
            </w:r>
            <w:r w:rsidRPr="00076B51">
              <w:rPr>
                <w:b w:val="0"/>
                <w:bCs w:val="0"/>
                <w:noProof/>
                <w:sz w:val="20"/>
                <w:szCs w:val="20"/>
              </w:rPr>
              <w:t>(2022)</w:t>
            </w:r>
            <w:r>
              <w:rPr>
                <w:sz w:val="20"/>
                <w:szCs w:val="20"/>
              </w:rPr>
              <w:fldChar w:fldCharType="end"/>
            </w:r>
          </w:p>
        </w:tc>
        <w:tc>
          <w:tcPr>
            <w:tcW w:w="1327" w:type="dxa"/>
          </w:tcPr>
          <w:p w14:paraId="660B1567" w14:textId="7CD2472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Systematic</w:t>
            </w:r>
          </w:p>
        </w:tc>
        <w:tc>
          <w:tcPr>
            <w:tcW w:w="1203" w:type="dxa"/>
          </w:tcPr>
          <w:p w14:paraId="52410CB9" w14:textId="4F15AAC0"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74</w:t>
            </w:r>
          </w:p>
        </w:tc>
        <w:tc>
          <w:tcPr>
            <w:tcW w:w="1327" w:type="dxa"/>
          </w:tcPr>
          <w:p w14:paraId="2491FC29" w14:textId="191A93D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Disability</w:t>
            </w:r>
          </w:p>
        </w:tc>
        <w:tc>
          <w:tcPr>
            <w:tcW w:w="1981" w:type="dxa"/>
          </w:tcPr>
          <w:p w14:paraId="0F837A67" w14:textId="5197E16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De-biasing of selection procedures; Diversity training and education, Job training and coaching; Policies involving recruitment, leave, and compensation</w:t>
            </w:r>
          </w:p>
        </w:tc>
        <w:tc>
          <w:tcPr>
            <w:tcW w:w="2742" w:type="dxa"/>
          </w:tcPr>
          <w:p w14:paraId="41FB7C29" w14:textId="61E13ECF"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High-performance work practices framework for inclusion of people with disability: (1) selection and staffing, (2) training and development, (3) appraisal, promotion, and management, and (4) compensation and benefits. Most research has focused on selection and </w:t>
            </w:r>
            <w:r>
              <w:rPr>
                <w:sz w:val="20"/>
                <w:szCs w:val="20"/>
              </w:rPr>
              <w:lastRenderedPageBreak/>
              <w:t>staffing, including evidence for standardization and de-biasing practices.</w:t>
            </w:r>
          </w:p>
        </w:tc>
        <w:tc>
          <w:tcPr>
            <w:tcW w:w="2976" w:type="dxa"/>
          </w:tcPr>
          <w:p w14:paraId="32942745" w14:textId="0A3B31A4"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National context (e.g., country-specific legal obligations, cultural practices and norms), format and content of disability inclusiveness training</w:t>
            </w:r>
          </w:p>
        </w:tc>
        <w:tc>
          <w:tcPr>
            <w:tcW w:w="1276" w:type="dxa"/>
          </w:tcPr>
          <w:p w14:paraId="67D71A51" w14:textId="2FE3006D"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4/9</w:t>
            </w:r>
          </w:p>
        </w:tc>
      </w:tr>
      <w:tr w:rsidR="00B60456" w:rsidRPr="009811EA" w14:paraId="0B831D28"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18A632A1" w14:textId="59ABD421"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Soderbacka </w:t>
            </w:r>
            <w:r>
              <w:rPr>
                <w:sz w:val="20"/>
                <w:szCs w:val="20"/>
              </w:rPr>
              <w:fldChar w:fldCharType="begin" w:fldLock="1"/>
            </w:r>
            <w:r>
              <w:rPr>
                <w:b w:val="0"/>
                <w:bCs w:val="0"/>
                <w:sz w:val="20"/>
                <w:szCs w:val="20"/>
              </w:rPr>
              <w:instrText>ADDIN CSL_CITATION {"citationItems":[{"id":"ITEM-1","itemData":{"ISSN":"1472-6963","author":[{"dropping-particle":"","family":"Söderbacka","given":"Tina","non-dropping-particle":"","parse-names":false,"suffix":""},{"dropping-particle":"","family":"Nyholm","given":"Linda","non-dropping-particle":"","parse-names":false,"suffix":""},{"dropping-particle":"","family":"Fagerström","given":"Lisbeth","non-dropping-particle":"","parse-names":false,"suffix":""}],"container-title":"BMC Health Services Research","id":"ITEM-1","issue":"1","issued":{"date-parts":[["2020"]]},"page":"1-9","publisher":"Springer","title":"Workplace interventions that support older employees’ health and work ability: A scoping review","type":"article-journal","volume":"20"},"suppress-author":1,"uris":["http://www.mendeley.com/documents/?uuid=ee4ff482-b290-42e8-91cb-a4287eecde88","http://www.mendeley.com/documents/?uuid=3ec41355-31ed-4732-97bf-3959f2bf052b"]}],"mendeley":{"formattedCitation":"(2020)","plainTextFormattedCitation":"(2020)","previouslyFormattedCitation":"(2020)"},"properties":{"noteIndex":0},"schema":"https://github.com/citation-style-language/schema/raw/master/csl-citation.json"}</w:instrText>
            </w:r>
            <w:r>
              <w:rPr>
                <w:sz w:val="20"/>
                <w:szCs w:val="20"/>
              </w:rPr>
              <w:fldChar w:fldCharType="separate"/>
            </w:r>
            <w:r w:rsidRPr="00076B51">
              <w:rPr>
                <w:b w:val="0"/>
                <w:bCs w:val="0"/>
                <w:noProof/>
                <w:sz w:val="20"/>
                <w:szCs w:val="20"/>
              </w:rPr>
              <w:t>(2020)</w:t>
            </w:r>
            <w:r>
              <w:rPr>
                <w:sz w:val="20"/>
                <w:szCs w:val="20"/>
              </w:rPr>
              <w:fldChar w:fldCharType="end"/>
            </w:r>
          </w:p>
        </w:tc>
        <w:tc>
          <w:tcPr>
            <w:tcW w:w="1327" w:type="dxa"/>
          </w:tcPr>
          <w:p w14:paraId="3AF10981" w14:textId="7D67B980"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Scoping</w:t>
            </w:r>
          </w:p>
        </w:tc>
        <w:tc>
          <w:tcPr>
            <w:tcW w:w="1203" w:type="dxa"/>
          </w:tcPr>
          <w:p w14:paraId="4C066A7C" w14:textId="4823A975"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w:t>
            </w:r>
          </w:p>
        </w:tc>
        <w:tc>
          <w:tcPr>
            <w:tcW w:w="1327" w:type="dxa"/>
          </w:tcPr>
          <w:p w14:paraId="2D3001F9" w14:textId="2515F6A3"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Age</w:t>
            </w:r>
          </w:p>
        </w:tc>
        <w:tc>
          <w:tcPr>
            <w:tcW w:w="1981" w:type="dxa"/>
          </w:tcPr>
          <w:p w14:paraId="25C868A7" w14:textId="6B92E55C"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Health promotion activities; Workplace accommodations</w:t>
            </w:r>
          </w:p>
        </w:tc>
        <w:tc>
          <w:tcPr>
            <w:tcW w:w="2742" w:type="dxa"/>
          </w:tcPr>
          <w:p w14:paraId="1463952E" w14:textId="5CA817CF"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Health checks and counselling, interventions based on screenings, and improvements in work environment were three main intervention categories. Workplaces that focus on older employees’ health can encourage longer working careers.</w:t>
            </w:r>
          </w:p>
        </w:tc>
        <w:tc>
          <w:tcPr>
            <w:tcW w:w="2976" w:type="dxa"/>
          </w:tcPr>
          <w:p w14:paraId="13C865BB" w14:textId="7777777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4B5EB644" w14:textId="78B35B74"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r>
      <w:tr w:rsidR="00B60456" w:rsidRPr="009811EA" w14:paraId="26F48E8C"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7C91BF45" w14:textId="030E2D09"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Sundar </w:t>
            </w:r>
            <w:r>
              <w:rPr>
                <w:sz w:val="20"/>
                <w:szCs w:val="20"/>
              </w:rPr>
              <w:fldChar w:fldCharType="begin" w:fldLock="1"/>
            </w:r>
            <w:r>
              <w:rPr>
                <w:b w:val="0"/>
                <w:bCs w:val="0"/>
                <w:sz w:val="20"/>
                <w:szCs w:val="20"/>
              </w:rPr>
              <w:instrText>ADDIN CSL_CITATION {"citationItems":[{"id":"ITEM-1","itemData":{"ISSN":"10519815","abstract":"BACKGROUND: The provision of workplace accommodations is a proven strategy in supporting individuals with disabilities at work. Accommodations include a wide range of supports and strategies that are not very well defined beyond the Americans with Disabilities Act in the United States. Understanding the landscape of accommodations is important to measure the impact of programs that support employment of individuals with disabilities. OBJECTIVE: To conduct a scoping review and thematic analysis of research literature to identify how workplace accommodations are operationalized and to identify knowledge gaps in its conceptualization. METHODS: Keywords searches were conducted in seven electronic databases. Title, abstract, and full text screening was conducted followed by a thematic analysis of the content to identify how workplace accommodations are operationalized. RESULTS: Overall, 47 studies were selected for review. 433 different types of accommodations were identified, of which assistive technology and specialized equipment represented the most frequently reported type of accommodation (40%). A very small percentage of studies included policy changes (9%) and human assistance (5%) as an accommodation strategy. CONCLUSIONS: This scoping review aims to clarify how accommodations are operationalized in the research literature. Key knowledge gaps identified include the systematic exclusion of certain types of supports or disability types. [ABSTRACT FROM AUTHOR]","author":[{"dropping-particle":"","family":"Sundar","given":"Vidya","non-dropping-particle":"","parse-names":false,"suffix":""}],"container-title":"Work","id":"ITEM-1","issue":"1","issued":{"date-parts":[["2017","1"]]},"note":"Accession Number: 121220364; Sundar, Vidya 1; Email Address: vidya.sundar@unh.edu; Affiliations: 1: OTR/L Occupational Therapy Department, University of New Hampshire, 4 Library Way, Durham, NH-03824, USA; Issue Info: 2017, Vol. 56 Issue 1, p135; Thesaurus Term: Databases; Thesaurus Term: Employment of people with disabilities; Thesaurus Term: Legislation; Thesaurus Term: Work environment; Thesaurus Term: Supported employment; Subject Term: CINAHL (Information retrieval system); Subject Term: MEDLINE; Subject Term: Self-help devices for people with disabilities; Subject Term: Literature reviews; Subject Term: Thematic analysis; Subject Term: Americans with Disabilities Act of 1990; Subject: United States; Author-Supplied Keyword: ADA; Author-Supplied Keyword: disability; Author-Supplied Keyword: employment; Author-Supplied Keyword: Job accommodations; Author-Supplied Keyword: work; Author-Supplied Keyword: work adjustment; Number of Pages: 21p; Illustrations: 1 Diagram, 6 Charts; Document Type: Article","page":"135-155","publisher":"IOS Press","title":"Operationalizing workplace accommodations for individuals with disabilities: A scoping review.","type":"article-journal","volume":"56"},"suppress-author":1,"uris":["http://www.mendeley.com/documents/?uuid=421eb264-28bf-471e-a59e-f481b65c75a1"]}],"mendeley":{"formattedCitation":"(2017)","plainTextFormattedCitation":"(2017)","previouslyFormattedCitation":"(2017)"},"properties":{"noteIndex":0},"schema":"https://github.com/citation-style-language/schema/raw/master/csl-citation.json"}</w:instrText>
            </w:r>
            <w:r>
              <w:rPr>
                <w:sz w:val="20"/>
                <w:szCs w:val="20"/>
              </w:rPr>
              <w:fldChar w:fldCharType="separate"/>
            </w:r>
            <w:r w:rsidRPr="001F4D9F">
              <w:rPr>
                <w:b w:val="0"/>
                <w:bCs w:val="0"/>
                <w:noProof/>
                <w:sz w:val="20"/>
                <w:szCs w:val="20"/>
              </w:rPr>
              <w:t>(2017)</w:t>
            </w:r>
            <w:r>
              <w:rPr>
                <w:sz w:val="20"/>
                <w:szCs w:val="20"/>
              </w:rPr>
              <w:fldChar w:fldCharType="end"/>
            </w:r>
          </w:p>
        </w:tc>
        <w:tc>
          <w:tcPr>
            <w:tcW w:w="1327" w:type="dxa"/>
          </w:tcPr>
          <w:p w14:paraId="7E63A536" w14:textId="384C56E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Scoping</w:t>
            </w:r>
          </w:p>
        </w:tc>
        <w:tc>
          <w:tcPr>
            <w:tcW w:w="1203" w:type="dxa"/>
          </w:tcPr>
          <w:p w14:paraId="4FC5FF3A" w14:textId="7435BA68"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47</w:t>
            </w:r>
          </w:p>
        </w:tc>
        <w:tc>
          <w:tcPr>
            <w:tcW w:w="1327" w:type="dxa"/>
          </w:tcPr>
          <w:p w14:paraId="79DD4296" w14:textId="2436ABA6"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Disability</w:t>
            </w:r>
          </w:p>
        </w:tc>
        <w:tc>
          <w:tcPr>
            <w:tcW w:w="1981" w:type="dxa"/>
          </w:tcPr>
          <w:p w14:paraId="385071A0" w14:textId="62D19C88"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Workplace accommodations</w:t>
            </w:r>
          </w:p>
        </w:tc>
        <w:tc>
          <w:tcPr>
            <w:tcW w:w="2742" w:type="dxa"/>
          </w:tcPr>
          <w:p w14:paraId="0123C7CB" w14:textId="19336DB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Workplace accommodations consisted of assistive technology and equipment, changes in work environment, modified job duties, workplace policies, and human assistance. Most were for physical disabilities, and there was less consideration of informal supports provided by staff and supervisors.</w:t>
            </w:r>
          </w:p>
        </w:tc>
        <w:tc>
          <w:tcPr>
            <w:tcW w:w="2976" w:type="dxa"/>
          </w:tcPr>
          <w:p w14:paraId="5DE965EA" w14:textId="77777777"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54B460DB" w14:textId="09F382B1"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r>
      <w:tr w:rsidR="00B60456" w:rsidRPr="009811EA" w14:paraId="29F7C86B" w14:textId="77777777" w:rsidTr="007308A3">
        <w:tc>
          <w:tcPr>
            <w:cnfStyle w:val="001000000000" w:firstRow="0" w:lastRow="0" w:firstColumn="1" w:lastColumn="0" w:oddVBand="0" w:evenVBand="0" w:oddHBand="0" w:evenHBand="0" w:firstRowFirstColumn="0" w:firstRowLastColumn="0" w:lastRowFirstColumn="0" w:lastRowLastColumn="0"/>
            <w:tcW w:w="1485" w:type="dxa"/>
          </w:tcPr>
          <w:p w14:paraId="10698A80" w14:textId="2C24AC4A"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Webster </w:t>
            </w:r>
            <w:r>
              <w:rPr>
                <w:sz w:val="20"/>
                <w:szCs w:val="20"/>
              </w:rPr>
              <w:fldChar w:fldCharType="begin" w:fldLock="1"/>
            </w:r>
            <w:r>
              <w:rPr>
                <w:b w:val="0"/>
                <w:bCs w:val="0"/>
                <w:sz w:val="20"/>
                <w:szCs w:val="20"/>
              </w:rPr>
              <w:instrText>ADDIN CSL_CITATION {"citationItems":[{"id":"ITEM-1","itemData":{"DOI":"10.1002/hrm.21873","ISSN":"0090-4848","abstract":"The past decade has witnessed a rise in the visibility of the lesbian, gay, bisexual, and transgender (LGBT) community. This has resulted in some organizational researchers focusing their attention on workplace issues facing LGBT employees. While empirical research has been appropriately focused on examining the impact of workplace factors on the work lives of LGBT individuals, no research has examined these empirical relationships cumulatively. The purpose of this study was to conduct a comprehensive review and meta-analysis of the outcomes associated with three workplace contextual supports (formal LGBT policies and practices, LGBT-supportive climate, and supportive workplace relationships) and to compare the relative influence of these workplace supports on outcomes. Outcomes were grouped into four categories: (a) work attitudes, (b) psychological strain, (c) disclosure, and (d) perceived discrimination. Results show that supportive workplace relationships were more strongly related to work attitudes and strain, whereas LGBT supportive climate was more strongly related to disclosure and perceived discrimination compared to the other supports. Our findings also revealed a number of insights concerning the measurement, research design, and sample characteristics of the studies in the present review. Based on these results, we offer an agenda for future research. (PsycINFO Database Record (c) 2018 APA, all rights reserved)","author":[{"dropping-particle":"","family":"Webster","given":"Jennica R","non-dropping-particle":"","parse-names":false,"suffix":""},{"dropping-particle":"","family":"Adams","given":"Gary A","non-dropping-particle":"","parse-names":false,"suffix":""},{"dropping-particle":"","family":"Maranto","given":"Cheryl L","non-dropping-particle":"","parse-names":false,"suffix":""},{"dropping-particle":"","family":"Sawyer","given":"Katina","non-dropping-particle":"","parse-names":false,"suffix":""},{"dropping-particle":"","family":"Thoroughgood","given":"Christian","non-dropping-particle":"","parse-names":false,"suffix":""}],"container-title":"Human Resource Management","editor":[{"dropping-particle":"","family":"Allan Anderson, Androsiglio, Armstrong, Badgett, Balzer, Barak, Baruch-Feldman, Becker, Beehr, Bennett, Blau, Bowen, Boyles, Brackmann, Brenner, Brewster, Brooks, Budescu, Butler, Button, Button, Cameron, Cammann, Caplan, Carr, Chrobot-Mason, Clair, Cobb,","given":"Allen","non-dropping-particle":"","parse-names":false,"suffix":""}],"id":"ITEM-1","issue":"1","issued":{"date-parts":[["2018"]]},"page":"193-210","publisher":"John Wiley &amp; Sons","publisher-place":"Webster, Jennica R.: Marquette University, P.O. Box 1881, Milwaukee, WI, US, 53201, jennica.webster@marquette.edu","title":"Workplace contextual supports for LGBT employees: A review, meta-analysis, and agenda for future research.","type":"article-journal","volume":"57"},"suppress-author":1,"uris":["http://www.mendeley.com/documents/?uuid=3e591095-f07e-4cb6-a3ae-dd57ae567e61"]}],"mendeley":{"formattedCitation":"(2018)","plainTextFormattedCitation":"(2018)","previouslyFormattedCitation":"(2018)"},"properties":{"noteIndex":0},"schema":"https://github.com/citation-style-language/schema/raw/master/csl-citation.json"}</w:instrText>
            </w:r>
            <w:r>
              <w:rPr>
                <w:sz w:val="20"/>
                <w:szCs w:val="20"/>
              </w:rPr>
              <w:fldChar w:fldCharType="separate"/>
            </w:r>
            <w:r w:rsidRPr="00D80957">
              <w:rPr>
                <w:b w:val="0"/>
                <w:bCs w:val="0"/>
                <w:noProof/>
                <w:sz w:val="20"/>
                <w:szCs w:val="20"/>
              </w:rPr>
              <w:t>(2018)</w:t>
            </w:r>
            <w:r>
              <w:rPr>
                <w:sz w:val="20"/>
                <w:szCs w:val="20"/>
              </w:rPr>
              <w:fldChar w:fldCharType="end"/>
            </w:r>
          </w:p>
        </w:tc>
        <w:tc>
          <w:tcPr>
            <w:tcW w:w="1327" w:type="dxa"/>
          </w:tcPr>
          <w:p w14:paraId="3BF30267" w14:textId="49019DCB"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Meta-analysis</w:t>
            </w:r>
          </w:p>
        </w:tc>
        <w:tc>
          <w:tcPr>
            <w:tcW w:w="1203" w:type="dxa"/>
          </w:tcPr>
          <w:p w14:paraId="74B00235" w14:textId="38D3A860"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27</w:t>
            </w:r>
          </w:p>
        </w:tc>
        <w:tc>
          <w:tcPr>
            <w:tcW w:w="1327" w:type="dxa"/>
          </w:tcPr>
          <w:p w14:paraId="1F518E76" w14:textId="773D472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Sexuality</w:t>
            </w:r>
          </w:p>
        </w:tc>
        <w:tc>
          <w:tcPr>
            <w:tcW w:w="1981" w:type="dxa"/>
          </w:tcPr>
          <w:p w14:paraId="16D30B3A" w14:textId="1C6EC0BA"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Informal workplace supports; Other</w:t>
            </w:r>
          </w:p>
        </w:tc>
        <w:tc>
          <w:tcPr>
            <w:tcW w:w="2742" w:type="dxa"/>
          </w:tcPr>
          <w:p w14:paraId="3962790D" w14:textId="7679BCBE"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Formal policies and practices were weak predictor of outcomes including work attitudes, psychological strain, disclosure, and discrimination. Supportive working relationships were stronger predictor of work attitudes and wellbeing. </w:t>
            </w:r>
          </w:p>
        </w:tc>
        <w:tc>
          <w:tcPr>
            <w:tcW w:w="2976" w:type="dxa"/>
          </w:tcPr>
          <w:p w14:paraId="0030D95A" w14:textId="7777777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11CABE6B" w14:textId="5DF7A2E3"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6/11</w:t>
            </w:r>
          </w:p>
        </w:tc>
      </w:tr>
      <w:tr w:rsidR="00B60456" w:rsidRPr="009811EA" w14:paraId="44FAB4A1"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Pr>
          <w:p w14:paraId="72AC9934" w14:textId="68C4B756"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Wilson </w:t>
            </w:r>
            <w:r>
              <w:rPr>
                <w:sz w:val="20"/>
                <w:szCs w:val="20"/>
              </w:rPr>
              <w:fldChar w:fldCharType="begin" w:fldLock="1"/>
            </w:r>
            <w:r>
              <w:rPr>
                <w:rFonts w:hint="eastAsia"/>
                <w:b w:val="0"/>
                <w:bCs w:val="0"/>
                <w:sz w:val="20"/>
                <w:szCs w:val="20"/>
              </w:rPr>
              <w:instrText>ADDIN CSL_CITATION {"citationItems":[{"id":"ITEM-1","itemData":{"ISSN":"1748-3735","author":[{"dropping-particle":"","family":"Wilson","given":"Donna M","non-dropping-particle":"","parse-names":false,"suffix":""},{"dropping-particle":"","family":"Errasti</w:instrText>
            </w:r>
            <w:r>
              <w:rPr>
                <w:rFonts w:hint="eastAsia"/>
                <w:b w:val="0"/>
                <w:bCs w:val="0"/>
                <w:sz w:val="20"/>
                <w:szCs w:val="20"/>
              </w:rPr>
              <w:instrText>‐</w:instrText>
            </w:r>
            <w:r>
              <w:rPr>
                <w:b w:val="0"/>
                <w:bCs w:val="0"/>
                <w:sz w:val="20"/>
                <w:szCs w:val="20"/>
              </w:rPr>
              <w:instrText>Ibarrondo","given":"Begoña","non-dropping-particle":"","parse-names":false,"suffix":""},{"dropping-particle":"","family":"Low","given":"Gail","non-dropping-particle":"","parse-names":false,"suffix":""},{"dropping-particle":"","family":"O'Reilly","given":"Pauline","non-dropping-particle":"","parse-names":false,"suffix":""},{"dropping-particle":"","family":"Murphy","given":"Fiona","non-dropping-particle":"","parse-names":false,"suffix":""},{"dropping-particle":"","family":"Fahy","given":"Anne","non-dropping-particle":"","parse-names":false,"suffix":""},{"dropping-particle":"","family":"Murphy","given":"Jill","non-dropping-particle":"","parse-names":false,"suffix":""}],"container-title":"International journal of older people nursing","id":"ITEM-1","issue":"3","issued":{"date-parts":[["2020"]]},"page":"e12313","publisher":"Wiley Online Library","title":"Identifying contemporary early retirement factors and strategies to encourage and enable longer working lives: A scoping review","type":"article-journal","volume":"15"},"suppress-author":1,"uris":["http://www.mendeley.com/documents/?uuid=a281411d-f443-4eea-a902-992464087b84","http://www.mendeley.com/documents/?uuid=17b96b27-9659-4ecd-98d2-56ee25842d0a"]}],"mendeley":{"formattedCitation":"(2020)","plainTextFormattedCitation":"(2020)","previouslyFormattedCitation":"(2020)"},"properties":{"noteIndex":0},"schema":"https://github.com/citation-style-language/schema/raw/master/csl-citation.json"}</w:instrText>
            </w:r>
            <w:r>
              <w:rPr>
                <w:sz w:val="20"/>
                <w:szCs w:val="20"/>
              </w:rPr>
              <w:fldChar w:fldCharType="separate"/>
            </w:r>
            <w:r w:rsidRPr="00076B51">
              <w:rPr>
                <w:b w:val="0"/>
                <w:bCs w:val="0"/>
                <w:noProof/>
                <w:sz w:val="20"/>
                <w:szCs w:val="20"/>
              </w:rPr>
              <w:t>(2020)</w:t>
            </w:r>
            <w:r>
              <w:rPr>
                <w:sz w:val="20"/>
                <w:szCs w:val="20"/>
              </w:rPr>
              <w:fldChar w:fldCharType="end"/>
            </w:r>
          </w:p>
        </w:tc>
        <w:tc>
          <w:tcPr>
            <w:tcW w:w="1327" w:type="dxa"/>
          </w:tcPr>
          <w:p w14:paraId="627E64F6" w14:textId="7128F5B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Scoping</w:t>
            </w:r>
          </w:p>
        </w:tc>
        <w:tc>
          <w:tcPr>
            <w:tcW w:w="1203" w:type="dxa"/>
          </w:tcPr>
          <w:p w14:paraId="25F421FC" w14:textId="31C4B550"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54</w:t>
            </w:r>
          </w:p>
        </w:tc>
        <w:tc>
          <w:tcPr>
            <w:tcW w:w="1327" w:type="dxa"/>
          </w:tcPr>
          <w:p w14:paraId="21C89A9D" w14:textId="6DA46A9D"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Age</w:t>
            </w:r>
          </w:p>
        </w:tc>
        <w:tc>
          <w:tcPr>
            <w:tcW w:w="1981" w:type="dxa"/>
          </w:tcPr>
          <w:p w14:paraId="27E03940" w14:textId="4D3DE118"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Health promotion activities; Policies involving recruitment, leave, </w:t>
            </w:r>
            <w:r>
              <w:rPr>
                <w:sz w:val="20"/>
                <w:szCs w:val="20"/>
              </w:rPr>
              <w:lastRenderedPageBreak/>
              <w:t>and compensation; Workplace accommodations; Other</w:t>
            </w:r>
          </w:p>
        </w:tc>
        <w:tc>
          <w:tcPr>
            <w:tcW w:w="2742" w:type="dxa"/>
          </w:tcPr>
          <w:p w14:paraId="60011946" w14:textId="1BF8F3A1"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lastRenderedPageBreak/>
              <w:t xml:space="preserve">Evidence base for interventions for early retirement prevention was limited, with six solutions </w:t>
            </w:r>
            <w:r>
              <w:rPr>
                <w:sz w:val="20"/>
                <w:szCs w:val="20"/>
              </w:rPr>
              <w:lastRenderedPageBreak/>
              <w:t>identified (none proven effective): occupational health programs, workplace enhancements, work adjustments, addressing ageism, changing social norms, and pension changes.</w:t>
            </w:r>
          </w:p>
        </w:tc>
        <w:tc>
          <w:tcPr>
            <w:tcW w:w="2976" w:type="dxa"/>
          </w:tcPr>
          <w:p w14:paraId="73A541E6" w14:textId="77777777"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Pr>
          <w:p w14:paraId="25338825" w14:textId="6D0F00F9"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r>
      <w:tr w:rsidR="00B60456" w:rsidRPr="009811EA" w14:paraId="3773671C" w14:textId="77777777" w:rsidTr="007308A3">
        <w:trPr>
          <w:trHeight w:val="1879"/>
        </w:trPr>
        <w:tc>
          <w:tcPr>
            <w:cnfStyle w:val="001000000000" w:firstRow="0" w:lastRow="0" w:firstColumn="1" w:lastColumn="0" w:oddVBand="0" w:evenVBand="0" w:oddHBand="0" w:evenHBand="0" w:firstRowFirstColumn="0" w:firstRowLastColumn="0" w:lastRowFirstColumn="0" w:lastRowLastColumn="0"/>
            <w:tcW w:w="1485" w:type="dxa"/>
          </w:tcPr>
          <w:p w14:paraId="68123260" w14:textId="7A6DDCC6"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Wong </w:t>
            </w:r>
            <w:r>
              <w:rPr>
                <w:sz w:val="20"/>
                <w:szCs w:val="20"/>
              </w:rPr>
              <w:fldChar w:fldCharType="begin" w:fldLock="1"/>
            </w:r>
            <w:r>
              <w:rPr>
                <w:b w:val="0"/>
                <w:bCs w:val="0"/>
                <w:sz w:val="20"/>
                <w:szCs w:val="20"/>
              </w:rPr>
              <w:instrText>ADDIN CSL_CITATION {"citationItems":[{"id":"ITEM-1","itemData":{"DOI":"10.1007/s10926-020-09954-3","ISSN":"1573-3688","author":[{"dropping-particle":"","family":"Wong","given":"Jasin","non-dropping-particle":"","parse-names":false,"suffix":""},{"dropping-particle":"","family":"Kallish","given":"Natasha","non-dropping-particle":"","parse-names":false,"suffix":""},{"dropping-particle":"","family":"Crown","given":"Deborah","non-dropping-particle":"","parse-names":false,"suffix":""},{"dropping-particle":"","family":"Capraro","given":"Pamela","non-dropping-particle":"","parse-names":false,"suffix":""},{"dropping-particle":"","family":"Trierweiler","given":"Robert","non-dropping-particle":"","parse-names":false,"suffix":""},{"dropping-particle":"","family":"Wafford","given":"Q Eileen","non-dropping-particle":"","parse-names":false,"suffix":""},{"dropping-particle":"","family":"Tiema","given":"Laurine","non-dropping-particle":"","parse-names":false,"suffix":""},{"dropping-particle":"","family":"Shahzeb","given":"Benson","non-dropping-particle":"","parse-names":false,"suffix":""},{"dropping-particle":"","family":"Edeth","given":"Hassan","non-dropping-particle":"","parse-names":false,"suffix":""},{"dropping-particle":"","family":"Christina","given":"Engel","non-dropping-particle":"","parse-names":false,"suffix":""},{"dropping-particle":"","family":"Allen","given":"Tamayo","non-dropping-particle":"","parse-names":false,"suffix":""}],"container-title":"Journal of Occupational Rehabilitation","id":"ITEM-1","issue":"3","issued":{"date-parts":[["2021"]]},"page":"474-490","publisher":"Springer US","title":"Job accommodations, return to work, and job retention of people with physical disabilities: A systematic review","type":"article-journal","volume":"31"},"suppress-author":1,"uris":["http://www.mendeley.com/documents/?uuid=e91b3a7d-50e5-48e7-a5e7-5831351cfbff","http://www.mendeley.com/documents/?uuid=b5321dbc-64fa-4a73-b4fc-6625b1064a8e"]}],"mendeley":{"formattedCitation":"(2021)","plainTextFormattedCitation":"(2021)","previouslyFormattedCitation":"(2021)"},"properties":{"noteIndex":0},"schema":"https://github.com/citation-style-language/schema/raw/master/csl-citation.json"}</w:instrText>
            </w:r>
            <w:r>
              <w:rPr>
                <w:sz w:val="20"/>
                <w:szCs w:val="20"/>
              </w:rPr>
              <w:fldChar w:fldCharType="separate"/>
            </w:r>
            <w:r w:rsidRPr="00076B51">
              <w:rPr>
                <w:b w:val="0"/>
                <w:bCs w:val="0"/>
                <w:noProof/>
                <w:sz w:val="20"/>
                <w:szCs w:val="20"/>
              </w:rPr>
              <w:t>(2021)</w:t>
            </w:r>
            <w:r>
              <w:rPr>
                <w:sz w:val="20"/>
                <w:szCs w:val="20"/>
              </w:rPr>
              <w:fldChar w:fldCharType="end"/>
            </w:r>
          </w:p>
        </w:tc>
        <w:tc>
          <w:tcPr>
            <w:tcW w:w="1327" w:type="dxa"/>
          </w:tcPr>
          <w:p w14:paraId="1D2388F5" w14:textId="2859DEEF"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Systematic</w:t>
            </w:r>
          </w:p>
        </w:tc>
        <w:tc>
          <w:tcPr>
            <w:tcW w:w="1203" w:type="dxa"/>
          </w:tcPr>
          <w:p w14:paraId="7749F10C" w14:textId="0B560057"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52</w:t>
            </w:r>
          </w:p>
        </w:tc>
        <w:tc>
          <w:tcPr>
            <w:tcW w:w="1327" w:type="dxa"/>
          </w:tcPr>
          <w:p w14:paraId="6AB15597" w14:textId="6F50DC55"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Disability</w:t>
            </w:r>
          </w:p>
        </w:tc>
        <w:tc>
          <w:tcPr>
            <w:tcW w:w="1981" w:type="dxa"/>
          </w:tcPr>
          <w:p w14:paraId="302D61FD" w14:textId="064315CA"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Workplace accommodations</w:t>
            </w:r>
          </w:p>
        </w:tc>
        <w:tc>
          <w:tcPr>
            <w:tcW w:w="2742" w:type="dxa"/>
          </w:tcPr>
          <w:p w14:paraId="58150279" w14:textId="29BCC0A1"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Most common accommodations were modified job duties, changes in workplace policies, supportive staff, flexible work, and assistive technology. Most common outcomes were job acquisition, retention, and performance. Evidence was weak due to lack of experimental designs.</w:t>
            </w:r>
          </w:p>
        </w:tc>
        <w:tc>
          <w:tcPr>
            <w:tcW w:w="2976" w:type="dxa"/>
          </w:tcPr>
          <w:p w14:paraId="503D1159" w14:textId="77777777" w:rsidR="00B60456"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p>
        </w:tc>
        <w:tc>
          <w:tcPr>
            <w:tcW w:w="1276" w:type="dxa"/>
          </w:tcPr>
          <w:p w14:paraId="390CB473" w14:textId="25DDFCEF" w:rsidR="00B60456" w:rsidRPr="009811EA" w:rsidRDefault="00B60456" w:rsidP="00B60456">
            <w:pPr>
              <w:pStyle w:val="TableFigure"/>
              <w:spacing w:before="120" w:after="120"/>
              <w:contextualSpacing w:val="0"/>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8/9</w:t>
            </w:r>
          </w:p>
        </w:tc>
      </w:tr>
      <w:tr w:rsidR="00B60456" w:rsidRPr="009811EA" w14:paraId="32D6E06B" w14:textId="77777777" w:rsidTr="007308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5" w:type="dxa"/>
            <w:tcBorders>
              <w:bottom w:val="single" w:sz="4" w:space="0" w:color="auto"/>
            </w:tcBorders>
          </w:tcPr>
          <w:p w14:paraId="6899AD8A" w14:textId="27807B61" w:rsidR="00B60456" w:rsidRPr="00CD2CAD" w:rsidRDefault="00B60456" w:rsidP="00B60456">
            <w:pPr>
              <w:pStyle w:val="TableFigure"/>
              <w:spacing w:before="120" w:after="120"/>
              <w:contextualSpacing w:val="0"/>
              <w:rPr>
                <w:b w:val="0"/>
                <w:bCs w:val="0"/>
                <w:sz w:val="20"/>
                <w:szCs w:val="20"/>
              </w:rPr>
            </w:pPr>
            <w:r>
              <w:rPr>
                <w:b w:val="0"/>
                <w:bCs w:val="0"/>
                <w:sz w:val="20"/>
                <w:szCs w:val="20"/>
              </w:rPr>
              <w:t xml:space="preserve">Yang </w:t>
            </w:r>
            <w:r>
              <w:rPr>
                <w:sz w:val="20"/>
                <w:szCs w:val="20"/>
              </w:rPr>
              <w:fldChar w:fldCharType="begin" w:fldLock="1"/>
            </w:r>
            <w:r>
              <w:rPr>
                <w:b w:val="0"/>
                <w:bCs w:val="0"/>
                <w:sz w:val="20"/>
                <w:szCs w:val="20"/>
              </w:rPr>
              <w:instrText>ADDIN CSL_CITATION {"citationItems":[{"id":"ITEM-1","itemData":{"ISSN":"10596011","abstract":"Diversity management practices consist of the set of formalized practices developed and implemented by organizations to manage diversity effectively among all organizational stakeholders. We review the extant literature on antecedents and outcomes of diversity management practices. Applying institutional and resource-based theories, we develop a research model outlining several possible avenues for future research. We also identify ways that research on diversity management practices has the potential to advance the two theoretical perspectives. [ABSTRACT FROM AUTHOR]","author":[{"dropping-particle":"","family":"Yang","given":"Yang","non-dropping-particle":"","parse-names":false,"suffix":""},{"dropping-particle":"","family":"Konrad","given":"Alison M","non-dropping-particle":"","parse-names":false,"suffix":""}],"container-title":"Group &amp; Organization Management","id":"ITEM-1","issue":"1","issued":{"date-parts":[["2011","2"]]},"note":"Accession Number: 57543527; Yang Yang 1; Email Address: yang14@wharton.upenn.edu; Konrad, Alison M. 2; Affiliations: 1: University of Pennsylvania, Philadelphia; 2: University of Western Ontario, London, Canada; Issue Info: Feb2011, Vol. 36 Issue 1, p6; Thesaurus Term: Diversity in the workplace; Thesaurus Term: Resource-based theory of the firm; Thesaurus Term: Industrial management; Thesaurus Term: Economic competition; Thesaurus Term: Capitalists &amp;amp; financiers; Subject Term: Institutional theory (Sociology); Author-Supplied Keyword: diversity management; Author-Supplied Keyword: diversity management practices; Author-Supplied Keyword: institutional theory; Author-Supplied Keyword: resource based theory; Author-Supplied Keyword: workplace diversity; Number of Pages: 33p; Document Type: Article; Full Text Word Count: 11874","page":"6-38","title":"Understanding diversity management practices: Implications of institutional theory and resource-based theory.","type":"article-journal","volume":"36"},"suppress-author":1,"uris":["http://www.mendeley.com/documents/?uuid=d74620ac-8c3a-4143-9ab5-52bcf92a8ab3"]}],"mendeley":{"formattedCitation":"(2011)","plainTextFormattedCitation":"(2011)","previouslyFormattedCitation":"(2011)"},"properties":{"noteIndex":0},"schema":"https://github.com/citation-style-language/schema/raw/master/csl-citation.json"}</w:instrText>
            </w:r>
            <w:r>
              <w:rPr>
                <w:sz w:val="20"/>
                <w:szCs w:val="20"/>
              </w:rPr>
              <w:fldChar w:fldCharType="separate"/>
            </w:r>
            <w:r w:rsidRPr="00A20233">
              <w:rPr>
                <w:b w:val="0"/>
                <w:bCs w:val="0"/>
                <w:noProof/>
                <w:sz w:val="20"/>
                <w:szCs w:val="20"/>
              </w:rPr>
              <w:t>(2011)</w:t>
            </w:r>
            <w:r>
              <w:rPr>
                <w:sz w:val="20"/>
                <w:szCs w:val="20"/>
              </w:rPr>
              <w:fldChar w:fldCharType="end"/>
            </w:r>
          </w:p>
        </w:tc>
        <w:tc>
          <w:tcPr>
            <w:tcW w:w="1327" w:type="dxa"/>
            <w:tcBorders>
              <w:bottom w:val="single" w:sz="4" w:space="0" w:color="auto"/>
            </w:tcBorders>
          </w:tcPr>
          <w:p w14:paraId="6AA387B5" w14:textId="577B5482"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Narrative</w:t>
            </w:r>
          </w:p>
        </w:tc>
        <w:tc>
          <w:tcPr>
            <w:tcW w:w="1203" w:type="dxa"/>
            <w:tcBorders>
              <w:bottom w:val="single" w:sz="4" w:space="0" w:color="auto"/>
            </w:tcBorders>
          </w:tcPr>
          <w:p w14:paraId="1E9A1F45" w14:textId="5B9B885B"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53</w:t>
            </w:r>
          </w:p>
        </w:tc>
        <w:tc>
          <w:tcPr>
            <w:tcW w:w="1327" w:type="dxa"/>
            <w:tcBorders>
              <w:bottom w:val="single" w:sz="4" w:space="0" w:color="auto"/>
            </w:tcBorders>
          </w:tcPr>
          <w:p w14:paraId="19AE5EDA" w14:textId="1836A41C"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Non-specific</w:t>
            </w:r>
          </w:p>
        </w:tc>
        <w:tc>
          <w:tcPr>
            <w:tcW w:w="1981" w:type="dxa"/>
            <w:tcBorders>
              <w:bottom w:val="single" w:sz="4" w:space="0" w:color="auto"/>
            </w:tcBorders>
          </w:tcPr>
          <w:p w14:paraId="5179A14B" w14:textId="48983205"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De-biasing of selection procedures; Diversity training and education; Policies involving recruitment, leave, and compensation; Visibility; Other</w:t>
            </w:r>
          </w:p>
        </w:tc>
        <w:tc>
          <w:tcPr>
            <w:tcW w:w="2742" w:type="dxa"/>
            <w:tcBorders>
              <w:bottom w:val="single" w:sz="4" w:space="0" w:color="auto"/>
            </w:tcBorders>
          </w:tcPr>
          <w:p w14:paraId="422D9AC1" w14:textId="29D33A40" w:rsidR="00B60456"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Diversity management practices can benefit from institutional and resource-based theories. Research model presents the antecedents and outcomes of diversity management practices.</w:t>
            </w:r>
          </w:p>
        </w:tc>
        <w:tc>
          <w:tcPr>
            <w:tcW w:w="2976" w:type="dxa"/>
            <w:tcBorders>
              <w:bottom w:val="single" w:sz="4" w:space="0" w:color="auto"/>
            </w:tcBorders>
          </w:tcPr>
          <w:p w14:paraId="1D1BFCCD" w14:textId="77777777"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c>
          <w:tcPr>
            <w:tcW w:w="1276" w:type="dxa"/>
            <w:tcBorders>
              <w:bottom w:val="single" w:sz="4" w:space="0" w:color="auto"/>
            </w:tcBorders>
          </w:tcPr>
          <w:p w14:paraId="6A96B627" w14:textId="51CF69D5" w:rsidR="00B60456" w:rsidRPr="009811EA" w:rsidRDefault="00B60456" w:rsidP="00B60456">
            <w:pPr>
              <w:pStyle w:val="TableFigure"/>
              <w:spacing w:before="120" w:after="120"/>
              <w:contextualSpacing w:val="0"/>
              <w:cnfStyle w:val="000000100000" w:firstRow="0" w:lastRow="0" w:firstColumn="0" w:lastColumn="0" w:oddVBand="0" w:evenVBand="0" w:oddHBand="1" w:evenHBand="0" w:firstRowFirstColumn="0" w:firstRowLastColumn="0" w:lastRowFirstColumn="0" w:lastRowLastColumn="0"/>
              <w:rPr>
                <w:sz w:val="20"/>
                <w:szCs w:val="20"/>
              </w:rPr>
            </w:pPr>
          </w:p>
        </w:tc>
      </w:tr>
    </w:tbl>
    <w:p w14:paraId="2D33D164" w14:textId="112ADE82" w:rsidR="0068712E" w:rsidRDefault="007308A3">
      <w:pPr>
        <w:pStyle w:val="TableFigure"/>
      </w:pPr>
      <w:r>
        <w:rPr>
          <w:b/>
        </w:rPr>
        <w:br w:type="textWrapping" w:clear="all"/>
      </w:r>
      <w:r w:rsidR="00F576D9" w:rsidRPr="00F576D9">
        <w:rPr>
          <w:b/>
        </w:rPr>
        <w:t>Source:</w:t>
      </w:r>
      <w:r w:rsidR="00F576D9">
        <w:t xml:space="preserve"> Authors’ own work</w:t>
      </w:r>
    </w:p>
    <w:p w14:paraId="1B4912F0" w14:textId="77777777" w:rsidR="004F1FCB" w:rsidRDefault="0068712E" w:rsidP="004F1FCB">
      <w:pPr>
        <w:pStyle w:val="Heading2"/>
      </w:pPr>
      <w:r>
        <w:br w:type="page"/>
      </w:r>
      <w:r w:rsidR="004F1FCB">
        <w:lastRenderedPageBreak/>
        <w:t>Table</w:t>
      </w:r>
      <w:r w:rsidR="004F1FCB" w:rsidRPr="00687890">
        <w:t xml:space="preserve"> </w:t>
      </w:r>
      <w:r w:rsidR="004F1FCB">
        <w:t>S2</w:t>
      </w:r>
    </w:p>
    <w:p w14:paraId="5D68504F" w14:textId="71624E00" w:rsidR="004F1FCB" w:rsidRDefault="004F1FCB" w:rsidP="004F1FCB">
      <w:pPr>
        <w:ind w:firstLine="0"/>
        <w:rPr>
          <w:bCs/>
          <w:i/>
        </w:rPr>
      </w:pPr>
      <w:r>
        <w:rPr>
          <w:bCs/>
          <w:i/>
        </w:rPr>
        <w:t>O</w:t>
      </w:r>
      <w:r w:rsidRPr="00E772AB">
        <w:rPr>
          <w:bCs/>
          <w:i/>
        </w:rPr>
        <w:t>utcome</w:t>
      </w:r>
      <w:r>
        <w:rPr>
          <w:bCs/>
          <w:i/>
        </w:rPr>
        <w:t xml:space="preserve"> categories and their links to </w:t>
      </w:r>
      <w:r w:rsidRPr="00E772AB">
        <w:rPr>
          <w:bCs/>
          <w:i/>
        </w:rPr>
        <w:t xml:space="preserve">diversity and inclusion </w:t>
      </w:r>
      <w:r w:rsidR="001948D0">
        <w:rPr>
          <w:bCs/>
          <w:i/>
        </w:rPr>
        <w:t>interventions</w:t>
      </w:r>
      <w:r>
        <w:rPr>
          <w:bCs/>
          <w:i/>
        </w:rPr>
        <w:t xml:space="preserve"> </w:t>
      </w:r>
      <w:r w:rsidRPr="00E772AB">
        <w:rPr>
          <w:bCs/>
          <w:i/>
        </w:rPr>
        <w:t xml:space="preserve">identified in this </w:t>
      </w:r>
      <w:r>
        <w:rPr>
          <w:bCs/>
          <w:i/>
        </w:rPr>
        <w:t>meta-</w:t>
      </w:r>
      <w:r w:rsidRPr="00E772AB">
        <w:rPr>
          <w:bCs/>
          <w:i/>
        </w:rPr>
        <w:t>review</w:t>
      </w:r>
    </w:p>
    <w:tbl>
      <w:tblPr>
        <w:tblW w:w="14147" w:type="dxa"/>
        <w:tblLook w:val="04A0" w:firstRow="1" w:lastRow="0" w:firstColumn="1" w:lastColumn="0" w:noHBand="0" w:noVBand="1"/>
      </w:tblPr>
      <w:tblGrid>
        <w:gridCol w:w="4962"/>
        <w:gridCol w:w="4789"/>
        <w:gridCol w:w="361"/>
        <w:gridCol w:w="350"/>
        <w:gridCol w:w="416"/>
        <w:gridCol w:w="361"/>
        <w:gridCol w:w="339"/>
        <w:gridCol w:w="328"/>
        <w:gridCol w:w="361"/>
        <w:gridCol w:w="416"/>
        <w:gridCol w:w="316"/>
        <w:gridCol w:w="316"/>
        <w:gridCol w:w="416"/>
        <w:gridCol w:w="416"/>
      </w:tblGrid>
      <w:tr w:rsidR="004F1FCB" w:rsidRPr="008A7BA4" w14:paraId="37AE22A6" w14:textId="77777777" w:rsidTr="005B2986">
        <w:trPr>
          <w:trHeight w:val="504"/>
          <w:tblHeader/>
        </w:trPr>
        <w:tc>
          <w:tcPr>
            <w:tcW w:w="4962" w:type="dxa"/>
            <w:vMerge w:val="restart"/>
            <w:tcBorders>
              <w:top w:val="single" w:sz="4" w:space="0" w:color="auto"/>
              <w:left w:val="nil"/>
              <w:right w:val="nil"/>
            </w:tcBorders>
            <w:shd w:val="clear" w:color="auto" w:fill="auto"/>
            <w:noWrap/>
            <w:vAlign w:val="center"/>
          </w:tcPr>
          <w:p w14:paraId="05DDDFB6" w14:textId="77777777" w:rsidR="004F1FCB" w:rsidRPr="008A7BA4" w:rsidRDefault="004F1FCB" w:rsidP="005B2986">
            <w:pPr>
              <w:spacing w:line="240" w:lineRule="auto"/>
              <w:ind w:firstLine="0"/>
              <w:rPr>
                <w:rFonts w:asciiTheme="majorHAnsi" w:eastAsia="Times New Roman" w:hAnsiTheme="majorHAnsi" w:cstheme="majorHAnsi"/>
                <w:b/>
                <w:color w:val="auto"/>
                <w:sz w:val="20"/>
                <w:szCs w:val="20"/>
                <w:lang w:val="en-AU" w:eastAsia="en-AU"/>
              </w:rPr>
            </w:pPr>
            <w:r w:rsidRPr="008A7BA4">
              <w:rPr>
                <w:rFonts w:asciiTheme="majorHAnsi" w:eastAsia="Times New Roman" w:hAnsiTheme="majorHAnsi" w:cstheme="majorHAnsi"/>
                <w:b/>
                <w:color w:val="auto"/>
                <w:sz w:val="20"/>
                <w:szCs w:val="20"/>
                <w:lang w:val="en-AU" w:eastAsia="en-AU"/>
              </w:rPr>
              <w:t>Outcome category</w:t>
            </w:r>
          </w:p>
        </w:tc>
        <w:tc>
          <w:tcPr>
            <w:tcW w:w="4789" w:type="dxa"/>
            <w:vMerge w:val="restart"/>
            <w:tcBorders>
              <w:top w:val="single" w:sz="4" w:space="0" w:color="auto"/>
              <w:left w:val="nil"/>
              <w:right w:val="nil"/>
            </w:tcBorders>
            <w:shd w:val="clear" w:color="auto" w:fill="auto"/>
            <w:noWrap/>
            <w:vAlign w:val="center"/>
          </w:tcPr>
          <w:p w14:paraId="2BDC0A02" w14:textId="77777777" w:rsidR="004F1FCB" w:rsidRPr="008A7BA4" w:rsidRDefault="004F1FCB" w:rsidP="005B2986">
            <w:pPr>
              <w:spacing w:line="240" w:lineRule="auto"/>
              <w:ind w:firstLine="0"/>
              <w:rPr>
                <w:rFonts w:asciiTheme="majorHAnsi" w:eastAsia="Times New Roman" w:hAnsiTheme="majorHAnsi" w:cstheme="majorHAnsi"/>
                <w:b/>
                <w:color w:val="auto"/>
                <w:sz w:val="20"/>
                <w:szCs w:val="20"/>
                <w:lang w:val="en-AU" w:eastAsia="en-AU"/>
              </w:rPr>
            </w:pPr>
            <w:r w:rsidRPr="008A7BA4">
              <w:rPr>
                <w:rFonts w:asciiTheme="majorHAnsi" w:eastAsia="Times New Roman" w:hAnsiTheme="majorHAnsi" w:cstheme="majorHAnsi"/>
                <w:b/>
                <w:color w:val="auto"/>
                <w:sz w:val="20"/>
                <w:szCs w:val="20"/>
                <w:lang w:val="en-AU" w:eastAsia="en-AU"/>
              </w:rPr>
              <w:t>Example with reference</w:t>
            </w:r>
          </w:p>
        </w:tc>
        <w:tc>
          <w:tcPr>
            <w:tcW w:w="4396" w:type="dxa"/>
            <w:gridSpan w:val="12"/>
            <w:tcBorders>
              <w:top w:val="single" w:sz="4" w:space="0" w:color="auto"/>
              <w:left w:val="nil"/>
              <w:bottom w:val="single" w:sz="4" w:space="0" w:color="auto"/>
              <w:right w:val="nil"/>
            </w:tcBorders>
            <w:shd w:val="clear" w:color="auto" w:fill="auto"/>
            <w:vAlign w:val="center"/>
          </w:tcPr>
          <w:p w14:paraId="3378ADBE" w14:textId="77777777" w:rsidR="004F1FCB" w:rsidRPr="008A7BA4" w:rsidRDefault="004F1FCB" w:rsidP="005B2986">
            <w:pPr>
              <w:spacing w:line="240" w:lineRule="auto"/>
              <w:ind w:firstLine="0"/>
              <w:jc w:val="center"/>
              <w:rPr>
                <w:rFonts w:asciiTheme="majorHAnsi" w:eastAsia="Times New Roman" w:hAnsiTheme="majorHAnsi" w:cstheme="majorHAnsi"/>
                <w:b/>
                <w:color w:val="auto"/>
                <w:sz w:val="20"/>
                <w:szCs w:val="20"/>
                <w:lang w:val="en-AU" w:eastAsia="en-AU"/>
              </w:rPr>
            </w:pPr>
            <w:r w:rsidRPr="008A7BA4">
              <w:rPr>
                <w:rFonts w:asciiTheme="majorHAnsi" w:eastAsia="Times New Roman" w:hAnsiTheme="majorHAnsi" w:cstheme="majorHAnsi"/>
                <w:b/>
                <w:color w:val="auto"/>
                <w:sz w:val="20"/>
                <w:szCs w:val="20"/>
                <w:lang w:val="en-AU" w:eastAsia="en-AU"/>
              </w:rPr>
              <w:t>Intervention category</w:t>
            </w:r>
          </w:p>
        </w:tc>
      </w:tr>
      <w:tr w:rsidR="004F1FCB" w:rsidRPr="008A7BA4" w14:paraId="387D044F" w14:textId="77777777" w:rsidTr="005B2986">
        <w:trPr>
          <w:trHeight w:val="269"/>
          <w:tblHeader/>
        </w:trPr>
        <w:tc>
          <w:tcPr>
            <w:tcW w:w="4962" w:type="dxa"/>
            <w:vMerge/>
            <w:tcBorders>
              <w:left w:val="nil"/>
              <w:bottom w:val="single" w:sz="4" w:space="0" w:color="auto"/>
              <w:right w:val="nil"/>
            </w:tcBorders>
            <w:shd w:val="clear" w:color="auto" w:fill="auto"/>
            <w:noWrap/>
            <w:vAlign w:val="bottom"/>
            <w:hideMark/>
          </w:tcPr>
          <w:p w14:paraId="2E73FED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789" w:type="dxa"/>
            <w:vMerge/>
            <w:tcBorders>
              <w:left w:val="nil"/>
              <w:bottom w:val="single" w:sz="4" w:space="0" w:color="auto"/>
              <w:right w:val="nil"/>
            </w:tcBorders>
            <w:shd w:val="clear" w:color="auto" w:fill="auto"/>
            <w:noWrap/>
            <w:vAlign w:val="bottom"/>
            <w:hideMark/>
          </w:tcPr>
          <w:p w14:paraId="330545D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auto"/>
              <w:left w:val="nil"/>
              <w:bottom w:val="single" w:sz="4" w:space="0" w:color="auto"/>
              <w:right w:val="nil"/>
            </w:tcBorders>
            <w:shd w:val="clear" w:color="auto" w:fill="auto"/>
            <w:vAlign w:val="center"/>
            <w:hideMark/>
          </w:tcPr>
          <w:p w14:paraId="6C5535F9"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A</w:t>
            </w:r>
          </w:p>
        </w:tc>
        <w:tc>
          <w:tcPr>
            <w:tcW w:w="350" w:type="dxa"/>
            <w:tcBorders>
              <w:top w:val="single" w:sz="4" w:space="0" w:color="auto"/>
              <w:left w:val="nil"/>
              <w:bottom w:val="single" w:sz="4" w:space="0" w:color="auto"/>
              <w:right w:val="nil"/>
            </w:tcBorders>
            <w:shd w:val="clear" w:color="auto" w:fill="auto"/>
            <w:vAlign w:val="center"/>
            <w:hideMark/>
          </w:tcPr>
          <w:p w14:paraId="1C048EBD"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B</w:t>
            </w:r>
          </w:p>
        </w:tc>
        <w:tc>
          <w:tcPr>
            <w:tcW w:w="416" w:type="dxa"/>
            <w:tcBorders>
              <w:top w:val="single" w:sz="4" w:space="0" w:color="auto"/>
              <w:left w:val="nil"/>
              <w:bottom w:val="single" w:sz="4" w:space="0" w:color="auto"/>
              <w:right w:val="nil"/>
            </w:tcBorders>
            <w:shd w:val="clear" w:color="auto" w:fill="auto"/>
            <w:vAlign w:val="center"/>
            <w:hideMark/>
          </w:tcPr>
          <w:p w14:paraId="75E4B71B"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C</w:t>
            </w:r>
          </w:p>
        </w:tc>
        <w:tc>
          <w:tcPr>
            <w:tcW w:w="361" w:type="dxa"/>
            <w:tcBorders>
              <w:top w:val="single" w:sz="4" w:space="0" w:color="auto"/>
              <w:left w:val="nil"/>
              <w:bottom w:val="single" w:sz="4" w:space="0" w:color="auto"/>
              <w:right w:val="nil"/>
            </w:tcBorders>
            <w:shd w:val="clear" w:color="auto" w:fill="auto"/>
            <w:vAlign w:val="center"/>
            <w:hideMark/>
          </w:tcPr>
          <w:p w14:paraId="62518DD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D</w:t>
            </w:r>
          </w:p>
        </w:tc>
        <w:tc>
          <w:tcPr>
            <w:tcW w:w="339" w:type="dxa"/>
            <w:tcBorders>
              <w:top w:val="single" w:sz="4" w:space="0" w:color="auto"/>
              <w:left w:val="nil"/>
              <w:bottom w:val="single" w:sz="4" w:space="0" w:color="auto"/>
              <w:right w:val="nil"/>
            </w:tcBorders>
            <w:shd w:val="clear" w:color="auto" w:fill="auto"/>
            <w:vAlign w:val="center"/>
            <w:hideMark/>
          </w:tcPr>
          <w:p w14:paraId="6DBAE42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E</w:t>
            </w:r>
          </w:p>
        </w:tc>
        <w:tc>
          <w:tcPr>
            <w:tcW w:w="328" w:type="dxa"/>
            <w:tcBorders>
              <w:top w:val="single" w:sz="4" w:space="0" w:color="auto"/>
              <w:left w:val="nil"/>
              <w:bottom w:val="single" w:sz="4" w:space="0" w:color="auto"/>
              <w:right w:val="nil"/>
            </w:tcBorders>
            <w:shd w:val="clear" w:color="auto" w:fill="auto"/>
            <w:vAlign w:val="center"/>
            <w:hideMark/>
          </w:tcPr>
          <w:p w14:paraId="35CF2906"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F</w:t>
            </w:r>
          </w:p>
        </w:tc>
        <w:tc>
          <w:tcPr>
            <w:tcW w:w="361" w:type="dxa"/>
            <w:tcBorders>
              <w:top w:val="single" w:sz="4" w:space="0" w:color="auto"/>
              <w:left w:val="nil"/>
              <w:bottom w:val="single" w:sz="4" w:space="0" w:color="auto"/>
              <w:right w:val="nil"/>
            </w:tcBorders>
            <w:shd w:val="clear" w:color="auto" w:fill="auto"/>
            <w:vAlign w:val="center"/>
            <w:hideMark/>
          </w:tcPr>
          <w:p w14:paraId="67658D0A"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G</w:t>
            </w:r>
          </w:p>
        </w:tc>
        <w:tc>
          <w:tcPr>
            <w:tcW w:w="416" w:type="dxa"/>
            <w:tcBorders>
              <w:top w:val="single" w:sz="4" w:space="0" w:color="auto"/>
              <w:left w:val="nil"/>
              <w:bottom w:val="single" w:sz="4" w:space="0" w:color="auto"/>
              <w:right w:val="nil"/>
            </w:tcBorders>
            <w:shd w:val="clear" w:color="auto" w:fill="auto"/>
            <w:vAlign w:val="center"/>
            <w:hideMark/>
          </w:tcPr>
          <w:p w14:paraId="3DE0ABD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H</w:t>
            </w:r>
          </w:p>
        </w:tc>
        <w:tc>
          <w:tcPr>
            <w:tcW w:w="316" w:type="dxa"/>
            <w:tcBorders>
              <w:top w:val="single" w:sz="4" w:space="0" w:color="auto"/>
              <w:left w:val="nil"/>
              <w:bottom w:val="single" w:sz="4" w:space="0" w:color="auto"/>
              <w:right w:val="nil"/>
            </w:tcBorders>
            <w:shd w:val="clear" w:color="auto" w:fill="auto"/>
            <w:vAlign w:val="center"/>
            <w:hideMark/>
          </w:tcPr>
          <w:p w14:paraId="6F2E71C9"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I</w:t>
            </w:r>
          </w:p>
        </w:tc>
        <w:tc>
          <w:tcPr>
            <w:tcW w:w="316" w:type="dxa"/>
            <w:tcBorders>
              <w:top w:val="single" w:sz="4" w:space="0" w:color="auto"/>
              <w:left w:val="nil"/>
              <w:bottom w:val="single" w:sz="4" w:space="0" w:color="auto"/>
              <w:right w:val="nil"/>
            </w:tcBorders>
            <w:shd w:val="clear" w:color="auto" w:fill="auto"/>
            <w:vAlign w:val="center"/>
            <w:hideMark/>
          </w:tcPr>
          <w:p w14:paraId="63D01BD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J</w:t>
            </w:r>
          </w:p>
        </w:tc>
        <w:tc>
          <w:tcPr>
            <w:tcW w:w="416" w:type="dxa"/>
            <w:tcBorders>
              <w:top w:val="single" w:sz="4" w:space="0" w:color="auto"/>
              <w:left w:val="nil"/>
              <w:bottom w:val="single" w:sz="4" w:space="0" w:color="auto"/>
              <w:right w:val="nil"/>
            </w:tcBorders>
            <w:shd w:val="clear" w:color="auto" w:fill="auto"/>
            <w:vAlign w:val="center"/>
            <w:hideMark/>
          </w:tcPr>
          <w:p w14:paraId="41C7D4B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K</w:t>
            </w:r>
          </w:p>
        </w:tc>
        <w:tc>
          <w:tcPr>
            <w:tcW w:w="416" w:type="dxa"/>
            <w:tcBorders>
              <w:top w:val="single" w:sz="4" w:space="0" w:color="auto"/>
              <w:left w:val="nil"/>
              <w:bottom w:val="single" w:sz="4" w:space="0" w:color="auto"/>
              <w:right w:val="nil"/>
            </w:tcBorders>
            <w:shd w:val="clear" w:color="auto" w:fill="auto"/>
            <w:vAlign w:val="center"/>
            <w:hideMark/>
          </w:tcPr>
          <w:p w14:paraId="2A37C493"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L</w:t>
            </w:r>
          </w:p>
        </w:tc>
      </w:tr>
      <w:tr w:rsidR="004F1FCB" w:rsidRPr="008A7BA4" w14:paraId="09413237" w14:textId="77777777" w:rsidTr="005B2986">
        <w:trPr>
          <w:trHeight w:val="504"/>
        </w:trPr>
        <w:tc>
          <w:tcPr>
            <w:tcW w:w="4962" w:type="dxa"/>
            <w:tcBorders>
              <w:top w:val="single" w:sz="4" w:space="0" w:color="auto"/>
              <w:left w:val="nil"/>
              <w:bottom w:val="nil"/>
              <w:right w:val="nil"/>
            </w:tcBorders>
            <w:shd w:val="clear" w:color="auto" w:fill="EFEFEF" w:themeFill="accent2" w:themeFillTint="33"/>
            <w:noWrap/>
            <w:vAlign w:val="bottom"/>
            <w:hideMark/>
          </w:tcPr>
          <w:p w14:paraId="2F1B1A6D"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Diversity in recruitment, retention, or progression</w:t>
            </w:r>
          </w:p>
        </w:tc>
        <w:tc>
          <w:tcPr>
            <w:tcW w:w="4789" w:type="dxa"/>
            <w:tcBorders>
              <w:top w:val="single" w:sz="4" w:space="0" w:color="auto"/>
              <w:left w:val="nil"/>
              <w:bottom w:val="nil"/>
              <w:right w:val="single" w:sz="4" w:space="0" w:color="DDDDDD" w:themeColor="accent1"/>
            </w:tcBorders>
            <w:shd w:val="clear" w:color="auto" w:fill="EFEFEF" w:themeFill="accent2" w:themeFillTint="33"/>
            <w:noWrap/>
            <w:vAlign w:val="bottom"/>
          </w:tcPr>
          <w:p w14:paraId="3DD18544"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9F247FD"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50"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EC076E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89F168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A30D865"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EEA64DE"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612C921B"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5EE0083"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69647E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E50559D"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AF11778"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E1E093E"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auto"/>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15587A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51793A31" w14:textId="77777777" w:rsidTr="005B2986">
        <w:trPr>
          <w:trHeight w:val="504"/>
        </w:trPr>
        <w:tc>
          <w:tcPr>
            <w:tcW w:w="4962" w:type="dxa"/>
            <w:tcBorders>
              <w:top w:val="nil"/>
              <w:left w:val="nil"/>
              <w:bottom w:val="nil"/>
              <w:right w:val="nil"/>
            </w:tcBorders>
            <w:shd w:val="clear" w:color="auto" w:fill="auto"/>
            <w:vAlign w:val="center"/>
            <w:hideMark/>
          </w:tcPr>
          <w:p w14:paraId="25300BB9"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Diversity in recruitment, retention, or progression</w:t>
            </w:r>
          </w:p>
        </w:tc>
        <w:tc>
          <w:tcPr>
            <w:tcW w:w="4789" w:type="dxa"/>
            <w:tcBorders>
              <w:top w:val="nil"/>
              <w:left w:val="nil"/>
              <w:bottom w:val="nil"/>
              <w:right w:val="single" w:sz="4" w:space="0" w:color="DDDDDD" w:themeColor="accent1"/>
            </w:tcBorders>
            <w:shd w:val="clear" w:color="auto" w:fill="auto"/>
            <w:vAlign w:val="center"/>
            <w:hideMark/>
          </w:tcPr>
          <w:p w14:paraId="3F3E845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Organi</w:t>
            </w:r>
            <w:r>
              <w:rPr>
                <w:rFonts w:asciiTheme="majorHAnsi" w:eastAsia="Times New Roman" w:hAnsiTheme="majorHAnsi" w:cstheme="majorHAnsi"/>
                <w:color w:val="auto"/>
                <w:sz w:val="20"/>
                <w:szCs w:val="20"/>
                <w:lang w:val="en-AU" w:eastAsia="en-AU"/>
              </w:rPr>
              <w:t>z</w:t>
            </w:r>
            <w:r w:rsidRPr="008A7BA4">
              <w:rPr>
                <w:rFonts w:asciiTheme="majorHAnsi" w:eastAsia="Times New Roman" w:hAnsiTheme="majorHAnsi" w:cstheme="majorHAnsi"/>
                <w:color w:val="auto"/>
                <w:sz w:val="20"/>
                <w:szCs w:val="20"/>
                <w:lang w:val="en-AU" w:eastAsia="en-AU"/>
              </w:rPr>
              <w:t>ations widening search focus to recruit older employees (Boehm et al., 2021)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C679FB2"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3</w:t>
            </w: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E66624F"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9</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8D620BB"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2</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9B269F9"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6</w:t>
            </w: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C98263C"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2</w:t>
            </w: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3FFAF27"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2</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2EF3F9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7</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F6838B6"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7</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C546D5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3</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DF29609"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E72E0C3"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10</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8257EAA"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4</w:t>
            </w:r>
          </w:p>
        </w:tc>
      </w:tr>
      <w:tr w:rsidR="004F1FCB" w:rsidRPr="008A7BA4" w14:paraId="2CC20444" w14:textId="77777777" w:rsidTr="005B2986">
        <w:trPr>
          <w:trHeight w:val="89"/>
        </w:trPr>
        <w:tc>
          <w:tcPr>
            <w:tcW w:w="4962" w:type="dxa"/>
            <w:tcBorders>
              <w:top w:val="nil"/>
              <w:left w:val="nil"/>
              <w:bottom w:val="nil"/>
              <w:right w:val="nil"/>
            </w:tcBorders>
            <w:shd w:val="clear" w:color="auto" w:fill="EFEFEF" w:themeFill="accent2" w:themeFillTint="33"/>
            <w:noWrap/>
            <w:vAlign w:val="bottom"/>
            <w:hideMark/>
          </w:tcPr>
          <w:p w14:paraId="32BA3C26"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Individual capabilities</w:t>
            </w:r>
          </w:p>
        </w:tc>
        <w:tc>
          <w:tcPr>
            <w:tcW w:w="4789" w:type="dxa"/>
            <w:tcBorders>
              <w:top w:val="nil"/>
              <w:left w:val="nil"/>
              <w:bottom w:val="nil"/>
              <w:right w:val="single" w:sz="4" w:space="0" w:color="DDDDDD" w:themeColor="accent1"/>
            </w:tcBorders>
            <w:shd w:val="clear" w:color="auto" w:fill="EFEFEF" w:themeFill="accent2" w:themeFillTint="33"/>
            <w:noWrap/>
            <w:vAlign w:val="bottom"/>
            <w:hideMark/>
          </w:tcPr>
          <w:p w14:paraId="2DA2492F"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5DE5F93"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F055986"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B4862B1"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2FEE143"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714B3B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03E3397"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D4DFABA"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398875E"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D8DD3C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5033139"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68411B5"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3A7F07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48FA29CF" w14:textId="77777777" w:rsidTr="005B2986">
        <w:trPr>
          <w:trHeight w:val="504"/>
        </w:trPr>
        <w:tc>
          <w:tcPr>
            <w:tcW w:w="4962" w:type="dxa"/>
            <w:tcBorders>
              <w:top w:val="nil"/>
              <w:left w:val="nil"/>
              <w:bottom w:val="nil"/>
              <w:right w:val="nil"/>
            </w:tcBorders>
            <w:shd w:val="clear" w:color="auto" w:fill="auto"/>
            <w:vAlign w:val="center"/>
            <w:hideMark/>
          </w:tcPr>
          <w:p w14:paraId="2A2A6D29"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Learning outcomes, awareness, knowledge</w:t>
            </w:r>
          </w:p>
        </w:tc>
        <w:tc>
          <w:tcPr>
            <w:tcW w:w="4789" w:type="dxa"/>
            <w:tcBorders>
              <w:top w:val="nil"/>
              <w:left w:val="nil"/>
              <w:bottom w:val="nil"/>
              <w:right w:val="single" w:sz="4" w:space="0" w:color="DDDDDD" w:themeColor="accent1"/>
            </w:tcBorders>
            <w:shd w:val="clear" w:color="auto" w:fill="auto"/>
            <w:vAlign w:val="center"/>
            <w:hideMark/>
          </w:tcPr>
          <w:p w14:paraId="38AA8A2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Improved skills to work with different cultural groups (Alhejji et al., 2015)</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1839061"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F469D4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30C5D93"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5</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C6E98E5"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9EC6C1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DFBCBEF"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FCB42E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3D3534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D2F2BE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5B3231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45606B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34C80E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10050E23" w14:textId="77777777" w:rsidTr="005B2986">
        <w:trPr>
          <w:trHeight w:val="504"/>
        </w:trPr>
        <w:tc>
          <w:tcPr>
            <w:tcW w:w="4962" w:type="dxa"/>
            <w:tcBorders>
              <w:top w:val="nil"/>
              <w:left w:val="nil"/>
              <w:bottom w:val="nil"/>
              <w:right w:val="nil"/>
            </w:tcBorders>
            <w:shd w:val="clear" w:color="auto" w:fill="auto"/>
            <w:vAlign w:val="center"/>
            <w:hideMark/>
          </w:tcPr>
          <w:p w14:paraId="4022C8C2"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Behavior, behavioral skills, or behavioral intentions</w:t>
            </w:r>
          </w:p>
        </w:tc>
        <w:tc>
          <w:tcPr>
            <w:tcW w:w="4789" w:type="dxa"/>
            <w:tcBorders>
              <w:top w:val="nil"/>
              <w:left w:val="nil"/>
              <w:bottom w:val="nil"/>
              <w:right w:val="single" w:sz="4" w:space="0" w:color="DDDDDD" w:themeColor="accent1"/>
            </w:tcBorders>
            <w:shd w:val="clear" w:color="auto" w:fill="auto"/>
            <w:vAlign w:val="center"/>
            <w:hideMark/>
          </w:tcPr>
          <w:p w14:paraId="117C9D2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Biased behavior (Metinyurt et al., 2021)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4A5E9D6"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C089C9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16B613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4</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F7C213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81400D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2713695"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C47E35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CE9927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7A5B86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BA1008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A9EB14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50305D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77B672DF" w14:textId="77777777" w:rsidTr="005B2986">
        <w:trPr>
          <w:trHeight w:val="504"/>
        </w:trPr>
        <w:tc>
          <w:tcPr>
            <w:tcW w:w="4962" w:type="dxa"/>
            <w:tcBorders>
              <w:top w:val="nil"/>
              <w:left w:val="nil"/>
              <w:bottom w:val="nil"/>
              <w:right w:val="nil"/>
            </w:tcBorders>
            <w:shd w:val="clear" w:color="auto" w:fill="auto"/>
            <w:vAlign w:val="center"/>
            <w:hideMark/>
          </w:tcPr>
          <w:p w14:paraId="2CFC0B30"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Skills and social integration</w:t>
            </w:r>
          </w:p>
        </w:tc>
        <w:tc>
          <w:tcPr>
            <w:tcW w:w="4789" w:type="dxa"/>
            <w:tcBorders>
              <w:top w:val="nil"/>
              <w:left w:val="nil"/>
              <w:bottom w:val="nil"/>
              <w:right w:val="single" w:sz="4" w:space="0" w:color="DDDDDD" w:themeColor="accent1"/>
            </w:tcBorders>
            <w:shd w:val="clear" w:color="auto" w:fill="auto"/>
            <w:vAlign w:val="center"/>
            <w:hideMark/>
          </w:tcPr>
          <w:p w14:paraId="5C460C4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Task accuracy (Carlson et al., 2020)</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652B3FA"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DCF34A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1245C7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AFBFAA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FCAAB35"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D1708F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7BFB71B"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0E07CD3"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F21616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EA363F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D3F04FA"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5AEA32A"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r>
      <w:tr w:rsidR="004F1FCB" w:rsidRPr="008A7BA4" w14:paraId="5DAB5EEF" w14:textId="77777777" w:rsidTr="005B2986">
        <w:trPr>
          <w:trHeight w:val="157"/>
        </w:trPr>
        <w:tc>
          <w:tcPr>
            <w:tcW w:w="4962" w:type="dxa"/>
            <w:tcBorders>
              <w:top w:val="nil"/>
              <w:left w:val="nil"/>
              <w:bottom w:val="nil"/>
              <w:right w:val="nil"/>
            </w:tcBorders>
            <w:shd w:val="clear" w:color="auto" w:fill="EFEFEF" w:themeFill="accent2" w:themeFillTint="33"/>
            <w:noWrap/>
            <w:vAlign w:val="bottom"/>
            <w:hideMark/>
          </w:tcPr>
          <w:p w14:paraId="2D61D571"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Attitudes</w:t>
            </w:r>
          </w:p>
        </w:tc>
        <w:tc>
          <w:tcPr>
            <w:tcW w:w="4789" w:type="dxa"/>
            <w:tcBorders>
              <w:top w:val="nil"/>
              <w:left w:val="nil"/>
              <w:bottom w:val="nil"/>
              <w:right w:val="single" w:sz="4" w:space="0" w:color="DDDDDD" w:themeColor="accent1"/>
            </w:tcBorders>
            <w:shd w:val="clear" w:color="auto" w:fill="EFEFEF" w:themeFill="accent2" w:themeFillTint="33"/>
            <w:noWrap/>
            <w:vAlign w:val="bottom"/>
            <w:hideMark/>
          </w:tcPr>
          <w:p w14:paraId="1D46106B"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3F08D7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E70221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ED7A81E"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259346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33B50E5"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59B2B01"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CCD664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ED8C1D9"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C9193C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7DFDD8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241D3B7"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263E74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2BBC7076" w14:textId="77777777" w:rsidTr="005B2986">
        <w:trPr>
          <w:trHeight w:val="504"/>
        </w:trPr>
        <w:tc>
          <w:tcPr>
            <w:tcW w:w="4962" w:type="dxa"/>
            <w:tcBorders>
              <w:top w:val="nil"/>
              <w:left w:val="nil"/>
              <w:bottom w:val="nil"/>
              <w:right w:val="nil"/>
            </w:tcBorders>
            <w:shd w:val="clear" w:color="auto" w:fill="auto"/>
            <w:vAlign w:val="center"/>
            <w:hideMark/>
          </w:tcPr>
          <w:p w14:paraId="1265EB1E"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Attitudes (general)</w:t>
            </w:r>
          </w:p>
        </w:tc>
        <w:tc>
          <w:tcPr>
            <w:tcW w:w="4789" w:type="dxa"/>
            <w:tcBorders>
              <w:top w:val="nil"/>
              <w:left w:val="nil"/>
              <w:bottom w:val="nil"/>
              <w:right w:val="single" w:sz="4" w:space="0" w:color="DDDDDD" w:themeColor="accent1"/>
            </w:tcBorders>
            <w:shd w:val="clear" w:color="auto" w:fill="auto"/>
            <w:vAlign w:val="center"/>
            <w:hideMark/>
          </w:tcPr>
          <w:p w14:paraId="6AF98DC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Attitudes towards diversity (Bezrukova et al., 2016)</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2C0E7C2"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D87B6A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A76C87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3</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9F62725"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348981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2FEDE61"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6A6020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9A8E21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EF68FDA"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3F995EF"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8F9AF7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DCE3B0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204694BD" w14:textId="77777777" w:rsidTr="005B2986">
        <w:trPr>
          <w:trHeight w:val="504"/>
        </w:trPr>
        <w:tc>
          <w:tcPr>
            <w:tcW w:w="4962" w:type="dxa"/>
            <w:tcBorders>
              <w:top w:val="nil"/>
              <w:left w:val="nil"/>
              <w:bottom w:val="nil"/>
              <w:right w:val="nil"/>
            </w:tcBorders>
            <w:shd w:val="clear" w:color="auto" w:fill="auto"/>
            <w:vAlign w:val="center"/>
            <w:hideMark/>
          </w:tcPr>
          <w:p w14:paraId="773339AD"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Attitudes (specific to discrimination, tokenism, stigmatization)</w:t>
            </w:r>
          </w:p>
        </w:tc>
        <w:tc>
          <w:tcPr>
            <w:tcW w:w="4789" w:type="dxa"/>
            <w:tcBorders>
              <w:top w:val="nil"/>
              <w:left w:val="nil"/>
              <w:bottom w:val="nil"/>
              <w:right w:val="single" w:sz="4" w:space="0" w:color="DDDDDD" w:themeColor="accent1"/>
            </w:tcBorders>
            <w:shd w:val="clear" w:color="auto" w:fill="auto"/>
            <w:vAlign w:val="center"/>
            <w:hideMark/>
          </w:tcPr>
          <w:p w14:paraId="0338A7C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Prejudice and attitudes towards gender affirmative action (Furtado et al., 2020)</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F8814A4"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28CB1A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A87DE2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9628ED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50F37B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3D9E86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9B5D81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02EC871"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DCC366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E4EB181"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BFC85AA"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1A0C8D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06F251F7" w14:textId="77777777" w:rsidTr="005B2986">
        <w:trPr>
          <w:trHeight w:val="504"/>
        </w:trPr>
        <w:tc>
          <w:tcPr>
            <w:tcW w:w="4962" w:type="dxa"/>
            <w:tcBorders>
              <w:top w:val="nil"/>
              <w:left w:val="nil"/>
              <w:bottom w:val="nil"/>
              <w:right w:val="nil"/>
            </w:tcBorders>
            <w:shd w:val="clear" w:color="auto" w:fill="auto"/>
            <w:vAlign w:val="center"/>
            <w:hideMark/>
          </w:tcPr>
          <w:p w14:paraId="4EC4D0F4"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Work attitudes among LGBT employees</w:t>
            </w:r>
          </w:p>
        </w:tc>
        <w:tc>
          <w:tcPr>
            <w:tcW w:w="4789" w:type="dxa"/>
            <w:tcBorders>
              <w:top w:val="nil"/>
              <w:left w:val="nil"/>
              <w:bottom w:val="nil"/>
              <w:right w:val="single" w:sz="4" w:space="0" w:color="DDDDDD" w:themeColor="accent1"/>
            </w:tcBorders>
            <w:shd w:val="clear" w:color="auto" w:fill="auto"/>
            <w:vAlign w:val="center"/>
            <w:hideMark/>
          </w:tcPr>
          <w:p w14:paraId="6F91069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Job satisfaction and engagement with work (Webster et al., 2018)</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9B7BD68"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8EA08B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55DF8D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12093E4"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9D683B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5880747"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E8C1C0A"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01C7F0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0420FC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1631B4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21A6D9A"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AEB7BA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r>
      <w:tr w:rsidR="004F1FCB" w:rsidRPr="008A7BA4" w14:paraId="1DFB7FBF" w14:textId="77777777" w:rsidTr="005B2986">
        <w:trPr>
          <w:trHeight w:val="211"/>
        </w:trPr>
        <w:tc>
          <w:tcPr>
            <w:tcW w:w="4962" w:type="dxa"/>
            <w:tcBorders>
              <w:top w:val="nil"/>
              <w:left w:val="nil"/>
              <w:bottom w:val="nil"/>
              <w:right w:val="nil"/>
            </w:tcBorders>
            <w:shd w:val="clear" w:color="auto" w:fill="EFEFEF" w:themeFill="accent2" w:themeFillTint="33"/>
            <w:noWrap/>
            <w:vAlign w:val="bottom"/>
            <w:hideMark/>
          </w:tcPr>
          <w:p w14:paraId="193F23FC"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Employee satisfaction</w:t>
            </w:r>
          </w:p>
        </w:tc>
        <w:tc>
          <w:tcPr>
            <w:tcW w:w="4789" w:type="dxa"/>
            <w:tcBorders>
              <w:top w:val="nil"/>
              <w:left w:val="nil"/>
              <w:bottom w:val="nil"/>
              <w:right w:val="single" w:sz="4" w:space="0" w:color="DDDDDD" w:themeColor="accent1"/>
            </w:tcBorders>
            <w:shd w:val="clear" w:color="auto" w:fill="EFEFEF" w:themeFill="accent2" w:themeFillTint="33"/>
            <w:noWrap/>
            <w:vAlign w:val="bottom"/>
            <w:hideMark/>
          </w:tcPr>
          <w:p w14:paraId="26543751"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7DADDD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27C6806"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9AFAADD"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33A9D5A"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AB360F6"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E9B79FD"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DA3905D"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6E6152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3C5688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748FA1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65ADEF8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CCC202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4F56FE7B" w14:textId="77777777" w:rsidTr="005B2986">
        <w:trPr>
          <w:trHeight w:val="504"/>
        </w:trPr>
        <w:tc>
          <w:tcPr>
            <w:tcW w:w="4962" w:type="dxa"/>
            <w:tcBorders>
              <w:top w:val="nil"/>
              <w:left w:val="nil"/>
              <w:bottom w:val="nil"/>
              <w:right w:val="nil"/>
            </w:tcBorders>
            <w:shd w:val="clear" w:color="auto" w:fill="auto"/>
            <w:vAlign w:val="center"/>
            <w:hideMark/>
          </w:tcPr>
          <w:p w14:paraId="54607F9A"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Employee satisfaction</w:t>
            </w:r>
          </w:p>
        </w:tc>
        <w:tc>
          <w:tcPr>
            <w:tcW w:w="4789" w:type="dxa"/>
            <w:tcBorders>
              <w:top w:val="nil"/>
              <w:left w:val="nil"/>
              <w:bottom w:val="nil"/>
              <w:right w:val="single" w:sz="4" w:space="0" w:color="DDDDDD" w:themeColor="accent1"/>
            </w:tcBorders>
            <w:shd w:val="clear" w:color="auto" w:fill="auto"/>
            <w:vAlign w:val="center"/>
            <w:hideMark/>
          </w:tcPr>
          <w:p w14:paraId="150C202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Job satisfaction (Procknow &amp; Rocco, 2016)</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D3A062F"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60BEB4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24DD11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E5B587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15CAEE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BAEDB8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E290E2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80FEF78"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6627C39"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B44884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F2DB38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74D663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1FDB3484" w14:textId="77777777" w:rsidTr="005B2986">
        <w:trPr>
          <w:trHeight w:val="165"/>
        </w:trPr>
        <w:tc>
          <w:tcPr>
            <w:tcW w:w="4962" w:type="dxa"/>
            <w:tcBorders>
              <w:top w:val="nil"/>
              <w:left w:val="nil"/>
              <w:bottom w:val="nil"/>
              <w:right w:val="nil"/>
            </w:tcBorders>
            <w:shd w:val="clear" w:color="auto" w:fill="EFEFEF" w:themeFill="accent2" w:themeFillTint="33"/>
            <w:noWrap/>
            <w:vAlign w:val="bottom"/>
            <w:hideMark/>
          </w:tcPr>
          <w:p w14:paraId="576D9EDB"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Social justice outcomes</w:t>
            </w:r>
          </w:p>
        </w:tc>
        <w:tc>
          <w:tcPr>
            <w:tcW w:w="4789" w:type="dxa"/>
            <w:tcBorders>
              <w:top w:val="nil"/>
              <w:left w:val="nil"/>
              <w:bottom w:val="nil"/>
              <w:right w:val="single" w:sz="4" w:space="0" w:color="DDDDDD" w:themeColor="accent1"/>
            </w:tcBorders>
            <w:shd w:val="clear" w:color="auto" w:fill="EFEFEF" w:themeFill="accent2" w:themeFillTint="33"/>
            <w:noWrap/>
            <w:vAlign w:val="bottom"/>
            <w:hideMark/>
          </w:tcPr>
          <w:p w14:paraId="23742029"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9028E4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218006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DD4FA89"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E9C48AA"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C9C750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94179A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FE4269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EAA9BD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2289D03"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6B1C27C5"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22EACCD"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3A8052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42529332" w14:textId="77777777" w:rsidTr="005B2986">
        <w:trPr>
          <w:trHeight w:val="504"/>
        </w:trPr>
        <w:tc>
          <w:tcPr>
            <w:tcW w:w="4962" w:type="dxa"/>
            <w:tcBorders>
              <w:top w:val="nil"/>
              <w:left w:val="nil"/>
              <w:bottom w:val="nil"/>
              <w:right w:val="nil"/>
            </w:tcBorders>
            <w:shd w:val="clear" w:color="auto" w:fill="auto"/>
            <w:vAlign w:val="center"/>
            <w:hideMark/>
          </w:tcPr>
          <w:p w14:paraId="377A6307"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Social justice outcomes</w:t>
            </w:r>
          </w:p>
        </w:tc>
        <w:tc>
          <w:tcPr>
            <w:tcW w:w="4789" w:type="dxa"/>
            <w:tcBorders>
              <w:top w:val="nil"/>
              <w:left w:val="nil"/>
              <w:bottom w:val="nil"/>
              <w:right w:val="single" w:sz="4" w:space="0" w:color="DDDDDD" w:themeColor="accent1"/>
            </w:tcBorders>
            <w:shd w:val="clear" w:color="auto" w:fill="auto"/>
            <w:vAlign w:val="center"/>
            <w:hideMark/>
          </w:tcPr>
          <w:p w14:paraId="6D35CA6C" w14:textId="2A403387" w:rsidR="004F1FCB" w:rsidRPr="008A7BA4" w:rsidRDefault="001948D0" w:rsidP="005B2986">
            <w:pPr>
              <w:spacing w:line="240" w:lineRule="auto"/>
              <w:ind w:firstLine="0"/>
              <w:rPr>
                <w:rFonts w:asciiTheme="majorHAnsi" w:eastAsia="Times New Roman" w:hAnsiTheme="majorHAnsi" w:cstheme="majorHAnsi"/>
                <w:color w:val="auto"/>
                <w:sz w:val="20"/>
                <w:szCs w:val="20"/>
                <w:lang w:val="en-AU" w:eastAsia="en-AU"/>
              </w:rPr>
            </w:pPr>
            <w:r>
              <w:rPr>
                <w:rFonts w:asciiTheme="majorHAnsi" w:eastAsia="Times New Roman" w:hAnsiTheme="majorHAnsi" w:cstheme="majorHAnsi"/>
                <w:color w:val="auto"/>
                <w:sz w:val="20"/>
                <w:szCs w:val="20"/>
                <w:lang w:val="en-AU" w:eastAsia="en-AU"/>
              </w:rPr>
              <w:t>A</w:t>
            </w:r>
            <w:r w:rsidR="004F1FCB" w:rsidRPr="008A7BA4">
              <w:rPr>
                <w:rFonts w:asciiTheme="majorHAnsi" w:eastAsia="Times New Roman" w:hAnsiTheme="majorHAnsi" w:cstheme="majorHAnsi"/>
                <w:color w:val="auto"/>
                <w:sz w:val="20"/>
                <w:szCs w:val="20"/>
                <w:lang w:val="en-AU" w:eastAsia="en-AU"/>
              </w:rPr>
              <w:t>wareness of cultural issues (Alhejji et al., 2015)</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3A38AFE"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418128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A8CBB15"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3F20B3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7A6119A"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8FE371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B94F1C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C0D545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66A363F"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3AFED2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F29919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8C4007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554E1BEE" w14:textId="77777777" w:rsidTr="005B2986">
        <w:trPr>
          <w:trHeight w:val="261"/>
        </w:trPr>
        <w:tc>
          <w:tcPr>
            <w:tcW w:w="4962" w:type="dxa"/>
            <w:tcBorders>
              <w:top w:val="nil"/>
              <w:left w:val="nil"/>
              <w:bottom w:val="nil"/>
              <w:right w:val="nil"/>
            </w:tcBorders>
            <w:shd w:val="clear" w:color="auto" w:fill="EFEFEF" w:themeFill="accent2" w:themeFillTint="33"/>
            <w:noWrap/>
            <w:vAlign w:val="bottom"/>
            <w:hideMark/>
          </w:tcPr>
          <w:p w14:paraId="74E5C751"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Perceived discrimination</w:t>
            </w:r>
          </w:p>
        </w:tc>
        <w:tc>
          <w:tcPr>
            <w:tcW w:w="4789" w:type="dxa"/>
            <w:tcBorders>
              <w:top w:val="nil"/>
              <w:left w:val="nil"/>
              <w:bottom w:val="nil"/>
              <w:right w:val="single" w:sz="4" w:space="0" w:color="DDDDDD" w:themeColor="accent1"/>
            </w:tcBorders>
            <w:shd w:val="clear" w:color="auto" w:fill="EFEFEF" w:themeFill="accent2" w:themeFillTint="33"/>
            <w:noWrap/>
            <w:vAlign w:val="bottom"/>
            <w:hideMark/>
          </w:tcPr>
          <w:p w14:paraId="2E1C6CAE"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3822B9A"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3CF650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662715D"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9A3D7B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D98A7D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46C64D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D661FC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1DD85D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A6512BB"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28C4030"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9874A61"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663D360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5C15E6E3" w14:textId="77777777" w:rsidTr="005B2986">
        <w:trPr>
          <w:trHeight w:val="504"/>
        </w:trPr>
        <w:tc>
          <w:tcPr>
            <w:tcW w:w="4962" w:type="dxa"/>
            <w:tcBorders>
              <w:top w:val="nil"/>
              <w:left w:val="nil"/>
              <w:bottom w:val="nil"/>
              <w:right w:val="nil"/>
            </w:tcBorders>
            <w:shd w:val="clear" w:color="auto" w:fill="auto"/>
            <w:vAlign w:val="center"/>
            <w:hideMark/>
          </w:tcPr>
          <w:p w14:paraId="3092698E"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Perceived discrimination among LGBT employees</w:t>
            </w:r>
          </w:p>
        </w:tc>
        <w:tc>
          <w:tcPr>
            <w:tcW w:w="4789" w:type="dxa"/>
            <w:tcBorders>
              <w:top w:val="nil"/>
              <w:left w:val="nil"/>
              <w:bottom w:val="nil"/>
              <w:right w:val="single" w:sz="4" w:space="0" w:color="DDDDDD" w:themeColor="accent1"/>
            </w:tcBorders>
            <w:shd w:val="clear" w:color="auto" w:fill="auto"/>
            <w:vAlign w:val="center"/>
            <w:hideMark/>
          </w:tcPr>
          <w:p w14:paraId="7BE83C3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Social situations where employees felt discriminated against (e.g., made one feel it was necessary to 'act straight') (Webster et al., 2018)</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75BA6DC"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21D107A"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00DE7E5"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086124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278490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B9712A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DB23F9F"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A3F72C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F23291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2EC274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8ACADE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3987D91"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r>
      <w:tr w:rsidR="004F1FCB" w:rsidRPr="008A7BA4" w14:paraId="46FA8865" w14:textId="77777777" w:rsidTr="005B2986">
        <w:trPr>
          <w:trHeight w:val="231"/>
        </w:trPr>
        <w:tc>
          <w:tcPr>
            <w:tcW w:w="4962" w:type="dxa"/>
            <w:tcBorders>
              <w:top w:val="nil"/>
              <w:left w:val="nil"/>
              <w:bottom w:val="nil"/>
              <w:right w:val="nil"/>
            </w:tcBorders>
            <w:shd w:val="clear" w:color="auto" w:fill="EFEFEF" w:themeFill="accent2" w:themeFillTint="33"/>
            <w:noWrap/>
            <w:vAlign w:val="bottom"/>
            <w:hideMark/>
          </w:tcPr>
          <w:p w14:paraId="4F4769AE"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Work performance or productivity</w:t>
            </w:r>
          </w:p>
        </w:tc>
        <w:tc>
          <w:tcPr>
            <w:tcW w:w="4789" w:type="dxa"/>
            <w:tcBorders>
              <w:top w:val="nil"/>
              <w:left w:val="nil"/>
              <w:bottom w:val="nil"/>
              <w:right w:val="single" w:sz="4" w:space="0" w:color="DDDDDD" w:themeColor="accent1"/>
            </w:tcBorders>
            <w:shd w:val="clear" w:color="auto" w:fill="EFEFEF" w:themeFill="accent2" w:themeFillTint="33"/>
            <w:noWrap/>
            <w:vAlign w:val="bottom"/>
            <w:hideMark/>
          </w:tcPr>
          <w:p w14:paraId="01AE228A"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06FB1F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80A5208"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EF9C178"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E7FD3CA"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8ECB2E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B97ABBF"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4A48CD6"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7BBCE66"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AEA0507"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ECFE5F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8B6EBE9"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6C850AC1"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26FC06FC" w14:textId="77777777" w:rsidTr="005B2986">
        <w:trPr>
          <w:trHeight w:val="504"/>
        </w:trPr>
        <w:tc>
          <w:tcPr>
            <w:tcW w:w="4962" w:type="dxa"/>
            <w:tcBorders>
              <w:top w:val="nil"/>
              <w:left w:val="nil"/>
              <w:bottom w:val="nil"/>
              <w:right w:val="nil"/>
            </w:tcBorders>
            <w:shd w:val="clear" w:color="auto" w:fill="auto"/>
            <w:vAlign w:val="center"/>
            <w:hideMark/>
          </w:tcPr>
          <w:p w14:paraId="144F7551"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Work productivity or performance</w:t>
            </w:r>
          </w:p>
        </w:tc>
        <w:tc>
          <w:tcPr>
            <w:tcW w:w="4789" w:type="dxa"/>
            <w:tcBorders>
              <w:top w:val="nil"/>
              <w:left w:val="nil"/>
              <w:bottom w:val="nil"/>
              <w:right w:val="single" w:sz="4" w:space="0" w:color="DDDDDD" w:themeColor="accent1"/>
            </w:tcBorders>
            <w:shd w:val="clear" w:color="auto" w:fill="auto"/>
            <w:vAlign w:val="center"/>
            <w:hideMark/>
          </w:tcPr>
          <w:p w14:paraId="47546A1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Productivity (Kapoor &amp; Solomon, 2011)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C778B2B"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1229FA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8548C63"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2</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E9A71F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6127C1F"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E30B35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D5CD0A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CBE159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34E8025"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596D9D1"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72F009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1377122"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r>
      <w:tr w:rsidR="004F1FCB" w:rsidRPr="008A7BA4" w14:paraId="0658AE3A" w14:textId="77777777" w:rsidTr="005B2986">
        <w:trPr>
          <w:trHeight w:val="152"/>
        </w:trPr>
        <w:tc>
          <w:tcPr>
            <w:tcW w:w="4962" w:type="dxa"/>
            <w:tcBorders>
              <w:top w:val="nil"/>
              <w:left w:val="nil"/>
              <w:bottom w:val="nil"/>
              <w:right w:val="nil"/>
            </w:tcBorders>
            <w:shd w:val="clear" w:color="auto" w:fill="EFEFEF" w:themeFill="accent2" w:themeFillTint="33"/>
            <w:noWrap/>
            <w:vAlign w:val="bottom"/>
            <w:hideMark/>
          </w:tcPr>
          <w:p w14:paraId="2DA4BF06" w14:textId="77777777" w:rsidR="004F1FCB" w:rsidRPr="008A7BA4" w:rsidRDefault="004F1FCB" w:rsidP="005B2986">
            <w:pPr>
              <w:spacing w:line="240" w:lineRule="auto"/>
              <w:ind w:firstLine="0"/>
              <w:rPr>
                <w:rFonts w:asciiTheme="majorHAnsi" w:eastAsia="Times New Roman" w:hAnsiTheme="majorHAnsi" w:cstheme="majorHAnsi"/>
                <w:b/>
                <w:color w:val="000000"/>
                <w:sz w:val="20"/>
                <w:szCs w:val="20"/>
                <w:lang w:val="en-AU" w:eastAsia="en-AU"/>
              </w:rPr>
            </w:pPr>
            <w:r w:rsidRPr="008A7BA4">
              <w:rPr>
                <w:rFonts w:asciiTheme="majorHAnsi" w:eastAsia="Times New Roman" w:hAnsiTheme="majorHAnsi" w:cstheme="majorHAnsi"/>
                <w:b/>
                <w:color w:val="000000"/>
                <w:sz w:val="20"/>
                <w:szCs w:val="20"/>
                <w:lang w:val="en-AU" w:eastAsia="en-AU"/>
              </w:rPr>
              <w:t>Dimension-specific and other outcomes</w:t>
            </w:r>
          </w:p>
        </w:tc>
        <w:tc>
          <w:tcPr>
            <w:tcW w:w="4789" w:type="dxa"/>
            <w:tcBorders>
              <w:top w:val="nil"/>
              <w:left w:val="nil"/>
              <w:bottom w:val="nil"/>
              <w:right w:val="single" w:sz="4" w:space="0" w:color="DDDDDD" w:themeColor="accent1"/>
            </w:tcBorders>
            <w:shd w:val="clear" w:color="auto" w:fill="EFEFEF" w:themeFill="accent2" w:themeFillTint="33"/>
            <w:noWrap/>
            <w:vAlign w:val="bottom"/>
            <w:hideMark/>
          </w:tcPr>
          <w:p w14:paraId="24411BFA" w14:textId="77777777" w:rsidR="004F1FCB" w:rsidRPr="008A7BA4" w:rsidRDefault="004F1FCB" w:rsidP="005B2986">
            <w:pPr>
              <w:spacing w:line="240" w:lineRule="auto"/>
              <w:ind w:firstLine="0"/>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70DB14A4"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1FB3DB14"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1E85FB6"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AACB3F7"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E80E552"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21EA456B"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3375F06A"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E94E47B"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410E1195"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3C5653B"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56C97C0C"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EFEFEF" w:themeFill="accent2" w:themeFillTint="33"/>
            <w:vAlign w:val="center"/>
            <w:hideMark/>
          </w:tcPr>
          <w:p w14:paraId="0AA8BC9E" w14:textId="77777777" w:rsidR="004F1FCB" w:rsidRPr="008A7BA4" w:rsidRDefault="004F1FCB" w:rsidP="005B2986">
            <w:pPr>
              <w:spacing w:line="240" w:lineRule="auto"/>
              <w:ind w:firstLine="0"/>
              <w:jc w:val="center"/>
              <w:rPr>
                <w:rFonts w:asciiTheme="majorHAnsi" w:eastAsia="Times New Roman" w:hAnsiTheme="majorHAnsi" w:cstheme="majorHAnsi"/>
                <w:color w:val="auto"/>
                <w:sz w:val="20"/>
                <w:szCs w:val="20"/>
                <w:lang w:val="en-AU" w:eastAsia="en-AU"/>
              </w:rPr>
            </w:pPr>
          </w:p>
        </w:tc>
      </w:tr>
      <w:tr w:rsidR="004F1FCB" w:rsidRPr="008A7BA4" w14:paraId="0A7ACA02" w14:textId="77777777" w:rsidTr="005B2986">
        <w:trPr>
          <w:trHeight w:val="504"/>
        </w:trPr>
        <w:tc>
          <w:tcPr>
            <w:tcW w:w="4962" w:type="dxa"/>
            <w:tcBorders>
              <w:top w:val="nil"/>
              <w:left w:val="nil"/>
              <w:bottom w:val="nil"/>
              <w:right w:val="nil"/>
            </w:tcBorders>
            <w:shd w:val="clear" w:color="auto" w:fill="auto"/>
            <w:vAlign w:val="center"/>
            <w:hideMark/>
          </w:tcPr>
          <w:p w14:paraId="13209CB9"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lastRenderedPageBreak/>
              <w:t>Disclosure among LGBT employees</w:t>
            </w:r>
          </w:p>
        </w:tc>
        <w:tc>
          <w:tcPr>
            <w:tcW w:w="4789" w:type="dxa"/>
            <w:tcBorders>
              <w:top w:val="nil"/>
              <w:left w:val="nil"/>
              <w:bottom w:val="nil"/>
              <w:right w:val="single" w:sz="4" w:space="0" w:color="DDDDDD" w:themeColor="accent1"/>
            </w:tcBorders>
            <w:shd w:val="clear" w:color="auto" w:fill="auto"/>
            <w:vAlign w:val="center"/>
            <w:hideMark/>
          </w:tcPr>
          <w:p w14:paraId="65291AC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Disclosure of sexual orientation (Webster et al., 2018)</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4F53F9F"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F96B63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3D934C5"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ECA4CD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1F2EE2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FA75FC2"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311462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8BE2F1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321AA93"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D9990CF"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755330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A92BD7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r>
      <w:tr w:rsidR="004F1FCB" w:rsidRPr="008A7BA4" w14:paraId="6C4D7F93" w14:textId="77777777" w:rsidTr="005B2986">
        <w:trPr>
          <w:trHeight w:val="504"/>
        </w:trPr>
        <w:tc>
          <w:tcPr>
            <w:tcW w:w="4962" w:type="dxa"/>
            <w:tcBorders>
              <w:top w:val="nil"/>
              <w:left w:val="nil"/>
              <w:bottom w:val="nil"/>
              <w:right w:val="nil"/>
            </w:tcBorders>
            <w:shd w:val="clear" w:color="auto" w:fill="auto"/>
            <w:vAlign w:val="center"/>
            <w:hideMark/>
          </w:tcPr>
          <w:p w14:paraId="23A4716A"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Disclosure of disability and receiving workplace accommodations</w:t>
            </w:r>
          </w:p>
        </w:tc>
        <w:tc>
          <w:tcPr>
            <w:tcW w:w="4789" w:type="dxa"/>
            <w:tcBorders>
              <w:top w:val="nil"/>
              <w:left w:val="nil"/>
              <w:bottom w:val="nil"/>
              <w:right w:val="single" w:sz="4" w:space="0" w:color="DDDDDD" w:themeColor="accent1"/>
            </w:tcBorders>
            <w:shd w:val="clear" w:color="auto" w:fill="auto"/>
            <w:vAlign w:val="center"/>
            <w:hideMark/>
          </w:tcPr>
          <w:p w14:paraId="769FBC4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Making an invisible disability visible in the context of employment (Prince, 2016)</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9080381"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37B5FC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F162F0E"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1181D4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528FE6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0B53AF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3A5003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C06CF1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C43A8A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AA90B5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22412A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CED07B5"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2</w:t>
            </w:r>
          </w:p>
        </w:tc>
      </w:tr>
      <w:tr w:rsidR="004F1FCB" w:rsidRPr="008A7BA4" w14:paraId="43487CD5" w14:textId="77777777" w:rsidTr="005B2986">
        <w:trPr>
          <w:trHeight w:val="504"/>
        </w:trPr>
        <w:tc>
          <w:tcPr>
            <w:tcW w:w="4962" w:type="dxa"/>
            <w:tcBorders>
              <w:top w:val="nil"/>
              <w:left w:val="nil"/>
              <w:bottom w:val="nil"/>
              <w:right w:val="nil"/>
            </w:tcBorders>
            <w:shd w:val="clear" w:color="auto" w:fill="auto"/>
            <w:vAlign w:val="center"/>
            <w:hideMark/>
          </w:tcPr>
          <w:p w14:paraId="74240C8E"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Older employees' health and employability</w:t>
            </w:r>
          </w:p>
        </w:tc>
        <w:tc>
          <w:tcPr>
            <w:tcW w:w="4789" w:type="dxa"/>
            <w:tcBorders>
              <w:top w:val="nil"/>
              <w:left w:val="nil"/>
              <w:bottom w:val="nil"/>
              <w:right w:val="single" w:sz="4" w:space="0" w:color="DDDDDD" w:themeColor="accent1"/>
            </w:tcBorders>
            <w:shd w:val="clear" w:color="auto" w:fill="auto"/>
            <w:vAlign w:val="center"/>
            <w:hideMark/>
          </w:tcPr>
          <w:p w14:paraId="2602A1F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Work-related vitality and work engagement (Soderbacka et al., 2020)</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E0D513C"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FF23AF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ACD239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ADA6C0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86F607F"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2</w:t>
            </w: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3D5D01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C9BCD2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01B2F9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DFE3BA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D444B0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FFFBC2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0E16E11"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r>
      <w:tr w:rsidR="004F1FCB" w:rsidRPr="008A7BA4" w14:paraId="3CE7ADAF" w14:textId="77777777" w:rsidTr="005B2986">
        <w:trPr>
          <w:trHeight w:val="504"/>
        </w:trPr>
        <w:tc>
          <w:tcPr>
            <w:tcW w:w="4962" w:type="dxa"/>
            <w:tcBorders>
              <w:top w:val="nil"/>
              <w:left w:val="nil"/>
              <w:bottom w:val="nil"/>
              <w:right w:val="nil"/>
            </w:tcBorders>
            <w:shd w:val="clear" w:color="auto" w:fill="auto"/>
            <w:vAlign w:val="center"/>
            <w:hideMark/>
          </w:tcPr>
          <w:p w14:paraId="4EE9DE7B"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Bio-psychosocial outcomes</w:t>
            </w:r>
          </w:p>
        </w:tc>
        <w:tc>
          <w:tcPr>
            <w:tcW w:w="4789" w:type="dxa"/>
            <w:tcBorders>
              <w:top w:val="nil"/>
              <w:left w:val="nil"/>
              <w:bottom w:val="nil"/>
              <w:right w:val="single" w:sz="4" w:space="0" w:color="DDDDDD" w:themeColor="accent1"/>
            </w:tcBorders>
            <w:shd w:val="clear" w:color="auto" w:fill="auto"/>
            <w:vAlign w:val="center"/>
            <w:hideMark/>
          </w:tcPr>
          <w:p w14:paraId="7D08EC1F" w14:textId="5CF29F1C" w:rsidR="004F1FCB" w:rsidRPr="008A7BA4" w:rsidRDefault="001948D0" w:rsidP="005B2986">
            <w:pPr>
              <w:spacing w:line="240" w:lineRule="auto"/>
              <w:ind w:firstLine="0"/>
              <w:rPr>
                <w:rFonts w:asciiTheme="majorHAnsi" w:eastAsia="Times New Roman" w:hAnsiTheme="majorHAnsi" w:cstheme="majorHAnsi"/>
                <w:color w:val="auto"/>
                <w:sz w:val="20"/>
                <w:szCs w:val="20"/>
                <w:lang w:val="en-AU" w:eastAsia="en-AU"/>
              </w:rPr>
            </w:pPr>
            <w:r>
              <w:rPr>
                <w:rFonts w:asciiTheme="majorHAnsi" w:eastAsia="Times New Roman" w:hAnsiTheme="majorHAnsi" w:cstheme="majorHAnsi"/>
                <w:color w:val="auto"/>
                <w:sz w:val="20"/>
                <w:szCs w:val="20"/>
                <w:lang w:val="en-AU" w:eastAsia="en-AU"/>
              </w:rPr>
              <w:t>P</w:t>
            </w:r>
            <w:r w:rsidR="004F1FCB" w:rsidRPr="008A7BA4">
              <w:rPr>
                <w:rFonts w:asciiTheme="majorHAnsi" w:eastAsia="Times New Roman" w:hAnsiTheme="majorHAnsi" w:cstheme="majorHAnsi"/>
                <w:color w:val="auto"/>
                <w:sz w:val="20"/>
                <w:szCs w:val="20"/>
                <w:lang w:val="en-AU" w:eastAsia="en-AU"/>
              </w:rPr>
              <w:t>hysical function (Wong et al., 2021)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A57607D"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51D85B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8A04D7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8C8DC11"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CAF7275"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1C6DD2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51E00A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B0C9D7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E023DB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707757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43349F3"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EA8CDB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r>
      <w:tr w:rsidR="004F1FCB" w:rsidRPr="008A7BA4" w14:paraId="66DBA958" w14:textId="77777777" w:rsidTr="005B2986">
        <w:trPr>
          <w:trHeight w:val="504"/>
        </w:trPr>
        <w:tc>
          <w:tcPr>
            <w:tcW w:w="4962" w:type="dxa"/>
            <w:tcBorders>
              <w:top w:val="nil"/>
              <w:left w:val="nil"/>
              <w:bottom w:val="nil"/>
              <w:right w:val="nil"/>
            </w:tcBorders>
            <w:shd w:val="clear" w:color="auto" w:fill="auto"/>
            <w:vAlign w:val="center"/>
            <w:hideMark/>
          </w:tcPr>
          <w:p w14:paraId="1EFED6C3"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Organisational attractiveness to women and minorities</w:t>
            </w:r>
          </w:p>
        </w:tc>
        <w:tc>
          <w:tcPr>
            <w:tcW w:w="4789" w:type="dxa"/>
            <w:tcBorders>
              <w:top w:val="nil"/>
              <w:left w:val="nil"/>
              <w:bottom w:val="nil"/>
              <w:right w:val="single" w:sz="4" w:space="0" w:color="DDDDDD" w:themeColor="accent1"/>
            </w:tcBorders>
            <w:shd w:val="clear" w:color="auto" w:fill="auto"/>
            <w:vAlign w:val="center"/>
            <w:hideMark/>
          </w:tcPr>
          <w:p w14:paraId="3181B58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Perceptions of organi</w:t>
            </w:r>
            <w:r>
              <w:rPr>
                <w:rFonts w:asciiTheme="majorHAnsi" w:eastAsia="Times New Roman" w:hAnsiTheme="majorHAnsi" w:cstheme="majorHAnsi"/>
                <w:color w:val="auto"/>
                <w:sz w:val="20"/>
                <w:szCs w:val="20"/>
                <w:lang w:val="en-AU" w:eastAsia="en-AU"/>
              </w:rPr>
              <w:t>z</w:t>
            </w:r>
            <w:r w:rsidRPr="008A7BA4">
              <w:rPr>
                <w:rFonts w:asciiTheme="majorHAnsi" w:eastAsia="Times New Roman" w:hAnsiTheme="majorHAnsi" w:cstheme="majorHAnsi"/>
                <w:color w:val="auto"/>
                <w:sz w:val="20"/>
                <w:szCs w:val="20"/>
                <w:lang w:val="en-AU" w:eastAsia="en-AU"/>
              </w:rPr>
              <w:t>ational attractiveness (Yang &amp; Konrad, 2011)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81EE3B3"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4121F1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63ED59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395232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B7351F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21C1154"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9D17785"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3E2DF0B"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1937C87"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21D4C4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903A50A"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BDF76C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3C220544" w14:textId="77777777" w:rsidTr="005B2986">
        <w:trPr>
          <w:trHeight w:val="504"/>
        </w:trPr>
        <w:tc>
          <w:tcPr>
            <w:tcW w:w="4962" w:type="dxa"/>
            <w:tcBorders>
              <w:top w:val="nil"/>
              <w:left w:val="nil"/>
              <w:bottom w:val="nil"/>
              <w:right w:val="nil"/>
            </w:tcBorders>
            <w:shd w:val="clear" w:color="auto" w:fill="auto"/>
            <w:vAlign w:val="center"/>
            <w:hideMark/>
          </w:tcPr>
          <w:p w14:paraId="13FC9001"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Gender division of labour</w:t>
            </w:r>
          </w:p>
        </w:tc>
        <w:tc>
          <w:tcPr>
            <w:tcW w:w="4789" w:type="dxa"/>
            <w:tcBorders>
              <w:top w:val="nil"/>
              <w:left w:val="nil"/>
              <w:bottom w:val="nil"/>
              <w:right w:val="single" w:sz="4" w:space="0" w:color="DDDDDD" w:themeColor="accent1"/>
            </w:tcBorders>
            <w:shd w:val="clear" w:color="auto" w:fill="auto"/>
            <w:vAlign w:val="center"/>
            <w:hideMark/>
          </w:tcPr>
          <w:p w14:paraId="5B2D3394"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Women's labor force participation (Hegewisch &amp; Gornick, 2011)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0209DF6"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E58E77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3B4BF3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8193610"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A3BF8C7"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9C3B28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3A49C6A"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D11714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2</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133009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CAB68B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6DE157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0EA6B4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5FDDE1A7" w14:textId="77777777" w:rsidTr="005B2986">
        <w:trPr>
          <w:trHeight w:val="504"/>
        </w:trPr>
        <w:tc>
          <w:tcPr>
            <w:tcW w:w="4962" w:type="dxa"/>
            <w:tcBorders>
              <w:top w:val="nil"/>
              <w:left w:val="nil"/>
              <w:bottom w:val="nil"/>
              <w:right w:val="nil"/>
            </w:tcBorders>
            <w:shd w:val="clear" w:color="auto" w:fill="auto"/>
            <w:vAlign w:val="center"/>
            <w:hideMark/>
          </w:tcPr>
          <w:p w14:paraId="0030DB53"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Return to work for employees with disability</w:t>
            </w:r>
          </w:p>
        </w:tc>
        <w:tc>
          <w:tcPr>
            <w:tcW w:w="4789" w:type="dxa"/>
            <w:tcBorders>
              <w:top w:val="nil"/>
              <w:left w:val="nil"/>
              <w:bottom w:val="nil"/>
              <w:right w:val="single" w:sz="4" w:space="0" w:color="DDDDDD" w:themeColor="accent1"/>
            </w:tcBorders>
            <w:shd w:val="clear" w:color="auto" w:fill="auto"/>
            <w:vAlign w:val="center"/>
            <w:hideMark/>
          </w:tcPr>
          <w:p w14:paraId="6D5AA104"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Return to work following illness or disability (Jansen et al., 2021)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8E01A8E"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867847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650A823"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F4F0C53"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6989C2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7AC43E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6B537A1"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123DF0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82ECFB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6E3EC6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0F149D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3A9B051"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r>
      <w:tr w:rsidR="004F1FCB" w:rsidRPr="008A7BA4" w14:paraId="49B8EC20" w14:textId="77777777" w:rsidTr="005B2986">
        <w:trPr>
          <w:trHeight w:val="504"/>
        </w:trPr>
        <w:tc>
          <w:tcPr>
            <w:tcW w:w="4962" w:type="dxa"/>
            <w:tcBorders>
              <w:top w:val="nil"/>
              <w:left w:val="nil"/>
              <w:bottom w:val="nil"/>
              <w:right w:val="nil"/>
            </w:tcBorders>
            <w:shd w:val="clear" w:color="auto" w:fill="auto"/>
            <w:vAlign w:val="center"/>
            <w:hideMark/>
          </w:tcPr>
          <w:p w14:paraId="5E269AE2"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Reduction of psychological strain among LGBT employees</w:t>
            </w:r>
          </w:p>
        </w:tc>
        <w:tc>
          <w:tcPr>
            <w:tcW w:w="4789" w:type="dxa"/>
            <w:tcBorders>
              <w:top w:val="nil"/>
              <w:left w:val="nil"/>
              <w:bottom w:val="nil"/>
              <w:right w:val="single" w:sz="4" w:space="0" w:color="DDDDDD" w:themeColor="accent1"/>
            </w:tcBorders>
            <w:shd w:val="clear" w:color="auto" w:fill="auto"/>
            <w:vAlign w:val="center"/>
            <w:hideMark/>
          </w:tcPr>
          <w:p w14:paraId="0A10BA6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Lowered anxiety (Webster et al., 2018)</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ECCB7C5"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EB2E80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07CC1E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D2818A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645C48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D9192C3"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4B81842"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5877884"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9271FF1"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D013F0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3DC17F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D90DE9C"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r>
      <w:tr w:rsidR="004F1FCB" w:rsidRPr="008A7BA4" w14:paraId="4CAD7B37" w14:textId="77777777" w:rsidTr="005B2986">
        <w:trPr>
          <w:trHeight w:val="504"/>
        </w:trPr>
        <w:tc>
          <w:tcPr>
            <w:tcW w:w="4962" w:type="dxa"/>
            <w:tcBorders>
              <w:top w:val="nil"/>
              <w:left w:val="nil"/>
              <w:bottom w:val="nil"/>
              <w:right w:val="nil"/>
            </w:tcBorders>
            <w:shd w:val="clear" w:color="auto" w:fill="auto"/>
            <w:vAlign w:val="center"/>
            <w:hideMark/>
          </w:tcPr>
          <w:p w14:paraId="56475F37"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Career satisfaction, improved skills, confidence</w:t>
            </w:r>
          </w:p>
        </w:tc>
        <w:tc>
          <w:tcPr>
            <w:tcW w:w="4789" w:type="dxa"/>
            <w:tcBorders>
              <w:top w:val="nil"/>
              <w:left w:val="nil"/>
              <w:bottom w:val="nil"/>
              <w:right w:val="single" w:sz="4" w:space="0" w:color="DDDDDD" w:themeColor="accent1"/>
            </w:tcBorders>
            <w:shd w:val="clear" w:color="auto" w:fill="auto"/>
            <w:vAlign w:val="center"/>
            <w:hideMark/>
          </w:tcPr>
          <w:p w14:paraId="0B1CA7C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Self-determination (Procknow &amp; Rocco, 2016)</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55D8596"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FDAB4D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45884C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2EABCF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260B83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388A17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BA78A54"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5729D98"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914AB55"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8FDB0ED"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7792DC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EDE995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2A7B4758" w14:textId="77777777" w:rsidTr="005B2986">
        <w:trPr>
          <w:trHeight w:val="504"/>
        </w:trPr>
        <w:tc>
          <w:tcPr>
            <w:tcW w:w="4962" w:type="dxa"/>
            <w:tcBorders>
              <w:top w:val="nil"/>
              <w:left w:val="nil"/>
              <w:bottom w:val="nil"/>
              <w:right w:val="nil"/>
            </w:tcBorders>
            <w:shd w:val="clear" w:color="auto" w:fill="auto"/>
            <w:vAlign w:val="center"/>
            <w:hideMark/>
          </w:tcPr>
          <w:p w14:paraId="365CDA4D"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Reactions to training</w:t>
            </w:r>
          </w:p>
        </w:tc>
        <w:tc>
          <w:tcPr>
            <w:tcW w:w="4789" w:type="dxa"/>
            <w:tcBorders>
              <w:top w:val="nil"/>
              <w:left w:val="nil"/>
              <w:bottom w:val="nil"/>
              <w:right w:val="single" w:sz="4" w:space="0" w:color="DDDDDD" w:themeColor="accent1"/>
            </w:tcBorders>
            <w:shd w:val="clear" w:color="auto" w:fill="auto"/>
            <w:vAlign w:val="center"/>
            <w:hideMark/>
          </w:tcPr>
          <w:p w14:paraId="232F965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Feelings towards training (Bezrukova et al., 2016)</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3A73D54"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1E8A26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4ABDA16"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FDA312B"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09D1AC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6195488"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4CCB223"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BDAA7B2"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E60119E"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690DA9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E1DA7CB"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2BAFCA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4F1FCB" w:rsidRPr="008A7BA4" w14:paraId="155E3A28" w14:textId="77777777" w:rsidTr="005B2986">
        <w:trPr>
          <w:trHeight w:val="504"/>
        </w:trPr>
        <w:tc>
          <w:tcPr>
            <w:tcW w:w="4962" w:type="dxa"/>
            <w:tcBorders>
              <w:top w:val="nil"/>
              <w:left w:val="nil"/>
              <w:right w:val="nil"/>
            </w:tcBorders>
            <w:shd w:val="clear" w:color="auto" w:fill="auto"/>
            <w:vAlign w:val="center"/>
            <w:hideMark/>
          </w:tcPr>
          <w:p w14:paraId="566CC90B" w14:textId="77777777" w:rsidR="004F1FCB" w:rsidRPr="008A7BA4" w:rsidRDefault="004F1FCB" w:rsidP="00090507">
            <w:pPr>
              <w:spacing w:line="240" w:lineRule="auto"/>
              <w:ind w:left="318" w:firstLine="0"/>
              <w:rPr>
                <w:rFonts w:asciiTheme="majorHAnsi" w:eastAsia="Times New Roman" w:hAnsiTheme="majorHAnsi" w:cstheme="majorHAnsi"/>
                <w:color w:val="auto"/>
                <w:sz w:val="20"/>
                <w:szCs w:val="20"/>
                <w:lang w:val="en-AU" w:eastAsia="en-AU"/>
              </w:rPr>
            </w:pPr>
            <w:r w:rsidRPr="008A7BA4">
              <w:rPr>
                <w:rFonts w:asciiTheme="majorHAnsi" w:eastAsia="Times New Roman" w:hAnsiTheme="majorHAnsi" w:cstheme="majorHAnsi"/>
                <w:color w:val="auto"/>
                <w:sz w:val="20"/>
                <w:szCs w:val="20"/>
                <w:lang w:val="en-AU" w:eastAsia="en-AU"/>
              </w:rPr>
              <w:t>Not specified</w:t>
            </w:r>
          </w:p>
        </w:tc>
        <w:tc>
          <w:tcPr>
            <w:tcW w:w="4789" w:type="dxa"/>
            <w:tcBorders>
              <w:top w:val="nil"/>
              <w:left w:val="nil"/>
              <w:right w:val="single" w:sz="4" w:space="0" w:color="DDDDDD" w:themeColor="accent1"/>
            </w:tcBorders>
            <w:shd w:val="clear" w:color="auto" w:fill="auto"/>
            <w:vAlign w:val="center"/>
            <w:hideMark/>
          </w:tcPr>
          <w:p w14:paraId="26698F2D"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AA68591" w14:textId="77777777" w:rsidR="004F1FCB" w:rsidRPr="008A7BA4" w:rsidRDefault="004F1FCB" w:rsidP="005B2986">
            <w:pPr>
              <w:spacing w:line="240" w:lineRule="auto"/>
              <w:ind w:firstLine="0"/>
              <w:jc w:val="right"/>
              <w:rPr>
                <w:rFonts w:asciiTheme="majorHAnsi" w:eastAsia="Times New Roman" w:hAnsiTheme="majorHAnsi" w:cstheme="majorHAnsi"/>
                <w:color w:val="auto"/>
                <w:sz w:val="20"/>
                <w:szCs w:val="20"/>
                <w:lang w:val="en-AU" w:eastAsia="en-AU"/>
              </w:rPr>
            </w:pPr>
          </w:p>
        </w:tc>
        <w:tc>
          <w:tcPr>
            <w:tcW w:w="350"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215EEBD0"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1893FC3"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95FF455"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39"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12D2837"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28"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0C6C7676"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61"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38095459"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58F5BF1C"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66B17AC6"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r w:rsidRPr="008A7BA4">
              <w:rPr>
                <w:rFonts w:asciiTheme="majorHAnsi" w:eastAsia="Times New Roman" w:hAnsiTheme="majorHAnsi" w:cstheme="majorHAnsi"/>
                <w:color w:val="000000"/>
                <w:sz w:val="20"/>
                <w:szCs w:val="20"/>
                <w:lang w:val="en-AU" w:eastAsia="en-AU"/>
              </w:rPr>
              <w:t>1</w:t>
            </w:r>
          </w:p>
        </w:tc>
        <w:tc>
          <w:tcPr>
            <w:tcW w:w="3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41BFE375" w14:textId="77777777" w:rsidR="004F1FCB" w:rsidRPr="008A7BA4" w:rsidRDefault="004F1FCB" w:rsidP="005B2986">
            <w:pPr>
              <w:spacing w:line="240" w:lineRule="auto"/>
              <w:ind w:firstLine="0"/>
              <w:jc w:val="right"/>
              <w:rPr>
                <w:rFonts w:asciiTheme="majorHAnsi" w:eastAsia="Times New Roman" w:hAnsiTheme="majorHAnsi" w:cstheme="majorHAnsi"/>
                <w:color w:val="000000"/>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7985DE0F"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c>
          <w:tcPr>
            <w:tcW w:w="416" w:type="dxa"/>
            <w:tcBorders>
              <w:top w:val="single" w:sz="4" w:space="0" w:color="DDDDDD" w:themeColor="accent1"/>
              <w:left w:val="single" w:sz="4" w:space="0" w:color="DDDDDD" w:themeColor="accent1"/>
              <w:bottom w:val="single" w:sz="4" w:space="0" w:color="DDDDDD" w:themeColor="accent1"/>
              <w:right w:val="single" w:sz="4" w:space="0" w:color="DDDDDD" w:themeColor="accent1"/>
            </w:tcBorders>
            <w:shd w:val="clear" w:color="auto" w:fill="auto"/>
            <w:vAlign w:val="bottom"/>
            <w:hideMark/>
          </w:tcPr>
          <w:p w14:paraId="1FA4EE7F" w14:textId="77777777" w:rsidR="004F1FCB" w:rsidRPr="008A7BA4" w:rsidRDefault="004F1FCB" w:rsidP="005B2986">
            <w:pPr>
              <w:spacing w:line="240" w:lineRule="auto"/>
              <w:ind w:firstLine="0"/>
              <w:rPr>
                <w:rFonts w:asciiTheme="majorHAnsi" w:eastAsia="Times New Roman" w:hAnsiTheme="majorHAnsi" w:cstheme="majorHAnsi"/>
                <w:color w:val="auto"/>
                <w:sz w:val="20"/>
                <w:szCs w:val="20"/>
                <w:lang w:val="en-AU" w:eastAsia="en-AU"/>
              </w:rPr>
            </w:pPr>
          </w:p>
        </w:tc>
      </w:tr>
      <w:tr w:rsidR="001948D0" w:rsidRPr="008A7BA4" w14:paraId="1188DFBA" w14:textId="77777777" w:rsidTr="000618ED">
        <w:trPr>
          <w:trHeight w:val="504"/>
        </w:trPr>
        <w:tc>
          <w:tcPr>
            <w:tcW w:w="9751" w:type="dxa"/>
            <w:gridSpan w:val="2"/>
            <w:tcBorders>
              <w:top w:val="nil"/>
              <w:left w:val="nil"/>
              <w:bottom w:val="single" w:sz="4" w:space="0" w:color="auto"/>
              <w:right w:val="single" w:sz="4" w:space="0" w:color="DDDDDD" w:themeColor="accent1"/>
            </w:tcBorders>
            <w:shd w:val="clear" w:color="auto" w:fill="auto"/>
            <w:vAlign w:val="center"/>
            <w:hideMark/>
          </w:tcPr>
          <w:p w14:paraId="57E891AE" w14:textId="54B63F7A" w:rsidR="001948D0" w:rsidRPr="008A7BA4" w:rsidRDefault="001948D0" w:rsidP="005B2986">
            <w:pPr>
              <w:spacing w:line="240" w:lineRule="auto"/>
              <w:ind w:firstLine="0"/>
              <w:rPr>
                <w:rFonts w:asciiTheme="majorHAnsi" w:eastAsia="Times New Roman" w:hAnsiTheme="majorHAnsi" w:cstheme="majorHAnsi"/>
                <w:b/>
                <w:color w:val="auto"/>
                <w:sz w:val="20"/>
                <w:szCs w:val="20"/>
                <w:lang w:val="en-AU" w:eastAsia="en-AU"/>
              </w:rPr>
            </w:pPr>
            <w:r w:rsidRPr="008A7BA4">
              <w:rPr>
                <w:rFonts w:asciiTheme="majorHAnsi" w:eastAsia="Times New Roman" w:hAnsiTheme="majorHAnsi" w:cstheme="majorHAnsi"/>
                <w:b/>
                <w:color w:val="auto"/>
                <w:sz w:val="20"/>
                <w:szCs w:val="20"/>
                <w:lang w:val="en-AU" w:eastAsia="en-AU"/>
              </w:rPr>
              <w:t xml:space="preserve">Total number of </w:t>
            </w:r>
            <w:r>
              <w:rPr>
                <w:rFonts w:asciiTheme="majorHAnsi" w:eastAsia="Times New Roman" w:hAnsiTheme="majorHAnsi" w:cstheme="majorHAnsi"/>
                <w:b/>
                <w:color w:val="auto"/>
                <w:sz w:val="20"/>
                <w:szCs w:val="20"/>
                <w:lang w:val="en-AU" w:eastAsia="en-AU"/>
              </w:rPr>
              <w:t>intervention</w:t>
            </w:r>
            <w:r w:rsidRPr="008A7BA4">
              <w:rPr>
                <w:rFonts w:asciiTheme="majorHAnsi" w:eastAsia="Times New Roman" w:hAnsiTheme="majorHAnsi" w:cstheme="majorHAnsi"/>
                <w:b/>
                <w:color w:val="auto"/>
                <w:sz w:val="20"/>
                <w:szCs w:val="20"/>
                <w:lang w:val="en-AU" w:eastAsia="en-AU"/>
              </w:rPr>
              <w:t>–outcome pairings per category</w:t>
            </w:r>
          </w:p>
        </w:tc>
        <w:tc>
          <w:tcPr>
            <w:tcW w:w="361"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102992C9"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3</w:t>
            </w:r>
          </w:p>
        </w:tc>
        <w:tc>
          <w:tcPr>
            <w:tcW w:w="350"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25F0E2F1"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9</w:t>
            </w:r>
          </w:p>
        </w:tc>
        <w:tc>
          <w:tcPr>
            <w:tcW w:w="416"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253EFAB0"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19</w:t>
            </w:r>
          </w:p>
        </w:tc>
        <w:tc>
          <w:tcPr>
            <w:tcW w:w="361"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7C24022F"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7</w:t>
            </w:r>
          </w:p>
        </w:tc>
        <w:tc>
          <w:tcPr>
            <w:tcW w:w="339"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0C74B386"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4</w:t>
            </w:r>
          </w:p>
        </w:tc>
        <w:tc>
          <w:tcPr>
            <w:tcW w:w="328"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7417C543"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7</w:t>
            </w:r>
          </w:p>
        </w:tc>
        <w:tc>
          <w:tcPr>
            <w:tcW w:w="361"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4EF79446"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9</w:t>
            </w:r>
          </w:p>
        </w:tc>
        <w:tc>
          <w:tcPr>
            <w:tcW w:w="416"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0B0021DE"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13</w:t>
            </w:r>
          </w:p>
        </w:tc>
        <w:tc>
          <w:tcPr>
            <w:tcW w:w="316"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1F1FEC5C"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6</w:t>
            </w:r>
          </w:p>
        </w:tc>
        <w:tc>
          <w:tcPr>
            <w:tcW w:w="316"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26BB4D6E"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2</w:t>
            </w:r>
          </w:p>
        </w:tc>
        <w:tc>
          <w:tcPr>
            <w:tcW w:w="416"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7A963DCA"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14</w:t>
            </w:r>
          </w:p>
        </w:tc>
        <w:tc>
          <w:tcPr>
            <w:tcW w:w="416" w:type="dxa"/>
            <w:tcBorders>
              <w:top w:val="single" w:sz="4" w:space="0" w:color="DDDDDD" w:themeColor="accent1"/>
              <w:left w:val="single" w:sz="4" w:space="0" w:color="DDDDDD" w:themeColor="accent1"/>
              <w:bottom w:val="single" w:sz="4" w:space="0" w:color="auto"/>
              <w:right w:val="single" w:sz="4" w:space="0" w:color="DDDDDD" w:themeColor="accent1"/>
            </w:tcBorders>
            <w:shd w:val="clear" w:color="auto" w:fill="auto"/>
            <w:vAlign w:val="bottom"/>
          </w:tcPr>
          <w:p w14:paraId="70CD5D80" w14:textId="77777777" w:rsidR="001948D0" w:rsidRPr="008A7BA4" w:rsidRDefault="001948D0" w:rsidP="005B2986">
            <w:pPr>
              <w:spacing w:line="240" w:lineRule="auto"/>
              <w:ind w:firstLine="0"/>
              <w:jc w:val="right"/>
              <w:rPr>
                <w:rFonts w:asciiTheme="majorHAnsi" w:eastAsia="Times New Roman" w:hAnsiTheme="majorHAnsi" w:cstheme="majorHAnsi"/>
                <w:b/>
                <w:color w:val="000000"/>
                <w:sz w:val="20"/>
                <w:szCs w:val="20"/>
                <w:lang w:val="en-AU" w:eastAsia="en-AU"/>
              </w:rPr>
            </w:pPr>
            <w:r>
              <w:rPr>
                <w:rFonts w:asciiTheme="majorHAnsi" w:eastAsia="Times New Roman" w:hAnsiTheme="majorHAnsi" w:cstheme="majorHAnsi"/>
                <w:b/>
                <w:color w:val="000000"/>
                <w:sz w:val="20"/>
                <w:szCs w:val="20"/>
                <w:lang w:val="en-AU" w:eastAsia="en-AU"/>
              </w:rPr>
              <w:t>12</w:t>
            </w:r>
          </w:p>
        </w:tc>
      </w:tr>
    </w:tbl>
    <w:p w14:paraId="4AFBAF85" w14:textId="77777777" w:rsidR="004F1FCB" w:rsidRDefault="004F1FCB" w:rsidP="004F1FCB">
      <w:pPr>
        <w:ind w:firstLine="0"/>
        <w:rPr>
          <w:bCs/>
          <w:i/>
        </w:rPr>
      </w:pPr>
    </w:p>
    <w:p w14:paraId="34897010" w14:textId="77777777" w:rsidR="004F1FCB" w:rsidRDefault="004F1FCB" w:rsidP="004F1FCB">
      <w:pPr>
        <w:ind w:firstLine="0"/>
      </w:pPr>
      <w:r>
        <w:t>Notes:</w:t>
      </w:r>
    </w:p>
    <w:p w14:paraId="179CDB20" w14:textId="718EB57B" w:rsidR="004F1FCB" w:rsidRDefault="004F1FCB" w:rsidP="004F1FCB">
      <w:pPr>
        <w:pStyle w:val="ListParagraph"/>
        <w:numPr>
          <w:ilvl w:val="0"/>
          <w:numId w:val="30"/>
        </w:numPr>
        <w:ind w:left="567" w:hanging="283"/>
      </w:pPr>
      <w:r>
        <w:t xml:space="preserve">Cell counts indicate </w:t>
      </w:r>
      <w:r w:rsidR="001948D0">
        <w:t>intervention</w:t>
      </w:r>
      <w:r>
        <w:t xml:space="preserve">–outcome links; multiple links are possible where there were different outcomes for a single </w:t>
      </w:r>
      <w:r w:rsidR="001948D0">
        <w:t>intervention</w:t>
      </w:r>
      <w:r>
        <w:t>.</w:t>
      </w:r>
    </w:p>
    <w:p w14:paraId="778F0EC6" w14:textId="77777777" w:rsidR="004F1FCB" w:rsidRDefault="004F1FCB" w:rsidP="004F1FCB">
      <w:pPr>
        <w:pStyle w:val="ListParagraph"/>
        <w:numPr>
          <w:ilvl w:val="0"/>
          <w:numId w:val="30"/>
        </w:numPr>
        <w:ind w:left="567" w:hanging="283"/>
      </w:pPr>
      <w:r>
        <w:t>Any pairings identified as having a lack of evidence or evidence of no effect were removed for this diagram.</w:t>
      </w:r>
    </w:p>
    <w:p w14:paraId="4636ABF4" w14:textId="77777777" w:rsidR="004F1FCB" w:rsidRPr="0048028F" w:rsidRDefault="004F1FCB" w:rsidP="004F1FCB">
      <w:pPr>
        <w:pStyle w:val="ListParagraph"/>
        <w:numPr>
          <w:ilvl w:val="0"/>
          <w:numId w:val="30"/>
        </w:numPr>
        <w:ind w:left="567" w:hanging="283"/>
        <w:rPr>
          <w:bCs/>
        </w:rPr>
      </w:pPr>
      <w:r>
        <w:rPr>
          <w:bCs/>
        </w:rPr>
        <w:lastRenderedPageBreak/>
        <w:t xml:space="preserve">Intervention categories are coded as follows: </w:t>
      </w:r>
      <w:r w:rsidRPr="0048028F">
        <w:rPr>
          <w:bCs/>
        </w:rPr>
        <w:t>A=Audits</w:t>
      </w:r>
      <w:r>
        <w:rPr>
          <w:bCs/>
        </w:rPr>
        <w:t>, reviews, and assessments</w:t>
      </w:r>
      <w:r w:rsidRPr="0048028F">
        <w:rPr>
          <w:bCs/>
        </w:rPr>
        <w:t>. B = De-biasing</w:t>
      </w:r>
      <w:r>
        <w:rPr>
          <w:bCs/>
        </w:rPr>
        <w:t xml:space="preserve"> of selection procedures</w:t>
      </w:r>
      <w:r w:rsidRPr="0048028F">
        <w:rPr>
          <w:bCs/>
        </w:rPr>
        <w:t>. C = Diversity training</w:t>
      </w:r>
      <w:r>
        <w:rPr>
          <w:bCs/>
        </w:rPr>
        <w:t xml:space="preserve"> and education</w:t>
      </w:r>
      <w:r w:rsidRPr="0048028F">
        <w:rPr>
          <w:bCs/>
        </w:rPr>
        <w:t>. D = Flexible work</w:t>
      </w:r>
      <w:r>
        <w:rPr>
          <w:bCs/>
        </w:rPr>
        <w:t xml:space="preserve"> arrangements</w:t>
      </w:r>
      <w:r w:rsidRPr="0048028F">
        <w:rPr>
          <w:bCs/>
        </w:rPr>
        <w:t>. E = Health promotion</w:t>
      </w:r>
      <w:r>
        <w:rPr>
          <w:bCs/>
        </w:rPr>
        <w:t xml:space="preserve"> activities</w:t>
      </w:r>
      <w:r w:rsidRPr="0048028F">
        <w:rPr>
          <w:bCs/>
        </w:rPr>
        <w:t xml:space="preserve">. F = Informal </w:t>
      </w:r>
      <w:r>
        <w:rPr>
          <w:bCs/>
        </w:rPr>
        <w:t xml:space="preserve">workplace </w:t>
      </w:r>
      <w:r w:rsidRPr="0048028F">
        <w:rPr>
          <w:bCs/>
        </w:rPr>
        <w:t xml:space="preserve">supports. G = Job training and coaching. H = </w:t>
      </w:r>
      <w:r>
        <w:rPr>
          <w:bCs/>
        </w:rPr>
        <w:t>Policies involving r</w:t>
      </w:r>
      <w:r w:rsidRPr="0048028F">
        <w:rPr>
          <w:bCs/>
        </w:rPr>
        <w:t xml:space="preserve">ecruitment, leave, </w:t>
      </w:r>
      <w:r>
        <w:rPr>
          <w:bCs/>
        </w:rPr>
        <w:t xml:space="preserve">and </w:t>
      </w:r>
      <w:r w:rsidRPr="0048028F">
        <w:rPr>
          <w:bCs/>
        </w:rPr>
        <w:t>compensatio</w:t>
      </w:r>
      <w:r>
        <w:rPr>
          <w:bCs/>
        </w:rPr>
        <w:t>n</w:t>
      </w:r>
      <w:r w:rsidRPr="0048028F">
        <w:rPr>
          <w:bCs/>
        </w:rPr>
        <w:t>. I = Role models and mentors. J = Visibility. K = Workplace accommodations. L = Other</w:t>
      </w:r>
      <w:r>
        <w:rPr>
          <w:bCs/>
        </w:rPr>
        <w:t xml:space="preserve"> practices, policies, and interventions</w:t>
      </w:r>
      <w:r w:rsidRPr="0048028F">
        <w:rPr>
          <w:bCs/>
        </w:rPr>
        <w:t>.</w:t>
      </w:r>
    </w:p>
    <w:p w14:paraId="3A6F8A61" w14:textId="77777777" w:rsidR="004F1FCB" w:rsidRDefault="004F1FCB" w:rsidP="004F1FCB">
      <w:pPr>
        <w:pStyle w:val="TableFigure"/>
      </w:pPr>
      <w:r w:rsidRPr="0059721A">
        <w:rPr>
          <w:b/>
        </w:rPr>
        <w:t>Source:</w:t>
      </w:r>
      <w:r>
        <w:t xml:space="preserve"> Authors’ own work</w:t>
      </w:r>
    </w:p>
    <w:p w14:paraId="118A1B46" w14:textId="77777777" w:rsidR="0068712E" w:rsidRDefault="0068712E"/>
    <w:sectPr w:rsidR="0068712E" w:rsidSect="005B2986">
      <w:headerReference w:type="default" r:id="rId11"/>
      <w:footnotePr>
        <w:pos w:val="beneathText"/>
      </w:footnotePr>
      <w:pgSz w:w="15840" w:h="12240" w:orient="landscape"/>
      <w:pgMar w:top="720" w:right="720" w:bottom="720" w:left="72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F0552C" w14:textId="77777777" w:rsidR="00F62097" w:rsidRDefault="00F62097">
      <w:pPr>
        <w:spacing w:line="240" w:lineRule="auto"/>
      </w:pPr>
      <w:r>
        <w:separator/>
      </w:r>
    </w:p>
    <w:p w14:paraId="200079CA" w14:textId="77777777" w:rsidR="00F62097" w:rsidRDefault="00F62097"/>
  </w:endnote>
  <w:endnote w:type="continuationSeparator" w:id="0">
    <w:p w14:paraId="1CB2528F" w14:textId="77777777" w:rsidR="00F62097" w:rsidRDefault="00F62097">
      <w:pPr>
        <w:spacing w:line="240" w:lineRule="auto"/>
      </w:pPr>
      <w:r>
        <w:continuationSeparator/>
      </w:r>
    </w:p>
    <w:p w14:paraId="0016050E" w14:textId="77777777" w:rsidR="00F62097" w:rsidRDefault="00F620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Regular">
    <w:altName w:val="Times New Roman"/>
    <w:panose1 w:val="020B0604020202020204"/>
    <w:charset w:val="00"/>
    <w:family w:val="roman"/>
    <w:notTrueType/>
    <w:pitch w:val="default"/>
  </w:font>
  <w:font w:name="Lato-Italic">
    <w:altName w:val="Times New Roman"/>
    <w:panose1 w:val="020B0604020202020204"/>
    <w:charset w:val="00"/>
    <w:family w:val="roman"/>
    <w:notTrueType/>
    <w:pitch w:val="default"/>
  </w:font>
  <w:font w:name="ArialNarrow">
    <w:altName w:val="Times New Roman"/>
    <w:panose1 w:val="020B0606020202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89C04" w14:textId="77777777" w:rsidR="00F62097" w:rsidRDefault="00F62097">
      <w:pPr>
        <w:spacing w:line="240" w:lineRule="auto"/>
      </w:pPr>
      <w:r>
        <w:separator/>
      </w:r>
    </w:p>
    <w:p w14:paraId="6745FBB3" w14:textId="77777777" w:rsidR="00F62097" w:rsidRDefault="00F62097"/>
  </w:footnote>
  <w:footnote w:type="continuationSeparator" w:id="0">
    <w:p w14:paraId="644C03B2" w14:textId="77777777" w:rsidR="00F62097" w:rsidRDefault="00F62097">
      <w:pPr>
        <w:spacing w:line="240" w:lineRule="auto"/>
      </w:pPr>
      <w:r>
        <w:continuationSeparator/>
      </w:r>
    </w:p>
    <w:p w14:paraId="53369FC1" w14:textId="77777777" w:rsidR="00F62097" w:rsidRDefault="00F620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dTable2-Accent1"/>
      <w:tblW w:w="0" w:type="auto"/>
      <w:tblLook w:val="04A0" w:firstRow="1" w:lastRow="0" w:firstColumn="1" w:lastColumn="0" w:noHBand="0" w:noVBand="1"/>
      <w:tblDescription w:val="Header layout table"/>
    </w:tblPr>
    <w:tblGrid>
      <w:gridCol w:w="7608"/>
      <w:gridCol w:w="1752"/>
    </w:tblGrid>
    <w:tr w:rsidR="005B2986" w14:paraId="0F2C2F80" w14:textId="77777777" w:rsidTr="005B2986">
      <w:trPr>
        <w:cnfStyle w:val="100000000000" w:firstRow="1" w:lastRow="0" w:firstColumn="0" w:lastColumn="0" w:oddVBand="0" w:evenVBand="0" w:oddHBand="0"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1425" w:type="dxa"/>
        </w:tcPr>
        <w:p w14:paraId="32C35C2C" w14:textId="0C8F20C0" w:rsidR="005B2986" w:rsidRPr="00170521" w:rsidRDefault="00000000" w:rsidP="00170521">
          <w:pPr>
            <w:pStyle w:val="Header"/>
          </w:pPr>
          <w:sdt>
            <w:sdtPr>
              <w:alias w:val="Enter shortened title:"/>
              <w:tag w:val="Enter shortened title:"/>
              <w:id w:val="226491835"/>
              <w:placeholder>
                <w:docPart w:val="FD43DE0C23834C01878177E79A76ED5A"/>
              </w:placeholder>
              <w15:dataBinding w:prefixMappings="xmlns:ns0='http://schemas.microsoft.com/temp/samples' " w:xpath="/ns0:employees[1]/ns0:employee[1]/ns0:CustomerName[1]" w:storeItemID="{B98E728A-96FF-4995-885C-5AF887AB0C35}" w16sdtdh:storeItemChecksum="qBdjeQ=="/>
              <w15:appearance w15:val="hidden"/>
            </w:sdtPr>
            <w:sdtContent>
              <w:r w:rsidR="0072143B">
                <w:t>ORGANIZATIONAL DIVERSITY AND INCLUSION INTERVENTIONS</w:t>
              </w:r>
            </w:sdtContent>
          </w:sdt>
        </w:p>
      </w:tc>
      <w:tc>
        <w:tcPr>
          <w:tcW w:w="2892" w:type="dxa"/>
        </w:tcPr>
        <w:p w14:paraId="0BB3E385" w14:textId="77777777" w:rsidR="005B2986" w:rsidRDefault="005B2986">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39</w:t>
          </w:r>
          <w:r>
            <w:rPr>
              <w:noProof/>
            </w:rPr>
            <w:fldChar w:fldCharType="end"/>
          </w:r>
        </w:p>
      </w:tc>
    </w:tr>
  </w:tbl>
  <w:p w14:paraId="2D26EE3C" w14:textId="77777777" w:rsidR="005B2986" w:rsidRDefault="005B2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97444056"/>
      <w:docPartObj>
        <w:docPartGallery w:val="Page Numbers (Top of Page)"/>
        <w:docPartUnique/>
      </w:docPartObj>
    </w:sdtPr>
    <w:sdtContent>
      <w:p w14:paraId="34B65FAF" w14:textId="5204AD0D" w:rsidR="0072143B" w:rsidRDefault="0072143B" w:rsidP="00031F9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tbl>
    <w:tblPr>
      <w:tblStyle w:val="GridTable2-Accent1"/>
      <w:tblW w:w="14459" w:type="dxa"/>
      <w:tblLook w:val="04A0" w:firstRow="1" w:lastRow="0" w:firstColumn="1" w:lastColumn="0" w:noHBand="0" w:noVBand="1"/>
      <w:tblDescription w:val="Header layout table"/>
    </w:tblPr>
    <w:tblGrid>
      <w:gridCol w:w="11330"/>
      <w:gridCol w:w="3129"/>
    </w:tblGrid>
    <w:tr w:rsidR="005B2986" w14:paraId="27F2C1BB" w14:textId="77777777" w:rsidTr="005B2986">
      <w:trPr>
        <w:cnfStyle w:val="100000000000" w:firstRow="1" w:lastRow="0" w:firstColumn="0" w:lastColumn="0" w:oddVBand="0" w:evenVBand="0" w:oddHBand="0"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1330" w:type="dxa"/>
        </w:tcPr>
        <w:p w14:paraId="439474B7" w14:textId="69E82AD5" w:rsidR="005B2986" w:rsidRPr="009F0414" w:rsidRDefault="00000000" w:rsidP="0072143B">
          <w:pPr>
            <w:pStyle w:val="Header"/>
            <w:ind w:right="360"/>
          </w:pPr>
          <w:sdt>
            <w:sdtPr>
              <w:alias w:val="Enter shortened title:"/>
              <w:tag w:val="Enter shortened title:"/>
              <w:id w:val="728503196"/>
              <w:placeholder>
                <w:docPart w:val="143B1C4005844FA38151B29C26D54863"/>
              </w:placeholder>
              <w15:dataBinding w:prefixMappings="xmlns:ns0='http://schemas.microsoft.com/temp/samples' " w:xpath="/ns0:employees[1]/ns0:employee[1]/ns0:CustomerName[1]" w:storeItemID="{B98E728A-96FF-4995-885C-5AF887AB0C35}" w16sdtdh:storeItemChecksum="qBdjeQ=="/>
              <w15:appearance w15:val="hidden"/>
            </w:sdtPr>
            <w:sdtContent>
              <w:r w:rsidR="0072143B">
                <w:t>ORGANIZATIONAL DIVERSITY AND INCLUSION INTERVENTIONS</w:t>
              </w:r>
            </w:sdtContent>
          </w:sdt>
        </w:p>
      </w:tc>
      <w:tc>
        <w:tcPr>
          <w:tcW w:w="3129" w:type="dxa"/>
        </w:tcPr>
        <w:p w14:paraId="314E67D9" w14:textId="1AC7ECC3" w:rsidR="005B2986" w:rsidRDefault="005B2986">
          <w:pPr>
            <w:pStyle w:val="Header"/>
            <w:jc w:val="right"/>
            <w:cnfStyle w:val="100000000000" w:firstRow="1" w:lastRow="0" w:firstColumn="0" w:lastColumn="0" w:oddVBand="0" w:evenVBand="0" w:oddHBand="0" w:evenHBand="0" w:firstRowFirstColumn="0" w:firstRowLastColumn="0" w:lastRowFirstColumn="0" w:lastRowLastColumn="0"/>
          </w:pPr>
        </w:p>
      </w:tc>
    </w:tr>
  </w:tbl>
  <w:p w14:paraId="26FEEADE" w14:textId="77777777" w:rsidR="005B2986" w:rsidRDefault="005B2986" w:rsidP="002C6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dTable2-Accent1"/>
      <w:tblW w:w="0" w:type="auto"/>
      <w:tblLook w:val="04A0" w:firstRow="1" w:lastRow="0" w:firstColumn="1" w:lastColumn="0" w:noHBand="0" w:noVBand="1"/>
      <w:tblDescription w:val="Header layout table"/>
    </w:tblPr>
    <w:tblGrid>
      <w:gridCol w:w="11425"/>
      <w:gridCol w:w="2892"/>
    </w:tblGrid>
    <w:tr w:rsidR="0072143B" w14:paraId="113C9AAC" w14:textId="77777777" w:rsidTr="005B2986">
      <w:trPr>
        <w:cnfStyle w:val="100000000000" w:firstRow="1" w:lastRow="0" w:firstColumn="0" w:lastColumn="0" w:oddVBand="0" w:evenVBand="0" w:oddHBand="0" w:evenHBand="0"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11425" w:type="dxa"/>
        </w:tcPr>
        <w:p w14:paraId="3E65CBB8" w14:textId="0AC0195B" w:rsidR="0072143B" w:rsidRPr="00170521" w:rsidRDefault="0072143B" w:rsidP="00170521">
          <w:pPr>
            <w:pStyle w:val="Header"/>
          </w:pPr>
          <w:sdt>
            <w:sdtPr>
              <w:alias w:val="Enter shortened title:"/>
              <w:tag w:val="Enter shortened title:"/>
              <w:id w:val="-1036035207"/>
              <w:placeholder>
                <w:docPart w:val="605739DA10D03146A12A8819EF0DDA98"/>
              </w:placeholder>
              <w15:dataBinding w:prefixMappings="xmlns:ns0='http://schemas.microsoft.com/temp/samples' " w:xpath="/ns0:employees[1]/ns0:employee[1]/ns0:CustomerName[1]" w:storeItemID="{B98E728A-96FF-4995-885C-5AF887AB0C35}" w16sdtdh:storeItemChecksum="qBdjeQ=="/>
              <w15:appearance w15:val="hidden"/>
            </w:sdtPr>
            <w:sdtContent>
              <w:r>
                <w:t>ORGANIZATIONAL DIVERSITY AND INCLUSION INTERVENTIONS</w:t>
              </w:r>
            </w:sdtContent>
          </w:sdt>
        </w:p>
      </w:tc>
      <w:tc>
        <w:tcPr>
          <w:tcW w:w="2892" w:type="dxa"/>
        </w:tcPr>
        <w:p w14:paraId="6245222A" w14:textId="77777777" w:rsidR="0072143B" w:rsidRDefault="0072143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39</w:t>
          </w:r>
          <w:r>
            <w:rPr>
              <w:noProof/>
            </w:rPr>
            <w:fldChar w:fldCharType="end"/>
          </w:r>
        </w:p>
      </w:tc>
    </w:tr>
  </w:tbl>
  <w:p w14:paraId="5D068429" w14:textId="77777777" w:rsidR="0072143B" w:rsidRDefault="00721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1885F8C"/>
    <w:multiLevelType w:val="hybridMultilevel"/>
    <w:tmpl w:val="A02E7636"/>
    <w:lvl w:ilvl="0" w:tplc="F73A317A">
      <w:start w:val="70"/>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54306BB"/>
    <w:multiLevelType w:val="hybridMultilevel"/>
    <w:tmpl w:val="AA3A0826"/>
    <w:lvl w:ilvl="0" w:tplc="13E6D584">
      <w:numFmt w:val="bullet"/>
      <w:lvlText w:val=""/>
      <w:lvlJc w:val="left"/>
      <w:pPr>
        <w:ind w:left="360" w:hanging="360"/>
      </w:pPr>
      <w:rPr>
        <w:rFonts w:ascii="Symbol" w:eastAsiaTheme="minorEastAsia"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7881156"/>
    <w:multiLevelType w:val="hybridMultilevel"/>
    <w:tmpl w:val="A2C28A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D465E45"/>
    <w:multiLevelType w:val="hybridMultilevel"/>
    <w:tmpl w:val="3AA8C070"/>
    <w:lvl w:ilvl="0" w:tplc="00CE3A2C">
      <w:numFmt w:val="bullet"/>
      <w:lvlText w:val="-"/>
      <w:lvlJc w:val="left"/>
      <w:pPr>
        <w:ind w:left="1140" w:hanging="360"/>
      </w:pPr>
      <w:rPr>
        <w:rFonts w:ascii="Times New Roman" w:eastAsiaTheme="minorEastAsia" w:hAnsi="Times New Roman" w:cs="Times New Roman" w:hint="default"/>
      </w:rPr>
    </w:lvl>
    <w:lvl w:ilvl="1" w:tplc="0C090003" w:tentative="1">
      <w:start w:val="1"/>
      <w:numFmt w:val="bullet"/>
      <w:lvlText w:val="o"/>
      <w:lvlJc w:val="left"/>
      <w:pPr>
        <w:ind w:left="1860" w:hanging="360"/>
      </w:pPr>
      <w:rPr>
        <w:rFonts w:ascii="Courier New" w:hAnsi="Courier New" w:cs="Courier New" w:hint="default"/>
      </w:rPr>
    </w:lvl>
    <w:lvl w:ilvl="2" w:tplc="0C090005" w:tentative="1">
      <w:start w:val="1"/>
      <w:numFmt w:val="bullet"/>
      <w:lvlText w:val=""/>
      <w:lvlJc w:val="left"/>
      <w:pPr>
        <w:ind w:left="2580" w:hanging="360"/>
      </w:pPr>
      <w:rPr>
        <w:rFonts w:ascii="Wingdings" w:hAnsi="Wingdings" w:hint="default"/>
      </w:rPr>
    </w:lvl>
    <w:lvl w:ilvl="3" w:tplc="0C090001" w:tentative="1">
      <w:start w:val="1"/>
      <w:numFmt w:val="bullet"/>
      <w:lvlText w:val=""/>
      <w:lvlJc w:val="left"/>
      <w:pPr>
        <w:ind w:left="3300" w:hanging="360"/>
      </w:pPr>
      <w:rPr>
        <w:rFonts w:ascii="Symbol" w:hAnsi="Symbol" w:hint="default"/>
      </w:rPr>
    </w:lvl>
    <w:lvl w:ilvl="4" w:tplc="0C090003" w:tentative="1">
      <w:start w:val="1"/>
      <w:numFmt w:val="bullet"/>
      <w:lvlText w:val="o"/>
      <w:lvlJc w:val="left"/>
      <w:pPr>
        <w:ind w:left="4020" w:hanging="360"/>
      </w:pPr>
      <w:rPr>
        <w:rFonts w:ascii="Courier New" w:hAnsi="Courier New" w:cs="Courier New" w:hint="default"/>
      </w:rPr>
    </w:lvl>
    <w:lvl w:ilvl="5" w:tplc="0C090005" w:tentative="1">
      <w:start w:val="1"/>
      <w:numFmt w:val="bullet"/>
      <w:lvlText w:val=""/>
      <w:lvlJc w:val="left"/>
      <w:pPr>
        <w:ind w:left="4740" w:hanging="360"/>
      </w:pPr>
      <w:rPr>
        <w:rFonts w:ascii="Wingdings" w:hAnsi="Wingdings" w:hint="default"/>
      </w:rPr>
    </w:lvl>
    <w:lvl w:ilvl="6" w:tplc="0C090001" w:tentative="1">
      <w:start w:val="1"/>
      <w:numFmt w:val="bullet"/>
      <w:lvlText w:val=""/>
      <w:lvlJc w:val="left"/>
      <w:pPr>
        <w:ind w:left="5460" w:hanging="360"/>
      </w:pPr>
      <w:rPr>
        <w:rFonts w:ascii="Symbol" w:hAnsi="Symbol" w:hint="default"/>
      </w:rPr>
    </w:lvl>
    <w:lvl w:ilvl="7" w:tplc="0C090003" w:tentative="1">
      <w:start w:val="1"/>
      <w:numFmt w:val="bullet"/>
      <w:lvlText w:val="o"/>
      <w:lvlJc w:val="left"/>
      <w:pPr>
        <w:ind w:left="6180" w:hanging="360"/>
      </w:pPr>
      <w:rPr>
        <w:rFonts w:ascii="Courier New" w:hAnsi="Courier New" w:cs="Courier New" w:hint="default"/>
      </w:rPr>
    </w:lvl>
    <w:lvl w:ilvl="8" w:tplc="0C090005" w:tentative="1">
      <w:start w:val="1"/>
      <w:numFmt w:val="bullet"/>
      <w:lvlText w:val=""/>
      <w:lvlJc w:val="left"/>
      <w:pPr>
        <w:ind w:left="6900" w:hanging="360"/>
      </w:pPr>
      <w:rPr>
        <w:rFonts w:ascii="Wingdings" w:hAnsi="Wingdings" w:hint="default"/>
      </w:rPr>
    </w:lvl>
  </w:abstractNum>
  <w:abstractNum w:abstractNumId="14" w15:restartNumberingAfterBreak="0">
    <w:nsid w:val="1A097B4D"/>
    <w:multiLevelType w:val="hybridMultilevel"/>
    <w:tmpl w:val="14FC74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06D2483"/>
    <w:multiLevelType w:val="hybridMultilevel"/>
    <w:tmpl w:val="BF84DD70"/>
    <w:lvl w:ilvl="0" w:tplc="0C09000F">
      <w:start w:val="1"/>
      <w:numFmt w:val="decimal"/>
      <w:lvlText w:val="%1."/>
      <w:lvlJc w:val="left"/>
      <w:pPr>
        <w:ind w:left="752" w:hanging="360"/>
      </w:pPr>
    </w:lvl>
    <w:lvl w:ilvl="1" w:tplc="0C090019">
      <w:start w:val="1"/>
      <w:numFmt w:val="lowerLetter"/>
      <w:lvlText w:val="%2."/>
      <w:lvlJc w:val="left"/>
      <w:pPr>
        <w:ind w:left="1472" w:hanging="360"/>
      </w:pPr>
    </w:lvl>
    <w:lvl w:ilvl="2" w:tplc="0C09001B">
      <w:start w:val="1"/>
      <w:numFmt w:val="lowerRoman"/>
      <w:lvlText w:val="%3."/>
      <w:lvlJc w:val="right"/>
      <w:pPr>
        <w:ind w:left="2192" w:hanging="180"/>
      </w:pPr>
    </w:lvl>
    <w:lvl w:ilvl="3" w:tplc="0C09000F">
      <w:start w:val="1"/>
      <w:numFmt w:val="decimal"/>
      <w:lvlText w:val="%4."/>
      <w:lvlJc w:val="left"/>
      <w:pPr>
        <w:ind w:left="2912" w:hanging="360"/>
      </w:pPr>
    </w:lvl>
    <w:lvl w:ilvl="4" w:tplc="0C090019">
      <w:start w:val="1"/>
      <w:numFmt w:val="lowerLetter"/>
      <w:lvlText w:val="%5."/>
      <w:lvlJc w:val="left"/>
      <w:pPr>
        <w:ind w:left="3632" w:hanging="360"/>
      </w:pPr>
    </w:lvl>
    <w:lvl w:ilvl="5" w:tplc="0C09001B">
      <w:start w:val="1"/>
      <w:numFmt w:val="lowerRoman"/>
      <w:lvlText w:val="%6."/>
      <w:lvlJc w:val="right"/>
      <w:pPr>
        <w:ind w:left="4352" w:hanging="180"/>
      </w:pPr>
    </w:lvl>
    <w:lvl w:ilvl="6" w:tplc="0C09000F">
      <w:start w:val="1"/>
      <w:numFmt w:val="decimal"/>
      <w:lvlText w:val="%7."/>
      <w:lvlJc w:val="left"/>
      <w:pPr>
        <w:ind w:left="5072" w:hanging="360"/>
      </w:pPr>
    </w:lvl>
    <w:lvl w:ilvl="7" w:tplc="0C090019">
      <w:start w:val="1"/>
      <w:numFmt w:val="lowerLetter"/>
      <w:lvlText w:val="%8."/>
      <w:lvlJc w:val="left"/>
      <w:pPr>
        <w:ind w:left="5792" w:hanging="360"/>
      </w:pPr>
    </w:lvl>
    <w:lvl w:ilvl="8" w:tplc="0C09001B">
      <w:start w:val="1"/>
      <w:numFmt w:val="lowerRoman"/>
      <w:lvlText w:val="%9."/>
      <w:lvlJc w:val="right"/>
      <w:pPr>
        <w:ind w:left="6512" w:hanging="180"/>
      </w:pPr>
    </w:lvl>
  </w:abstractNum>
  <w:abstractNum w:abstractNumId="16" w15:restartNumberingAfterBreak="0">
    <w:nsid w:val="23EA7201"/>
    <w:multiLevelType w:val="hybridMultilevel"/>
    <w:tmpl w:val="63F419E6"/>
    <w:lvl w:ilvl="0" w:tplc="16C265B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242D0308"/>
    <w:multiLevelType w:val="hybridMultilevel"/>
    <w:tmpl w:val="69263A94"/>
    <w:lvl w:ilvl="0" w:tplc="A618930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FD2514"/>
    <w:multiLevelType w:val="hybridMultilevel"/>
    <w:tmpl w:val="A2C28A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B646072"/>
    <w:multiLevelType w:val="hybridMultilevel"/>
    <w:tmpl w:val="7366772E"/>
    <w:lvl w:ilvl="0" w:tplc="13E6D584">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9EE15B3"/>
    <w:multiLevelType w:val="hybridMultilevel"/>
    <w:tmpl w:val="1012FD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30F226B"/>
    <w:multiLevelType w:val="hybridMultilevel"/>
    <w:tmpl w:val="92AA0DB4"/>
    <w:lvl w:ilvl="0" w:tplc="C5F27EEC">
      <w:numFmt w:val="bullet"/>
      <w:lvlText w:val="-"/>
      <w:lvlJc w:val="left"/>
      <w:pPr>
        <w:ind w:left="1080" w:hanging="360"/>
      </w:pPr>
      <w:rPr>
        <w:rFonts w:ascii="Times New Roman" w:eastAsiaTheme="minorEastAsia"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4FB5CB2"/>
    <w:multiLevelType w:val="hybridMultilevel"/>
    <w:tmpl w:val="A704C076"/>
    <w:lvl w:ilvl="0" w:tplc="13E6D584">
      <w:numFmt w:val="bullet"/>
      <w:lvlText w:val=""/>
      <w:lvlJc w:val="left"/>
      <w:pPr>
        <w:ind w:left="360" w:hanging="360"/>
      </w:pPr>
      <w:rPr>
        <w:rFonts w:ascii="Symbol" w:eastAsiaTheme="minorEastAsia"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5D518AB"/>
    <w:multiLevelType w:val="hybridMultilevel"/>
    <w:tmpl w:val="D6925868"/>
    <w:lvl w:ilvl="0" w:tplc="13E6D584">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88755B"/>
    <w:multiLevelType w:val="hybridMultilevel"/>
    <w:tmpl w:val="E36EAAA2"/>
    <w:lvl w:ilvl="0" w:tplc="13E6D584">
      <w:numFmt w:val="bullet"/>
      <w:lvlText w:val=""/>
      <w:lvlJc w:val="left"/>
      <w:pPr>
        <w:ind w:left="360" w:hanging="360"/>
      </w:pPr>
      <w:rPr>
        <w:rFonts w:ascii="Symbol" w:eastAsiaTheme="minorEastAsia"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1B65336"/>
    <w:multiLevelType w:val="hybridMultilevel"/>
    <w:tmpl w:val="F318657E"/>
    <w:lvl w:ilvl="0" w:tplc="13E6D584">
      <w:numFmt w:val="bullet"/>
      <w:lvlText w:val=""/>
      <w:lvlJc w:val="left"/>
      <w:pPr>
        <w:ind w:left="360" w:hanging="360"/>
      </w:pPr>
      <w:rPr>
        <w:rFonts w:ascii="Symbol" w:eastAsiaTheme="minorEastAsia"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9680696"/>
    <w:multiLevelType w:val="hybridMultilevel"/>
    <w:tmpl w:val="BD7CC9CC"/>
    <w:lvl w:ilvl="0" w:tplc="13E6D584">
      <w:numFmt w:val="bullet"/>
      <w:lvlText w:val=""/>
      <w:lvlJc w:val="left"/>
      <w:pPr>
        <w:ind w:left="360" w:hanging="360"/>
      </w:pPr>
      <w:rPr>
        <w:rFonts w:ascii="Symbol" w:eastAsiaTheme="minorEastAsia"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C455D0A"/>
    <w:multiLevelType w:val="hybridMultilevel"/>
    <w:tmpl w:val="2C34151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DB735B6"/>
    <w:multiLevelType w:val="hybridMultilevel"/>
    <w:tmpl w:val="272ACCA6"/>
    <w:lvl w:ilvl="0" w:tplc="DB20D844">
      <w:start w:val="1"/>
      <w:numFmt w:val="bullet"/>
      <w:lvlText w:val="-"/>
      <w:lvlJc w:val="left"/>
      <w:pPr>
        <w:ind w:left="720" w:hanging="360"/>
      </w:pPr>
      <w:rPr>
        <w:rFonts w:ascii="Times New Roman" w:eastAsiaTheme="minorEastAsia"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F6B025C"/>
    <w:multiLevelType w:val="hybridMultilevel"/>
    <w:tmpl w:val="6BB0C6E2"/>
    <w:lvl w:ilvl="0" w:tplc="13E6D584">
      <w:numFmt w:val="bullet"/>
      <w:lvlText w:val=""/>
      <w:lvlJc w:val="left"/>
      <w:pPr>
        <w:ind w:left="360" w:hanging="360"/>
      </w:pPr>
      <w:rPr>
        <w:rFonts w:ascii="Symbol" w:eastAsiaTheme="minorEastAsia" w:hAnsi="Symbol"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408384043">
    <w:abstractNumId w:val="9"/>
  </w:num>
  <w:num w:numId="2" w16cid:durableId="1305623384">
    <w:abstractNumId w:val="7"/>
  </w:num>
  <w:num w:numId="3" w16cid:durableId="862207291">
    <w:abstractNumId w:val="6"/>
  </w:num>
  <w:num w:numId="4" w16cid:durableId="1033846957">
    <w:abstractNumId w:val="5"/>
  </w:num>
  <w:num w:numId="5" w16cid:durableId="1725594065">
    <w:abstractNumId w:val="4"/>
  </w:num>
  <w:num w:numId="6" w16cid:durableId="372123763">
    <w:abstractNumId w:val="8"/>
  </w:num>
  <w:num w:numId="7" w16cid:durableId="1794398907">
    <w:abstractNumId w:val="3"/>
  </w:num>
  <w:num w:numId="8" w16cid:durableId="1519267798">
    <w:abstractNumId w:val="2"/>
  </w:num>
  <w:num w:numId="9" w16cid:durableId="1090546570">
    <w:abstractNumId w:val="1"/>
  </w:num>
  <w:num w:numId="10" w16cid:durableId="2058040390">
    <w:abstractNumId w:val="0"/>
  </w:num>
  <w:num w:numId="11" w16cid:durableId="1330210618">
    <w:abstractNumId w:val="9"/>
    <w:lvlOverride w:ilvl="0">
      <w:startOverride w:val="1"/>
    </w:lvlOverride>
  </w:num>
  <w:num w:numId="12" w16cid:durableId="1689060574">
    <w:abstractNumId w:val="20"/>
  </w:num>
  <w:num w:numId="13" w16cid:durableId="52970856">
    <w:abstractNumId w:val="17"/>
  </w:num>
  <w:num w:numId="14" w16cid:durableId="2022930391">
    <w:abstractNumId w:val="14"/>
  </w:num>
  <w:num w:numId="15" w16cid:durableId="1394112604">
    <w:abstractNumId w:val="23"/>
  </w:num>
  <w:num w:numId="16" w16cid:durableId="911046898">
    <w:abstractNumId w:val="24"/>
  </w:num>
  <w:num w:numId="17" w16cid:durableId="1917131691">
    <w:abstractNumId w:val="22"/>
  </w:num>
  <w:num w:numId="18" w16cid:durableId="1238321757">
    <w:abstractNumId w:val="11"/>
  </w:num>
  <w:num w:numId="19" w16cid:durableId="601376381">
    <w:abstractNumId w:val="25"/>
  </w:num>
  <w:num w:numId="20" w16cid:durableId="2007123077">
    <w:abstractNumId w:val="26"/>
  </w:num>
  <w:num w:numId="21" w16cid:durableId="929700984">
    <w:abstractNumId w:val="29"/>
  </w:num>
  <w:num w:numId="22" w16cid:durableId="1259561365">
    <w:abstractNumId w:val="19"/>
  </w:num>
  <w:num w:numId="23" w16cid:durableId="1511751272">
    <w:abstractNumId w:val="10"/>
  </w:num>
  <w:num w:numId="24" w16cid:durableId="1693189627">
    <w:abstractNumId w:val="16"/>
  </w:num>
  <w:num w:numId="25" w16cid:durableId="584218648">
    <w:abstractNumId w:val="13"/>
  </w:num>
  <w:num w:numId="26" w16cid:durableId="164638601">
    <w:abstractNumId w:val="21"/>
  </w:num>
  <w:num w:numId="27" w16cid:durableId="1064137985">
    <w:abstractNumId w:val="27"/>
  </w:num>
  <w:num w:numId="28" w16cid:durableId="2138058301">
    <w:abstractNumId w:val="17"/>
  </w:num>
  <w:num w:numId="29" w16cid:durableId="128897470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2613453">
    <w:abstractNumId w:val="12"/>
  </w:num>
  <w:num w:numId="31" w16cid:durableId="1841308637">
    <w:abstractNumId w:val="18"/>
  </w:num>
  <w:num w:numId="32" w16cid:durableId="81437448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activeWritingStyle w:appName="MSWord" w:lang="en-US"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AU" w:vendorID="64" w:dllVersion="4096" w:nlCheck="1" w:checkStyle="0"/>
  <w:activeWritingStyle w:appName="MSWord" w:lang="en-US" w:vendorID="64" w:dllVersion="0" w:nlCheck="1" w:checkStyle="0"/>
  <w:proofState w:spelling="clean" w:grammar="clean"/>
  <w:attachedTemplate r:id="rId1"/>
  <w:defaultTabStop w:val="720"/>
  <w:characterSpacingControl w:val="doNotCompress"/>
  <w:hdrShapeDefaults>
    <o:shapedefaults v:ext="edit" spidmax="2050"/>
  </w:hdrShapeDefaults>
  <w:footnotePr>
    <w:pos w:val="beneathText"/>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E52"/>
    <w:rsid w:val="00001537"/>
    <w:rsid w:val="000032D5"/>
    <w:rsid w:val="000062C8"/>
    <w:rsid w:val="00006BBA"/>
    <w:rsid w:val="000075C6"/>
    <w:rsid w:val="0001010E"/>
    <w:rsid w:val="00010B36"/>
    <w:rsid w:val="000128DE"/>
    <w:rsid w:val="000217F5"/>
    <w:rsid w:val="00036CA5"/>
    <w:rsid w:val="00053893"/>
    <w:rsid w:val="00057951"/>
    <w:rsid w:val="000609A0"/>
    <w:rsid w:val="00062E1E"/>
    <w:rsid w:val="00066780"/>
    <w:rsid w:val="00071955"/>
    <w:rsid w:val="000721DB"/>
    <w:rsid w:val="000727F2"/>
    <w:rsid w:val="00074B61"/>
    <w:rsid w:val="00076B51"/>
    <w:rsid w:val="00077FDA"/>
    <w:rsid w:val="000860FF"/>
    <w:rsid w:val="00090507"/>
    <w:rsid w:val="0009166B"/>
    <w:rsid w:val="000932B5"/>
    <w:rsid w:val="00093A67"/>
    <w:rsid w:val="000950ED"/>
    <w:rsid w:val="00097169"/>
    <w:rsid w:val="000A0329"/>
    <w:rsid w:val="000A23F8"/>
    <w:rsid w:val="000A59B5"/>
    <w:rsid w:val="000A675C"/>
    <w:rsid w:val="000B20CC"/>
    <w:rsid w:val="000B5B79"/>
    <w:rsid w:val="000C0B00"/>
    <w:rsid w:val="000C212F"/>
    <w:rsid w:val="000D086D"/>
    <w:rsid w:val="000D276D"/>
    <w:rsid w:val="000D3025"/>
    <w:rsid w:val="000D32DD"/>
    <w:rsid w:val="000D364C"/>
    <w:rsid w:val="000D69A0"/>
    <w:rsid w:val="000E09AC"/>
    <w:rsid w:val="000E1B38"/>
    <w:rsid w:val="000E1C80"/>
    <w:rsid w:val="000E2592"/>
    <w:rsid w:val="000E3F82"/>
    <w:rsid w:val="000E46E3"/>
    <w:rsid w:val="000F012E"/>
    <w:rsid w:val="000F131F"/>
    <w:rsid w:val="000F1977"/>
    <w:rsid w:val="000F206C"/>
    <w:rsid w:val="000F283D"/>
    <w:rsid w:val="000F4259"/>
    <w:rsid w:val="000F472C"/>
    <w:rsid w:val="000F6F6C"/>
    <w:rsid w:val="00100606"/>
    <w:rsid w:val="00103621"/>
    <w:rsid w:val="00112D1D"/>
    <w:rsid w:val="00114BFA"/>
    <w:rsid w:val="00117FDC"/>
    <w:rsid w:val="001203E5"/>
    <w:rsid w:val="00121B88"/>
    <w:rsid w:val="00121BD5"/>
    <w:rsid w:val="00122AD8"/>
    <w:rsid w:val="00123086"/>
    <w:rsid w:val="00124DAD"/>
    <w:rsid w:val="00125664"/>
    <w:rsid w:val="001451C2"/>
    <w:rsid w:val="00145219"/>
    <w:rsid w:val="00145A98"/>
    <w:rsid w:val="00146B7B"/>
    <w:rsid w:val="0014784A"/>
    <w:rsid w:val="00147E52"/>
    <w:rsid w:val="001526B8"/>
    <w:rsid w:val="001602E3"/>
    <w:rsid w:val="00160C0C"/>
    <w:rsid w:val="00160DA6"/>
    <w:rsid w:val="001637B5"/>
    <w:rsid w:val="001664A2"/>
    <w:rsid w:val="00170377"/>
    <w:rsid w:val="00170521"/>
    <w:rsid w:val="00172FD7"/>
    <w:rsid w:val="00176213"/>
    <w:rsid w:val="001848D3"/>
    <w:rsid w:val="001861B6"/>
    <w:rsid w:val="00190F46"/>
    <w:rsid w:val="0019293C"/>
    <w:rsid w:val="00193FCD"/>
    <w:rsid w:val="001948D0"/>
    <w:rsid w:val="00196495"/>
    <w:rsid w:val="00196F0A"/>
    <w:rsid w:val="001A0618"/>
    <w:rsid w:val="001A259C"/>
    <w:rsid w:val="001B2F76"/>
    <w:rsid w:val="001B4848"/>
    <w:rsid w:val="001C18A7"/>
    <w:rsid w:val="001C582D"/>
    <w:rsid w:val="001D14AA"/>
    <w:rsid w:val="001D1611"/>
    <w:rsid w:val="001D3CBD"/>
    <w:rsid w:val="001E0A21"/>
    <w:rsid w:val="001E433B"/>
    <w:rsid w:val="001E552E"/>
    <w:rsid w:val="001F447A"/>
    <w:rsid w:val="001F477C"/>
    <w:rsid w:val="001F4D9F"/>
    <w:rsid w:val="001F7399"/>
    <w:rsid w:val="002020D6"/>
    <w:rsid w:val="002032D1"/>
    <w:rsid w:val="00206BAD"/>
    <w:rsid w:val="00212319"/>
    <w:rsid w:val="002136AB"/>
    <w:rsid w:val="00223081"/>
    <w:rsid w:val="00225BE3"/>
    <w:rsid w:val="002314DB"/>
    <w:rsid w:val="0024195F"/>
    <w:rsid w:val="00253A32"/>
    <w:rsid w:val="00255222"/>
    <w:rsid w:val="00255F8F"/>
    <w:rsid w:val="0025664F"/>
    <w:rsid w:val="00267B29"/>
    <w:rsid w:val="00273744"/>
    <w:rsid w:val="00274E0A"/>
    <w:rsid w:val="00274E13"/>
    <w:rsid w:val="0028337C"/>
    <w:rsid w:val="00284F08"/>
    <w:rsid w:val="00286E6A"/>
    <w:rsid w:val="00293672"/>
    <w:rsid w:val="00294282"/>
    <w:rsid w:val="00296233"/>
    <w:rsid w:val="002A5AFB"/>
    <w:rsid w:val="002B577E"/>
    <w:rsid w:val="002B6153"/>
    <w:rsid w:val="002C627C"/>
    <w:rsid w:val="002D45E9"/>
    <w:rsid w:val="002D4BFD"/>
    <w:rsid w:val="002E43E2"/>
    <w:rsid w:val="002E581D"/>
    <w:rsid w:val="002E69BE"/>
    <w:rsid w:val="002F0F59"/>
    <w:rsid w:val="002F3248"/>
    <w:rsid w:val="002F4FA1"/>
    <w:rsid w:val="00307586"/>
    <w:rsid w:val="00313204"/>
    <w:rsid w:val="00314ED9"/>
    <w:rsid w:val="00317852"/>
    <w:rsid w:val="003278C9"/>
    <w:rsid w:val="00334D78"/>
    <w:rsid w:val="00336906"/>
    <w:rsid w:val="00337680"/>
    <w:rsid w:val="00342758"/>
    <w:rsid w:val="00345333"/>
    <w:rsid w:val="00346253"/>
    <w:rsid w:val="00353742"/>
    <w:rsid w:val="00375487"/>
    <w:rsid w:val="00377A99"/>
    <w:rsid w:val="0038055C"/>
    <w:rsid w:val="0039538F"/>
    <w:rsid w:val="00397F77"/>
    <w:rsid w:val="003A06C6"/>
    <w:rsid w:val="003A0B0D"/>
    <w:rsid w:val="003A3739"/>
    <w:rsid w:val="003B2356"/>
    <w:rsid w:val="003B2F30"/>
    <w:rsid w:val="003B58EC"/>
    <w:rsid w:val="003C66C1"/>
    <w:rsid w:val="003D4A36"/>
    <w:rsid w:val="003E0C11"/>
    <w:rsid w:val="003E12A4"/>
    <w:rsid w:val="003E18BB"/>
    <w:rsid w:val="003E2E8E"/>
    <w:rsid w:val="003E36B1"/>
    <w:rsid w:val="003E4162"/>
    <w:rsid w:val="003E4BA2"/>
    <w:rsid w:val="003F14CF"/>
    <w:rsid w:val="003F2097"/>
    <w:rsid w:val="003F610C"/>
    <w:rsid w:val="003F65E0"/>
    <w:rsid w:val="003F7CBD"/>
    <w:rsid w:val="00405138"/>
    <w:rsid w:val="0040548B"/>
    <w:rsid w:val="00406E6C"/>
    <w:rsid w:val="00412544"/>
    <w:rsid w:val="00414177"/>
    <w:rsid w:val="0041777D"/>
    <w:rsid w:val="00422E2F"/>
    <w:rsid w:val="004435B3"/>
    <w:rsid w:val="004439B0"/>
    <w:rsid w:val="004445C8"/>
    <w:rsid w:val="004466CB"/>
    <w:rsid w:val="0044732F"/>
    <w:rsid w:val="004513E8"/>
    <w:rsid w:val="0045222A"/>
    <w:rsid w:val="00452D88"/>
    <w:rsid w:val="00453D24"/>
    <w:rsid w:val="004542ED"/>
    <w:rsid w:val="00462B36"/>
    <w:rsid w:val="004632BD"/>
    <w:rsid w:val="00464774"/>
    <w:rsid w:val="00464A52"/>
    <w:rsid w:val="00467F97"/>
    <w:rsid w:val="004706F7"/>
    <w:rsid w:val="00472B10"/>
    <w:rsid w:val="00472DCE"/>
    <w:rsid w:val="00475A04"/>
    <w:rsid w:val="0048028F"/>
    <w:rsid w:val="00481CF8"/>
    <w:rsid w:val="00482939"/>
    <w:rsid w:val="004900BC"/>
    <w:rsid w:val="00491AA2"/>
    <w:rsid w:val="00492C2D"/>
    <w:rsid w:val="0049529D"/>
    <w:rsid w:val="004964A4"/>
    <w:rsid w:val="004977F1"/>
    <w:rsid w:val="004A0635"/>
    <w:rsid w:val="004A2C6B"/>
    <w:rsid w:val="004A3C7A"/>
    <w:rsid w:val="004A3D87"/>
    <w:rsid w:val="004B18A9"/>
    <w:rsid w:val="004B2E44"/>
    <w:rsid w:val="004B32C6"/>
    <w:rsid w:val="004B7BDD"/>
    <w:rsid w:val="004C43A1"/>
    <w:rsid w:val="004C7965"/>
    <w:rsid w:val="004D24F6"/>
    <w:rsid w:val="004D3732"/>
    <w:rsid w:val="004D3D16"/>
    <w:rsid w:val="004D4F8C"/>
    <w:rsid w:val="004D5123"/>
    <w:rsid w:val="004D6B86"/>
    <w:rsid w:val="004E2BD8"/>
    <w:rsid w:val="004E3E3B"/>
    <w:rsid w:val="004E6085"/>
    <w:rsid w:val="004F1FCB"/>
    <w:rsid w:val="00504F88"/>
    <w:rsid w:val="00511C9E"/>
    <w:rsid w:val="00512745"/>
    <w:rsid w:val="00524CCE"/>
    <w:rsid w:val="005266EA"/>
    <w:rsid w:val="0052747E"/>
    <w:rsid w:val="0053650E"/>
    <w:rsid w:val="00536F49"/>
    <w:rsid w:val="005378F1"/>
    <w:rsid w:val="005474F3"/>
    <w:rsid w:val="00550B4C"/>
    <w:rsid w:val="0055242C"/>
    <w:rsid w:val="0055420F"/>
    <w:rsid w:val="00554BD5"/>
    <w:rsid w:val="00571DC3"/>
    <w:rsid w:val="0057453A"/>
    <w:rsid w:val="005770BD"/>
    <w:rsid w:val="00577D8A"/>
    <w:rsid w:val="00582496"/>
    <w:rsid w:val="005826C0"/>
    <w:rsid w:val="005846F1"/>
    <w:rsid w:val="0059269A"/>
    <w:rsid w:val="00593C15"/>
    <w:rsid w:val="00595412"/>
    <w:rsid w:val="00595B7D"/>
    <w:rsid w:val="00595DD9"/>
    <w:rsid w:val="00597BB6"/>
    <w:rsid w:val="005A1144"/>
    <w:rsid w:val="005A3396"/>
    <w:rsid w:val="005A3D53"/>
    <w:rsid w:val="005A667B"/>
    <w:rsid w:val="005B0263"/>
    <w:rsid w:val="005B2986"/>
    <w:rsid w:val="005B6C57"/>
    <w:rsid w:val="005C0440"/>
    <w:rsid w:val="005C5FDA"/>
    <w:rsid w:val="005D0369"/>
    <w:rsid w:val="005D0392"/>
    <w:rsid w:val="005D5DD2"/>
    <w:rsid w:val="005E57CF"/>
    <w:rsid w:val="005F5C6C"/>
    <w:rsid w:val="005F7996"/>
    <w:rsid w:val="00602004"/>
    <w:rsid w:val="00603EA1"/>
    <w:rsid w:val="00607A1E"/>
    <w:rsid w:val="00611AC8"/>
    <w:rsid w:val="0061373B"/>
    <w:rsid w:val="00614A40"/>
    <w:rsid w:val="00616213"/>
    <w:rsid w:val="0061747E"/>
    <w:rsid w:val="006246C0"/>
    <w:rsid w:val="00625DDA"/>
    <w:rsid w:val="00627084"/>
    <w:rsid w:val="00630D42"/>
    <w:rsid w:val="00634CF5"/>
    <w:rsid w:val="00641876"/>
    <w:rsid w:val="00645105"/>
    <w:rsid w:val="00645290"/>
    <w:rsid w:val="00646152"/>
    <w:rsid w:val="00653730"/>
    <w:rsid w:val="006761C0"/>
    <w:rsid w:val="006761EE"/>
    <w:rsid w:val="006764B0"/>
    <w:rsid w:val="00677DB3"/>
    <w:rsid w:val="00684C26"/>
    <w:rsid w:val="00685990"/>
    <w:rsid w:val="0068712E"/>
    <w:rsid w:val="00687890"/>
    <w:rsid w:val="0069099F"/>
    <w:rsid w:val="00692FB8"/>
    <w:rsid w:val="00693273"/>
    <w:rsid w:val="006A1BBB"/>
    <w:rsid w:val="006A6773"/>
    <w:rsid w:val="006A6969"/>
    <w:rsid w:val="006B015B"/>
    <w:rsid w:val="006B18E8"/>
    <w:rsid w:val="006B3283"/>
    <w:rsid w:val="006B628D"/>
    <w:rsid w:val="006C162F"/>
    <w:rsid w:val="006C61CD"/>
    <w:rsid w:val="006D5DDA"/>
    <w:rsid w:val="006D7EE9"/>
    <w:rsid w:val="006E1653"/>
    <w:rsid w:val="006F1D52"/>
    <w:rsid w:val="006F22A6"/>
    <w:rsid w:val="00700DBC"/>
    <w:rsid w:val="00711A8A"/>
    <w:rsid w:val="0072143B"/>
    <w:rsid w:val="0072294D"/>
    <w:rsid w:val="007244DE"/>
    <w:rsid w:val="00726CA0"/>
    <w:rsid w:val="00727732"/>
    <w:rsid w:val="00730499"/>
    <w:rsid w:val="007308A3"/>
    <w:rsid w:val="00730B6D"/>
    <w:rsid w:val="00734ACF"/>
    <w:rsid w:val="00735AA6"/>
    <w:rsid w:val="00735B46"/>
    <w:rsid w:val="00737171"/>
    <w:rsid w:val="00737E62"/>
    <w:rsid w:val="007409CE"/>
    <w:rsid w:val="007459BC"/>
    <w:rsid w:val="00750DCF"/>
    <w:rsid w:val="00754CDC"/>
    <w:rsid w:val="00770042"/>
    <w:rsid w:val="00773A03"/>
    <w:rsid w:val="00776BEB"/>
    <w:rsid w:val="00784FD2"/>
    <w:rsid w:val="00787828"/>
    <w:rsid w:val="00790920"/>
    <w:rsid w:val="007A7552"/>
    <w:rsid w:val="007A75E7"/>
    <w:rsid w:val="007B17D4"/>
    <w:rsid w:val="007B1AC3"/>
    <w:rsid w:val="007B2BAA"/>
    <w:rsid w:val="007C19B5"/>
    <w:rsid w:val="007E5722"/>
    <w:rsid w:val="007E7632"/>
    <w:rsid w:val="007E7BA5"/>
    <w:rsid w:val="0081059B"/>
    <w:rsid w:val="0081390C"/>
    <w:rsid w:val="00815A5A"/>
    <w:rsid w:val="00816831"/>
    <w:rsid w:val="008172F4"/>
    <w:rsid w:val="00817380"/>
    <w:rsid w:val="00827139"/>
    <w:rsid w:val="008276D3"/>
    <w:rsid w:val="00827A98"/>
    <w:rsid w:val="00837D67"/>
    <w:rsid w:val="00843829"/>
    <w:rsid w:val="00845B82"/>
    <w:rsid w:val="0084689E"/>
    <w:rsid w:val="00851420"/>
    <w:rsid w:val="0085256F"/>
    <w:rsid w:val="00854FDF"/>
    <w:rsid w:val="00856FB5"/>
    <w:rsid w:val="008747E8"/>
    <w:rsid w:val="0089195C"/>
    <w:rsid w:val="008947BC"/>
    <w:rsid w:val="00897828"/>
    <w:rsid w:val="00897CD2"/>
    <w:rsid w:val="008A2A83"/>
    <w:rsid w:val="008A4C0C"/>
    <w:rsid w:val="008A78F1"/>
    <w:rsid w:val="008A7BA4"/>
    <w:rsid w:val="008B2FDC"/>
    <w:rsid w:val="008B7411"/>
    <w:rsid w:val="008C71FE"/>
    <w:rsid w:val="008C72F7"/>
    <w:rsid w:val="008D45DA"/>
    <w:rsid w:val="008E03CF"/>
    <w:rsid w:val="008E15AB"/>
    <w:rsid w:val="008E2E08"/>
    <w:rsid w:val="008E3CC7"/>
    <w:rsid w:val="008F5213"/>
    <w:rsid w:val="008F7185"/>
    <w:rsid w:val="00906767"/>
    <w:rsid w:val="00910F0E"/>
    <w:rsid w:val="00912331"/>
    <w:rsid w:val="009143FE"/>
    <w:rsid w:val="00933C85"/>
    <w:rsid w:val="00936F03"/>
    <w:rsid w:val="009428D6"/>
    <w:rsid w:val="009440F5"/>
    <w:rsid w:val="009441F1"/>
    <w:rsid w:val="00953F0D"/>
    <w:rsid w:val="00956092"/>
    <w:rsid w:val="00961AE5"/>
    <w:rsid w:val="009635C4"/>
    <w:rsid w:val="00966055"/>
    <w:rsid w:val="00966208"/>
    <w:rsid w:val="009719E5"/>
    <w:rsid w:val="00972276"/>
    <w:rsid w:val="0097289D"/>
    <w:rsid w:val="00975165"/>
    <w:rsid w:val="009773D0"/>
    <w:rsid w:val="009811EA"/>
    <w:rsid w:val="00981B34"/>
    <w:rsid w:val="00982671"/>
    <w:rsid w:val="009864BB"/>
    <w:rsid w:val="00987046"/>
    <w:rsid w:val="00997598"/>
    <w:rsid w:val="009A2C38"/>
    <w:rsid w:val="009B0407"/>
    <w:rsid w:val="009C0BD9"/>
    <w:rsid w:val="009C44F6"/>
    <w:rsid w:val="009C578F"/>
    <w:rsid w:val="009E17D1"/>
    <w:rsid w:val="009E525B"/>
    <w:rsid w:val="009E57FA"/>
    <w:rsid w:val="009E6174"/>
    <w:rsid w:val="009F0414"/>
    <w:rsid w:val="009F2D14"/>
    <w:rsid w:val="009F3096"/>
    <w:rsid w:val="009F4F48"/>
    <w:rsid w:val="009F577C"/>
    <w:rsid w:val="009F590A"/>
    <w:rsid w:val="009F6246"/>
    <w:rsid w:val="00A00AF5"/>
    <w:rsid w:val="00A01505"/>
    <w:rsid w:val="00A01BD6"/>
    <w:rsid w:val="00A10164"/>
    <w:rsid w:val="00A10DFC"/>
    <w:rsid w:val="00A14318"/>
    <w:rsid w:val="00A150F0"/>
    <w:rsid w:val="00A16908"/>
    <w:rsid w:val="00A20233"/>
    <w:rsid w:val="00A30A2E"/>
    <w:rsid w:val="00A3145C"/>
    <w:rsid w:val="00A34CBC"/>
    <w:rsid w:val="00A430C1"/>
    <w:rsid w:val="00A44569"/>
    <w:rsid w:val="00A46096"/>
    <w:rsid w:val="00A4757D"/>
    <w:rsid w:val="00A505B6"/>
    <w:rsid w:val="00A57AB7"/>
    <w:rsid w:val="00A604E7"/>
    <w:rsid w:val="00A619DE"/>
    <w:rsid w:val="00A6320E"/>
    <w:rsid w:val="00A77F6B"/>
    <w:rsid w:val="00A81721"/>
    <w:rsid w:val="00A81BB2"/>
    <w:rsid w:val="00A87B7F"/>
    <w:rsid w:val="00A9178F"/>
    <w:rsid w:val="00A94238"/>
    <w:rsid w:val="00A969F1"/>
    <w:rsid w:val="00AA0C18"/>
    <w:rsid w:val="00AA34FB"/>
    <w:rsid w:val="00AA5C05"/>
    <w:rsid w:val="00AA76B5"/>
    <w:rsid w:val="00AB0E97"/>
    <w:rsid w:val="00AB320B"/>
    <w:rsid w:val="00AB6CA3"/>
    <w:rsid w:val="00AC5527"/>
    <w:rsid w:val="00AC6453"/>
    <w:rsid w:val="00AD7576"/>
    <w:rsid w:val="00AE222B"/>
    <w:rsid w:val="00AE3673"/>
    <w:rsid w:val="00AE498A"/>
    <w:rsid w:val="00AE5535"/>
    <w:rsid w:val="00AE5AB0"/>
    <w:rsid w:val="00AF25F5"/>
    <w:rsid w:val="00AF25FD"/>
    <w:rsid w:val="00AF4B82"/>
    <w:rsid w:val="00AF6FDB"/>
    <w:rsid w:val="00B03BA4"/>
    <w:rsid w:val="00B056E1"/>
    <w:rsid w:val="00B13CEB"/>
    <w:rsid w:val="00B25096"/>
    <w:rsid w:val="00B30544"/>
    <w:rsid w:val="00B30703"/>
    <w:rsid w:val="00B3184D"/>
    <w:rsid w:val="00B31B59"/>
    <w:rsid w:val="00B41045"/>
    <w:rsid w:val="00B44D4A"/>
    <w:rsid w:val="00B46EAC"/>
    <w:rsid w:val="00B47503"/>
    <w:rsid w:val="00B50167"/>
    <w:rsid w:val="00B5468A"/>
    <w:rsid w:val="00B54F65"/>
    <w:rsid w:val="00B60456"/>
    <w:rsid w:val="00B60940"/>
    <w:rsid w:val="00B73A9E"/>
    <w:rsid w:val="00B8335D"/>
    <w:rsid w:val="00B944F3"/>
    <w:rsid w:val="00BA6A33"/>
    <w:rsid w:val="00BB23BD"/>
    <w:rsid w:val="00BB3AF1"/>
    <w:rsid w:val="00BB5AEF"/>
    <w:rsid w:val="00BB69C6"/>
    <w:rsid w:val="00BC2009"/>
    <w:rsid w:val="00BD4EF1"/>
    <w:rsid w:val="00BD5FF5"/>
    <w:rsid w:val="00BE043D"/>
    <w:rsid w:val="00BE16AA"/>
    <w:rsid w:val="00BF24AB"/>
    <w:rsid w:val="00BF48A7"/>
    <w:rsid w:val="00BF67BF"/>
    <w:rsid w:val="00C02295"/>
    <w:rsid w:val="00C03165"/>
    <w:rsid w:val="00C16438"/>
    <w:rsid w:val="00C207F1"/>
    <w:rsid w:val="00C214EB"/>
    <w:rsid w:val="00C23F9B"/>
    <w:rsid w:val="00C24EA2"/>
    <w:rsid w:val="00C3438C"/>
    <w:rsid w:val="00C34D13"/>
    <w:rsid w:val="00C43C67"/>
    <w:rsid w:val="00C47A93"/>
    <w:rsid w:val="00C5686B"/>
    <w:rsid w:val="00C5725B"/>
    <w:rsid w:val="00C6038C"/>
    <w:rsid w:val="00C66729"/>
    <w:rsid w:val="00C72DCF"/>
    <w:rsid w:val="00C74024"/>
    <w:rsid w:val="00C75C89"/>
    <w:rsid w:val="00C7738D"/>
    <w:rsid w:val="00C81051"/>
    <w:rsid w:val="00C83B15"/>
    <w:rsid w:val="00C85365"/>
    <w:rsid w:val="00C925C8"/>
    <w:rsid w:val="00C9384A"/>
    <w:rsid w:val="00C95284"/>
    <w:rsid w:val="00CA563B"/>
    <w:rsid w:val="00CA5824"/>
    <w:rsid w:val="00CB3161"/>
    <w:rsid w:val="00CB4A38"/>
    <w:rsid w:val="00CB7F84"/>
    <w:rsid w:val="00CC3920"/>
    <w:rsid w:val="00CD0AAA"/>
    <w:rsid w:val="00CD0C2E"/>
    <w:rsid w:val="00CD1EC5"/>
    <w:rsid w:val="00CD2CAD"/>
    <w:rsid w:val="00CD4B87"/>
    <w:rsid w:val="00CE34DF"/>
    <w:rsid w:val="00CF1B55"/>
    <w:rsid w:val="00CF5E6D"/>
    <w:rsid w:val="00CF7CE3"/>
    <w:rsid w:val="00D03363"/>
    <w:rsid w:val="00D10E66"/>
    <w:rsid w:val="00D159E7"/>
    <w:rsid w:val="00D25BF8"/>
    <w:rsid w:val="00D34C38"/>
    <w:rsid w:val="00D355C5"/>
    <w:rsid w:val="00D36791"/>
    <w:rsid w:val="00D37D47"/>
    <w:rsid w:val="00D44435"/>
    <w:rsid w:val="00D44B98"/>
    <w:rsid w:val="00D47DE2"/>
    <w:rsid w:val="00D54C16"/>
    <w:rsid w:val="00D60EA8"/>
    <w:rsid w:val="00D619D3"/>
    <w:rsid w:val="00D7205E"/>
    <w:rsid w:val="00D75DD4"/>
    <w:rsid w:val="00D80957"/>
    <w:rsid w:val="00D8203C"/>
    <w:rsid w:val="00D82A94"/>
    <w:rsid w:val="00D83137"/>
    <w:rsid w:val="00D85C33"/>
    <w:rsid w:val="00D86A69"/>
    <w:rsid w:val="00D87441"/>
    <w:rsid w:val="00D91FBE"/>
    <w:rsid w:val="00DB0248"/>
    <w:rsid w:val="00DB2E59"/>
    <w:rsid w:val="00DB358F"/>
    <w:rsid w:val="00DB79EF"/>
    <w:rsid w:val="00DB7EDD"/>
    <w:rsid w:val="00DC1CC9"/>
    <w:rsid w:val="00DC44F1"/>
    <w:rsid w:val="00DC7AD5"/>
    <w:rsid w:val="00DE5A26"/>
    <w:rsid w:val="00DF0C2C"/>
    <w:rsid w:val="00DF13A3"/>
    <w:rsid w:val="00DF2609"/>
    <w:rsid w:val="00DF2FBD"/>
    <w:rsid w:val="00DF3D71"/>
    <w:rsid w:val="00DF5404"/>
    <w:rsid w:val="00DF6D26"/>
    <w:rsid w:val="00E10764"/>
    <w:rsid w:val="00E10F45"/>
    <w:rsid w:val="00E12704"/>
    <w:rsid w:val="00E23277"/>
    <w:rsid w:val="00E32098"/>
    <w:rsid w:val="00E333A3"/>
    <w:rsid w:val="00E3706D"/>
    <w:rsid w:val="00E373CB"/>
    <w:rsid w:val="00E40254"/>
    <w:rsid w:val="00E43C49"/>
    <w:rsid w:val="00E449B8"/>
    <w:rsid w:val="00E454F6"/>
    <w:rsid w:val="00E50E71"/>
    <w:rsid w:val="00E527CC"/>
    <w:rsid w:val="00E54C17"/>
    <w:rsid w:val="00E63E93"/>
    <w:rsid w:val="00E65999"/>
    <w:rsid w:val="00E70DDD"/>
    <w:rsid w:val="00E71E7C"/>
    <w:rsid w:val="00E7289A"/>
    <w:rsid w:val="00E7305D"/>
    <w:rsid w:val="00E74CB4"/>
    <w:rsid w:val="00E772AB"/>
    <w:rsid w:val="00E87A29"/>
    <w:rsid w:val="00E90B3D"/>
    <w:rsid w:val="00E964C3"/>
    <w:rsid w:val="00EA3299"/>
    <w:rsid w:val="00EA5445"/>
    <w:rsid w:val="00EA780C"/>
    <w:rsid w:val="00EA7FE9"/>
    <w:rsid w:val="00EB261A"/>
    <w:rsid w:val="00EB40FA"/>
    <w:rsid w:val="00EB69D3"/>
    <w:rsid w:val="00ED55B5"/>
    <w:rsid w:val="00ED7E84"/>
    <w:rsid w:val="00EE1F04"/>
    <w:rsid w:val="00EF411B"/>
    <w:rsid w:val="00F01DA0"/>
    <w:rsid w:val="00F02DF7"/>
    <w:rsid w:val="00F02F30"/>
    <w:rsid w:val="00F05F9B"/>
    <w:rsid w:val="00F07D4A"/>
    <w:rsid w:val="00F13D0E"/>
    <w:rsid w:val="00F14919"/>
    <w:rsid w:val="00F17C65"/>
    <w:rsid w:val="00F17F02"/>
    <w:rsid w:val="00F204A2"/>
    <w:rsid w:val="00F20F21"/>
    <w:rsid w:val="00F2295B"/>
    <w:rsid w:val="00F22CB8"/>
    <w:rsid w:val="00F23847"/>
    <w:rsid w:val="00F24CB0"/>
    <w:rsid w:val="00F2691C"/>
    <w:rsid w:val="00F31D66"/>
    <w:rsid w:val="00F35F8A"/>
    <w:rsid w:val="00F363EC"/>
    <w:rsid w:val="00F36D08"/>
    <w:rsid w:val="00F413AC"/>
    <w:rsid w:val="00F462F7"/>
    <w:rsid w:val="00F5025A"/>
    <w:rsid w:val="00F576A5"/>
    <w:rsid w:val="00F576D9"/>
    <w:rsid w:val="00F60A81"/>
    <w:rsid w:val="00F60BE4"/>
    <w:rsid w:val="00F62097"/>
    <w:rsid w:val="00F656A4"/>
    <w:rsid w:val="00F666F8"/>
    <w:rsid w:val="00F66806"/>
    <w:rsid w:val="00F76164"/>
    <w:rsid w:val="00F8364A"/>
    <w:rsid w:val="00F8474C"/>
    <w:rsid w:val="00F867E0"/>
    <w:rsid w:val="00F91E33"/>
    <w:rsid w:val="00F939AC"/>
    <w:rsid w:val="00F95184"/>
    <w:rsid w:val="00FA3475"/>
    <w:rsid w:val="00FA4693"/>
    <w:rsid w:val="00FA6A66"/>
    <w:rsid w:val="00FB0663"/>
    <w:rsid w:val="00FB17F2"/>
    <w:rsid w:val="00FC0137"/>
    <w:rsid w:val="00FC4A87"/>
    <w:rsid w:val="00FD66A4"/>
    <w:rsid w:val="00FD7D21"/>
    <w:rsid w:val="00FE060A"/>
    <w:rsid w:val="00FE518C"/>
    <w:rsid w:val="00FE7187"/>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85B334"/>
  <w15:chartTrackingRefBased/>
  <w15:docId w15:val="{CE4241AA-AF20-44C0-BB6A-7D1D0D0A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5"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5"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4"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6"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aliases w:val="Bullet List"/>
    <w:basedOn w:val="Normal"/>
    <w:link w:val="ListParagraphChar"/>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customStyle="1" w:styleId="ListParagraphChar">
    <w:name w:val="List Paragraph Char"/>
    <w:aliases w:val="Bullet List Char"/>
    <w:link w:val="ListParagraph"/>
    <w:uiPriority w:val="34"/>
    <w:locked/>
    <w:rsid w:val="004E2BD8"/>
  </w:style>
  <w:style w:type="character" w:customStyle="1" w:styleId="fontstyle01">
    <w:name w:val="fontstyle01"/>
    <w:basedOn w:val="DefaultParagraphFont"/>
    <w:rsid w:val="004E2BD8"/>
    <w:rPr>
      <w:rFonts w:ascii="Lato-Regular" w:hAnsi="Lato-Regular" w:hint="default"/>
      <w:b w:val="0"/>
      <w:bCs w:val="0"/>
      <w:i w:val="0"/>
      <w:iCs w:val="0"/>
      <w:color w:val="000000"/>
      <w:sz w:val="16"/>
      <w:szCs w:val="16"/>
    </w:rPr>
  </w:style>
  <w:style w:type="character" w:customStyle="1" w:styleId="fontstyle21">
    <w:name w:val="fontstyle21"/>
    <w:basedOn w:val="DefaultParagraphFont"/>
    <w:rsid w:val="004E2BD8"/>
    <w:rPr>
      <w:rFonts w:ascii="Lato-Italic" w:hAnsi="Lato-Italic" w:hint="default"/>
      <w:b w:val="0"/>
      <w:bCs w:val="0"/>
      <w:i/>
      <w:iCs/>
      <w:color w:val="000000"/>
      <w:sz w:val="16"/>
      <w:szCs w:val="16"/>
    </w:rPr>
  </w:style>
  <w:style w:type="character" w:customStyle="1" w:styleId="fontstyle31">
    <w:name w:val="fontstyle31"/>
    <w:basedOn w:val="DefaultParagraphFont"/>
    <w:rsid w:val="003A3739"/>
    <w:rPr>
      <w:rFonts w:ascii="ArialNarrow" w:hAnsi="ArialNarrow" w:hint="default"/>
      <w:b w:val="0"/>
      <w:bCs w:val="0"/>
      <w:i w:val="0"/>
      <w:iCs w:val="0"/>
      <w:color w:val="000000"/>
      <w:sz w:val="16"/>
      <w:szCs w:val="16"/>
    </w:rPr>
  </w:style>
  <w:style w:type="paragraph" w:styleId="Revision">
    <w:name w:val="Revision"/>
    <w:hidden/>
    <w:uiPriority w:val="99"/>
    <w:semiHidden/>
    <w:rsid w:val="003A0B0D"/>
    <w:pPr>
      <w:spacing w:line="240" w:lineRule="auto"/>
      <w:ind w:firstLine="0"/>
    </w:pPr>
  </w:style>
  <w:style w:type="character" w:styleId="Hyperlink">
    <w:name w:val="Hyperlink"/>
    <w:basedOn w:val="DefaultParagraphFont"/>
    <w:uiPriority w:val="99"/>
    <w:unhideWhenUsed/>
    <w:rsid w:val="00193FCD"/>
    <w:rPr>
      <w:color w:val="5F5F5F" w:themeColor="hyperlink"/>
      <w:u w:val="single"/>
    </w:rPr>
  </w:style>
  <w:style w:type="table" w:styleId="ListTable1Light-Accent1">
    <w:name w:val="List Table 1 Light Accent 1"/>
    <w:basedOn w:val="TableNormal"/>
    <w:uiPriority w:val="46"/>
    <w:rsid w:val="00CD2CAD"/>
    <w:pPr>
      <w:spacing w:line="240" w:lineRule="auto"/>
    </w:pPr>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UnresolvedMention">
    <w:name w:val="Unresolved Mention"/>
    <w:basedOn w:val="DefaultParagraphFont"/>
    <w:uiPriority w:val="99"/>
    <w:semiHidden/>
    <w:unhideWhenUsed/>
    <w:rsid w:val="00AC5527"/>
    <w:rPr>
      <w:color w:val="605E5C"/>
      <w:shd w:val="clear" w:color="auto" w:fill="E1DFDD"/>
    </w:rPr>
  </w:style>
  <w:style w:type="table" w:styleId="PlainTable4">
    <w:name w:val="Plain Table 4"/>
    <w:basedOn w:val="TableNormal"/>
    <w:uiPriority w:val="44"/>
    <w:rsid w:val="00F8474C"/>
    <w:pPr>
      <w:spacing w:line="240" w:lineRule="auto"/>
      <w:ind w:firstLine="0"/>
    </w:pPr>
    <w:rPr>
      <w:rFonts w:eastAsiaTheme="minorHAnsi"/>
      <w:color w:val="auto"/>
      <w:sz w:val="22"/>
      <w:szCs w:val="22"/>
      <w:lang w:val="en-AU"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721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19387266">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15982843">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2437711">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353455016">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6125824">
      <w:bodyDiv w:val="1"/>
      <w:marLeft w:val="0"/>
      <w:marRight w:val="0"/>
      <w:marTop w:val="0"/>
      <w:marBottom w:val="0"/>
      <w:divBdr>
        <w:top w:val="none" w:sz="0" w:space="0" w:color="auto"/>
        <w:left w:val="none" w:sz="0" w:space="0" w:color="auto"/>
        <w:bottom w:val="none" w:sz="0" w:space="0" w:color="auto"/>
        <w:right w:val="none" w:sz="0" w:space="0" w:color="auto"/>
      </w:divBdr>
    </w:div>
    <w:div w:id="2134785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zha0030\AppData\Roaming\Microsoft\Templates\AP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43B1C4005844FA38151B29C26D54863"/>
        <w:category>
          <w:name w:val="General"/>
          <w:gallery w:val="placeholder"/>
        </w:category>
        <w:types>
          <w:type w:val="bbPlcHdr"/>
        </w:types>
        <w:behaviors>
          <w:behavior w:val="content"/>
        </w:behaviors>
        <w:guid w:val="{1D7E09B0-11B9-47A0-AC63-71CB88D5C8EB}"/>
      </w:docPartPr>
      <w:docPartBody>
        <w:p w:rsidR="0046788A" w:rsidRDefault="003E29A9" w:rsidP="003E29A9">
          <w:pPr>
            <w:pStyle w:val="143B1C4005844FA38151B29C26D54863"/>
          </w:pPr>
          <w:r>
            <w:t>The first two heading levels get their own paragraph, as shown here. Headings 3, 4, and 5 are run-in headings used at the beginning of the paragraph.</w:t>
          </w:r>
        </w:p>
      </w:docPartBody>
    </w:docPart>
    <w:docPart>
      <w:docPartPr>
        <w:name w:val="FD43DE0C23834C01878177E79A76ED5A"/>
        <w:category>
          <w:name w:val="General"/>
          <w:gallery w:val="placeholder"/>
        </w:category>
        <w:types>
          <w:type w:val="bbPlcHdr"/>
        </w:types>
        <w:behaviors>
          <w:behavior w:val="content"/>
        </w:behaviors>
        <w:guid w:val="{49E8C1F6-8399-402F-A0ED-F663F2E5E1A3}"/>
      </w:docPartPr>
      <w:docPartBody>
        <w:p w:rsidR="0046788A" w:rsidRDefault="003E29A9" w:rsidP="003E29A9">
          <w:pPr>
            <w:pStyle w:val="FD43DE0C23834C01878177E79A76ED5A"/>
          </w:pPr>
          <w:r>
            <w:t>The first two heading levels get their own paragraph, as shown here. Headings 3, 4, and 5 are run-in headings used at the beginning of the paragraph.</w:t>
          </w:r>
        </w:p>
      </w:docPartBody>
    </w:docPart>
    <w:docPart>
      <w:docPartPr>
        <w:name w:val="605739DA10D03146A12A8819EF0DDA98"/>
        <w:category>
          <w:name w:val="General"/>
          <w:gallery w:val="placeholder"/>
        </w:category>
        <w:types>
          <w:type w:val="bbPlcHdr"/>
        </w:types>
        <w:behaviors>
          <w:behavior w:val="content"/>
        </w:behaviors>
        <w:guid w:val="{4D7DB357-1CC1-C141-8602-E3196BD00451}"/>
      </w:docPartPr>
      <w:docPartBody>
        <w:p w:rsidR="00000000" w:rsidRDefault="00EA4D73" w:rsidP="00EA4D73">
          <w:pPr>
            <w:pStyle w:val="605739DA10D03146A12A8819EF0DDA98"/>
          </w:pPr>
          <w:r>
            <w:t>The first two heading levels get their own paragraph, as shown here. Headings 3, 4, and 5 are run-in headings used at the beginning of the paragraph.</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Regular">
    <w:altName w:val="Times New Roman"/>
    <w:panose1 w:val="020B0604020202020204"/>
    <w:charset w:val="00"/>
    <w:family w:val="roman"/>
    <w:notTrueType/>
    <w:pitch w:val="default"/>
  </w:font>
  <w:font w:name="Lato-Italic">
    <w:altName w:val="Times New Roman"/>
    <w:panose1 w:val="020B0604020202020204"/>
    <w:charset w:val="00"/>
    <w:family w:val="roman"/>
    <w:notTrueType/>
    <w:pitch w:val="default"/>
  </w:font>
  <w:font w:name="ArialNarrow">
    <w:altName w:val="Times New Roman"/>
    <w:panose1 w:val="020B060602020203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3F3"/>
    <w:rsid w:val="00012AF0"/>
    <w:rsid w:val="00064049"/>
    <w:rsid w:val="000A2189"/>
    <w:rsid w:val="00194121"/>
    <w:rsid w:val="0023294E"/>
    <w:rsid w:val="002C3578"/>
    <w:rsid w:val="002C4ABB"/>
    <w:rsid w:val="00344EE1"/>
    <w:rsid w:val="003D0552"/>
    <w:rsid w:val="003E29A9"/>
    <w:rsid w:val="003F68E2"/>
    <w:rsid w:val="0046788A"/>
    <w:rsid w:val="00475B54"/>
    <w:rsid w:val="00621B5C"/>
    <w:rsid w:val="00681E10"/>
    <w:rsid w:val="006A3E5B"/>
    <w:rsid w:val="006E4857"/>
    <w:rsid w:val="006E75BB"/>
    <w:rsid w:val="007C3F56"/>
    <w:rsid w:val="0082662F"/>
    <w:rsid w:val="0088319F"/>
    <w:rsid w:val="008D70A7"/>
    <w:rsid w:val="009C0BD9"/>
    <w:rsid w:val="00A13B62"/>
    <w:rsid w:val="00AD0764"/>
    <w:rsid w:val="00AE44E7"/>
    <w:rsid w:val="00B1356D"/>
    <w:rsid w:val="00B5780B"/>
    <w:rsid w:val="00BD12F4"/>
    <w:rsid w:val="00C01038"/>
    <w:rsid w:val="00CE53F3"/>
    <w:rsid w:val="00DB7F19"/>
    <w:rsid w:val="00DD5669"/>
    <w:rsid w:val="00E33D03"/>
    <w:rsid w:val="00EA4D73"/>
    <w:rsid w:val="00F3103F"/>
    <w:rsid w:val="00F409B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val="en-US"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val="en-US"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4"/>
    <w:unhideWhenUsed/>
    <w:qFormat/>
    <w:rPr>
      <w:i/>
      <w:iCs/>
    </w:rPr>
  </w:style>
  <w:style w:type="character" w:styleId="FootnoteReference">
    <w:name w:val="footnote reference"/>
    <w:basedOn w:val="DefaultParagraphFont"/>
    <w:uiPriority w:val="99"/>
    <w:qFormat/>
    <w:rsid w:val="00CE53F3"/>
    <w:rPr>
      <w:vertAlign w:val="superscript"/>
    </w:rPr>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val="en-US" w:eastAsia="ja-JP"/>
    </w:rPr>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val="en-US" w:eastAsia="ja-JP"/>
    </w:rPr>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val="en-US" w:eastAsia="ja-JP"/>
    </w:rPr>
  </w:style>
  <w:style w:type="paragraph" w:customStyle="1" w:styleId="143B1C4005844FA38151B29C26D54863">
    <w:name w:val="143B1C4005844FA38151B29C26D54863"/>
    <w:rsid w:val="003E29A9"/>
    <w:rPr>
      <w:lang w:eastAsia="en-AU"/>
    </w:rPr>
  </w:style>
  <w:style w:type="paragraph" w:customStyle="1" w:styleId="FD43DE0C23834C01878177E79A76ED5A">
    <w:name w:val="FD43DE0C23834C01878177E79A76ED5A"/>
    <w:rsid w:val="003E29A9"/>
    <w:rPr>
      <w:lang w:eastAsia="en-AU"/>
    </w:rPr>
  </w:style>
  <w:style w:type="paragraph" w:customStyle="1" w:styleId="070BCA7CA5DFD84894BAE8EAD289C490">
    <w:name w:val="070BCA7CA5DFD84894BAE8EAD289C490"/>
    <w:rsid w:val="00EA4D73"/>
    <w:pPr>
      <w:spacing w:line="278" w:lineRule="auto"/>
    </w:pPr>
    <w:rPr>
      <w:kern w:val="2"/>
      <w:sz w:val="24"/>
      <w:szCs w:val="24"/>
      <w:lang w:eastAsia="en-GB"/>
      <w14:ligatures w14:val="standardContextual"/>
    </w:rPr>
  </w:style>
  <w:style w:type="paragraph" w:customStyle="1" w:styleId="605739DA10D03146A12A8819EF0DDA98">
    <w:name w:val="605739DA10D03146A12A8819EF0DDA98"/>
    <w:rsid w:val="00EA4D73"/>
    <w:pPr>
      <w:spacing w:line="278" w:lineRule="auto"/>
    </w:pPr>
    <w:rPr>
      <w:kern w:val="2"/>
      <w:sz w:val="24"/>
      <w:szCs w:val="24"/>
      <w:lang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w:rsidRDefault="001948D0"&gt;&lt;w:r&gt;&lt;w:t&gt;ORGANIZATIONAL DIVERSITY AND INCLUSION INTERVENTIONS&lt;/w:t&gt;&lt;/w:r&gt;&lt;/w:p&gt;&lt;w:sectPr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Paragraph"/&gt;&lt;w:aliases w:val="Bullet List"/&gt;&lt;w:basedOn w:val="Normal"/&gt;&lt;w:link w:val="ListParagraphChar"/&gt;&lt;w:uiPriority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w:customStyle="1" w:styleId="ListParagraphChar"&gt;&lt;w:name w:val="List Paragraph Char"/&gt;&lt;w:aliases w:val="Bullet List Char"/&gt;&lt;w:link w:val="ListParagraph"/&gt;&lt;w:uiPriority w:val="34"/&gt;&lt;w:locked/&gt;&lt;w:rsid w:val="004E2BD8"/&gt;&lt;/w:style&gt;&lt;w:style w:type="character" w:customStyle="1" w:styleId="fontstyle01"&gt;&lt;w:name w:val="fontstyle01"/&gt;&lt;w:basedOn w:val="DefaultParagraphFont"/&gt;&lt;w:rsid w:val="004E2BD8"/&gt;&lt;w:rPr&gt;&lt;w:rFonts w:ascii="Lato-Regular" w:hAnsi="Lato-Regular" w:hint="default"/&gt;&lt;w:b w:val="0"/&gt;&lt;w:bCs w:val="0"/&gt;&lt;w:i w:val="0"/&gt;&lt;w:iCs w:val="0"/&gt;&lt;w:color w:val="000000"/&gt;&lt;w:sz w:val="16"/&gt;&lt;w:szCs w:val="16"/&gt;&lt;/w:rPr&gt;&lt;/w:style&gt;&lt;w:style w:type="character" w:customStyle="1" w:styleId="fontstyle21"&gt;&lt;w:name w:val="fontstyle21"/&gt;&lt;w:basedOn w:val="DefaultParagraphFont"/&gt;&lt;w:rsid w:val="004E2BD8"/&gt;&lt;w:rPr&gt;&lt;w:rFonts w:ascii="Lato-Italic" w:hAnsi="Lato-Italic" w:hint="default"/&gt;&lt;w:b w:val="0"/&gt;&lt;w:bCs w:val="0"/&gt;&lt;w:i/&gt;&lt;w:iCs/&gt;&lt;w:color w:val="000000"/&gt;&lt;w:sz w:val="16"/&gt;&lt;w:szCs w:val="16"/&gt;&lt;/w:rPr&gt;&lt;/w:style&gt;&lt;w:style w:type="character" w:customStyle="1" w:styleId="fontstyle31"&gt;&lt;w:name w:val="fontstyle31"/&gt;&lt;w:basedOn w:val="DefaultParagraphFont"/&gt;&lt;w:rsid w:val="003A3739"/&gt;&lt;w:rPr&gt;&lt;w:rFonts w:ascii="ArialNarrow" w:hAnsi="ArialNarrow" w:hint="default"/&gt;&lt;w:b w:val="0"/&gt;&lt;w:bCs w:val="0"/&gt;&lt;w:i w:val="0"/&gt;&lt;w:iCs w:val="0"/&gt;&lt;w:color w:val="000000"/&gt;&lt;w:sz w:val="16"/&gt;&lt;w:szCs w:val="16"/&gt;&lt;/w:rPr&gt;&lt;/w:style&gt;&lt;w:style w:type="paragraph" w:styleId="Revision"&gt;&lt;w:name w:val="Revision"/&gt;&lt;w:hidden/&gt;&lt;w:uiPriority w:val="99"/&gt;&lt;w:semiHidden/&gt;&lt;w:rsid w:val="003A0B0D"/&gt;&lt;w:pPr&gt;&lt;w:spacing w:line="240" w:lineRule="auto"/&gt;&lt;w:ind w:firstLine="0"/&gt;&lt;/w:pPr&gt;&lt;/w:style&gt;&lt;w:style w:type="character" w:styleId="Hyperlink"&gt;&lt;w:name w:val="Hyperlink"/&gt;&lt;w:basedOn w:val="DefaultParagraphFont"/&gt;&lt;w:uiPriority w:val="99"/&gt;&lt;w:unhideWhenUsed/&gt;&lt;w:rsid w:val="00193FCD"/&gt;&lt;w:rPr&gt;&lt;w:color w:val="5F5F5F" w:themeColor="hyperlink"/&gt;&lt;w:u w:val="single"/&gt;&lt;/w:rPr&gt;&lt;/w:style&gt;&lt;w:style w:type="table" w:styleId="ListTable1Light-Accent1"&gt;&lt;w:name w:val="List Table 1 Light Accent 1"/&gt;&lt;w:basedOn w:val="TableNormal"/&gt;&lt;w:uiPriority w:val="46"/&gt;&lt;w:rsid w:val="00CD2CAD"/&gt;&lt;w:pPr&gt;&lt;w:spacing w:line="240" w:lineRule="auto"/&gt;&lt;/w:pPr&gt;&lt;w:tblPr&gt;&lt;w:tblStyleRowBandSize w:val="1"/&gt;&lt;w:tblStyleColBandSize w:val="1"/&gt;&lt;/w:tblPr&gt;&lt;w:tblStylePr w:type="firstRow"&gt;&lt;w:rPr&gt;&lt;w:b/&gt;&lt;w:bCs/&gt;&lt;/w:rPr&gt;&lt;w:tblPr/&gt;&lt;w:tcPr&gt;&lt;w:tcBorders&gt;&lt;w:bottom w:val="single" w:sz="4" w:space="0" w:color="EAEAEA" w:themeColor="accent1" w:themeTint="99"/&gt;&lt;/w:tcBorders&gt;&lt;/w:tcPr&gt;&lt;/w:tblStylePr&gt;&lt;w:tblStylePr w:type="lastRow"&gt;&lt;w:rPr&gt;&lt;w:b/&gt;&lt;w:bCs/&gt;&lt;/w:rPr&gt;&lt;w:tblPr/&gt;&lt;w:tcPr&gt;&lt;w:tcBorders&gt;&lt;w:top w:val="single" w:sz="4" w:space="0" w:color="EAEAEA" w:themeColor="accent1" w:themeTint="99"/&gt;&lt;/w:tcBorders&gt;&lt;/w:tcPr&gt;&lt;/w:tblStylePr&gt;&lt;w:tblStylePr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w:styleId="UnresolvedMention"&gt;&lt;w:name w:val="Unresolved Mention"/&gt;&lt;w:basedOn w:val="DefaultParagraphFont"/&gt;&lt;w:uiPriority w:val="99"/&gt;&lt;w:semiHidden/&gt;&lt;w:unhideWhenUsed/&gt;&lt;w:rsid w:val="00AC5527"/&gt;&lt;w:rPr&gt;&lt;w:color w:val="605E5C"/&gt;&lt;w:shd w:val="clear" w:color="auto" w:fill="E1DFDD"/&gt;&lt;/w:rPr&gt;&lt;/w:style&gt;&lt;w:style w:type="table" w:styleId="PlainTable4"&gt;&lt;w:name w:val="Plain Table 4"/&gt;&lt;w:basedOn w:val="TableNormal"/&gt;&lt;w:uiPriority w:val="44"/&gt;&lt;w:rsid w:val="00F8474C"/&gt;&lt;w:pPr&gt;&lt;w:spacing w:line="240" w:lineRule="auto"/&gt;&lt;w:ind w:firstLine="0"/&gt;&lt;/w:pPr&gt;&lt;w:rPr&gt;&lt;w:rFonts w:eastAsiaTheme="minorHAnsi"/&gt;&lt;w:color w:val="auto"/&gt;&lt;w:sz w:val="22"/&gt;&lt;w:szCs w:val="22"/&gt;&lt;w:lang w:val="en-AU" w:eastAsia="en-US"/&gt;&lt;/w:rPr&gt;&lt;w:tblPr&gt;&lt;w:tblStyleRowBandSize w:val="1"/&gt;&lt;w:tblStyleColBandSize w:val="1"/&gt;&lt;/w:tblPr&gt;&lt;w:tblStylePr w:type="firstRow"&gt;&lt;w:rPr&gt;&lt;w:b/&gt;&lt;w:bCs/&gt;&lt;/w:rPr&gt;&lt;/w:tblStylePr&gt;&lt;w:tblStylePr w:type="lastRow"&gt;&lt;w:rPr&gt;&lt;w:b/&gt;&lt;w:bCs/&gt;&lt;/w:rPr&gt;&lt;/w:tblStylePr&gt;&lt;w:tblStylePr w:type="firstCol"&gt;&lt;w:rPr&gt;&lt;w:b/&gt;&lt;w:bCs/&gt;&lt;/w:rPr&gt;&lt;/w:tblStylePr&gt;&lt;w:tblStylePr w:type="lastCol"&gt;&lt;w:rPr&gt;&lt;w:b/&gt;&lt;w:bCs/&gt;&lt;/w:rPr&gt;&lt;/w:tblStylePr&gt;&lt;w:tblStylePr w:type="band1Vert"&gt;&lt;w:tblPr/&gt;&lt;w:tcPr&gt;&lt;w:shd w:val="clear" w:color="auto" w:fill="F2F2F2" w:themeFill="background1" w:themeFillShade="F2"/&gt;&lt;/w:tcPr&gt;&lt;/w:tblStylePr&gt;&lt;w:tblStylePr w:type="band1Horz"&gt;&lt;w:tblPr/&gt;&lt;w:tcPr&gt;&lt;w:shd w:val="clear" w:color="auto" w:fill="F2F2F2" w:themeFill="background1" w:themeFillShade="F2"/&gt;&lt;/w:tcPr&gt;&lt;/w:tblStylePr&gt;&lt;/w:style&gt;&lt;/w:styles&gt;&lt;/pkg:xmlData&gt;&lt;/pkg:part&gt;&lt;pkg:part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 w15:restartNumberingAfterBreak="0"&gt;&lt;w:nsid w:val="01885F8C"/&gt;&lt;w:multiLevelType w:val="hybridMultilevel"/&gt;&lt;w:tmpl w:val="A02E7636"/&gt;&lt;w:lvl w:ilvl="0" w:tplc="F73A317A"&gt;&lt;w:start w:val="70"/&gt;&lt;w:numFmt w:val="bullet"/&gt;&lt;w:lvlText w:val="-"/&gt;&lt;w:lvlJc w:val="left"/&gt;&lt;w:pPr&gt;&lt;w:ind w:left="720" w:hanging="360"/&gt;&lt;/w:pPr&gt;&lt;w:rPr&gt;&lt;w:rFonts w:ascii="Times New Roman" w:eastAsiaTheme="minorEastAsia" w:hAnsi="Times New Roman" w:cs="Times New Roman" w:hint="default"/&gt;&lt;/w:rPr&gt;&lt;/w:lvl&gt;&lt;w:lvl w:ilvl="1" w:tplc="0C090003" w:tentative="1"&gt;&lt;w:start w:val="1"/&gt;&lt;w:numFmt w:val="bullet"/&gt;&lt;w:lvlText w:val="o"/&gt;&lt;w:lvlJc w:val="left"/&gt;&lt;w:pPr&gt;&lt;w:ind w:left="1440" w:hanging="360"/&gt;&lt;/w:pPr&gt;&lt;w:rPr&gt;&lt;w:rFonts w:ascii="Courier New" w:hAnsi="Courier New" w:cs="Courier New" w:hint="default"/&gt;&lt;/w:rPr&gt;&lt;/w:lvl&gt;&lt;w:lvl w:ilvl="2" w:tplc="0C090005" w:tentative="1"&gt;&lt;w:start w:val="1"/&gt;&lt;w:numFmt w:val="bullet"/&gt;&lt;w:lvlText w:val=""/&gt;&lt;w:lvlJc w:val="left"/&gt;&lt;w:pPr&gt;&lt;w:ind w:left="2160" w:hanging="360"/&gt;&lt;/w:pPr&gt;&lt;w:rPr&gt;&lt;w:rFonts w:ascii="Wingdings" w:hAnsi="Wingdings" w:hint="default"/&gt;&lt;/w:rPr&gt;&lt;/w:lvl&gt;&lt;w:lvl w:ilvl="3" w:tplc="0C090001" w:tentative="1"&gt;&lt;w:start w:val="1"/&gt;&lt;w:numFmt w:val="bullet"/&gt;&lt;w:lvlText w:val=""/&gt;&lt;w:lvlJc w:val="left"/&gt;&lt;w:pPr&gt;&lt;w:ind w:left="2880" w:hanging="360"/&gt;&lt;/w:pPr&gt;&lt;w:rPr&gt;&lt;w:rFonts w:ascii="Symbol" w:hAnsi="Symbol" w:hint="default"/&gt;&lt;/w:rPr&gt;&lt;/w:lvl&gt;&lt;w:lvl w:ilvl="4" w:tplc="0C090003" w:tentative="1"&gt;&lt;w:start w:val="1"/&gt;&lt;w:numFmt w:val="bullet"/&gt;&lt;w:lvlText w:val="o"/&gt;&lt;w:lvlJc w:val="left"/&gt;&lt;w:pPr&gt;&lt;w:ind w:left="3600" w:hanging="360"/&gt;&lt;/w:pPr&gt;&lt;w:rPr&gt;&lt;w:rFonts w:ascii="Courier New" w:hAnsi="Courier New" w:cs="Courier New" w:hint="default"/&gt;&lt;/w:rPr&gt;&lt;/w:lvl&gt;&lt;w:lvl w:ilvl="5" w:tplc="0C090005" w:tentative="1"&gt;&lt;w:start w:val="1"/&gt;&lt;w:numFmt w:val="bullet"/&gt;&lt;w:lvlText w:val=""/&gt;&lt;w:lvlJc w:val="left"/&gt;&lt;w:pPr&gt;&lt;w:ind w:left="4320" w:hanging="360"/&gt;&lt;/w:pPr&gt;&lt;w:rPr&gt;&lt;w:rFonts w:ascii="Wingdings" w:hAnsi="Wingdings" w:hint="default"/&gt;&lt;/w:rPr&gt;&lt;/w:lvl&gt;&lt;w:lvl w:ilvl="6" w:tplc="0C090001" w:tentative="1"&gt;&lt;w:start w:val="1"/&gt;&lt;w:numFmt w:val="bullet"/&gt;&lt;w:lvlText w:val=""/&gt;&lt;w:lvlJc w:val="left"/&gt;&lt;w:pPr&gt;&lt;w:ind w:left="5040" w:hanging="360"/&gt;&lt;/w:pPr&gt;&lt;w:rPr&gt;&lt;w:rFonts w:ascii="Symbol" w:hAnsi="Symbol" w:hint="default"/&gt;&lt;/w:rPr&gt;&lt;/w:lvl&gt;&lt;w:lvl w:ilvl="7" w:tplc="0C090003" w:tentative="1"&gt;&lt;w:start w:val="1"/&gt;&lt;w:numFmt w:val="bullet"/&gt;&lt;w:lvlText w:val="o"/&gt;&lt;w:lvlJc w:val="left"/&gt;&lt;w:pPr&gt;&lt;w:ind w:left="5760" w:hanging="360"/&gt;&lt;/w:pPr&gt;&lt;w:rPr&gt;&lt;w:rFonts w:ascii="Courier New" w:hAnsi="Courier New" w:cs="Courier New" w:hint="default"/&gt;&lt;/w:rPr&gt;&lt;/w:lvl&gt;&lt;w:lvl w:ilvl="8" w:tplc="0C090005" w:tentative="1"&gt;&lt;w:start w:val="1"/&gt;&lt;w:numFmt w:val="bullet"/&gt;&lt;w:lvlText w:val=""/&gt;&lt;w:lvlJc w:val="left"/&gt;&lt;w:pPr&gt;&lt;w:ind w:left="6480" w:hanging="360"/&gt;&lt;/w:pPr&gt;&lt;w:rPr&gt;&lt;w:rFonts w:ascii="Wingdings" w:hAnsi="Wingdings" w:hint="default"/&gt;&lt;/w:rPr&gt;&lt;/w:lvl&gt;&lt;/w:abstractNum&gt;&lt;w:abstractNum w:abstractNumId="11" w15:restartNumberingAfterBreak="0"&gt;&lt;w:nsid w:val="054306BB"/&gt;&lt;w:multiLevelType w:val="hybridMultilevel"/&gt;&lt;w:tmpl w:val="AA3A0826"/&gt;&lt;w:lvl w:ilvl="0" w:tplc="13E6D584"&gt;&lt;w:numFmt w:val="bullet"/&gt;&lt;w:lvlText w:val=""/&gt;&lt;w:lvlJc w:val="left"/&gt;&lt;w:pPr&gt;&lt;w:ind w:left="360"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w:left="1080" w:hanging="360"/&gt;&lt;/w:pPr&gt;&lt;w:rPr&gt;&lt;w:rFonts w:ascii="Courier New" w:hAnsi="Courier New" w:cs="Courier New" w:hint="default"/&gt;&lt;/w:rPr&gt;&lt;/w:lvl&gt;&lt;w:lvl w:ilvl="2" w:tplc="0C090005" w:tentative="1"&gt;&lt;w:start w:val="1"/&gt;&lt;w:numFmt w:val="bullet"/&gt;&lt;w:lvlText w:val=""/&gt;&lt;w:lvlJc w:val="left"/&gt;&lt;w:pPr&gt;&lt;w:ind w:left="1800" w:hanging="360"/&gt;&lt;/w:pPr&gt;&lt;w:rPr&gt;&lt;w:rFonts w:ascii="Wingdings" w:hAnsi="Wingdings" w:hint="default"/&gt;&lt;/w:rPr&gt;&lt;/w:lvl&gt;&lt;w:lvl w:ilvl="3" w:tplc="0C090001" w:tentative="1"&gt;&lt;w:start w:val="1"/&gt;&lt;w:numFmt w:val="bullet"/&gt;&lt;w:lvlText w:val=""/&gt;&lt;w:lvlJc w:val="left"/&gt;&lt;w:pPr&gt;&lt;w:ind w:left="2520" w:hanging="360"/&gt;&lt;/w:pPr&gt;&lt;w:rPr&gt;&lt;w:rFonts w:ascii="Symbol" w:hAnsi="Symbol" w:hint="default"/&gt;&lt;/w:rPr&gt;&lt;/w:lvl&gt;&lt;w:lvl w:ilvl="4" w:tplc="0C090003" w:tentative="1"&gt;&lt;w:start w:val="1"/&gt;&lt;w:numFmt w:val="bullet"/&gt;&lt;w:lvlText w:val="o"/&gt;&lt;w:lvlJc w:val="left"/&gt;&lt;w:pPr&gt;&lt;w:ind w:left="3240" w:hanging="360"/&gt;&lt;/w:pPr&gt;&lt;w:rPr&gt;&lt;w:rFonts w:ascii="Courier New" w:hAnsi="Courier New" w:cs="Courier New" w:hint="default"/&gt;&lt;/w:rPr&gt;&lt;/w:lvl&gt;&lt;w:lvl w:ilvl="5" w:tplc="0C090005" w:tentative="1"&gt;&lt;w:start w:val="1"/&gt;&lt;w:numFmt w:val="bullet"/&gt;&lt;w:lvlText w:val=""/&gt;&lt;w:lvlJc w:val="left"/&gt;&lt;w:pPr&gt;&lt;w:ind w:left="3960" w:hanging="360"/&gt;&lt;/w:pPr&gt;&lt;w:rPr&gt;&lt;w:rFonts w:ascii="Wingdings" w:hAnsi="Wingdings" w:hint="default"/&gt;&lt;/w:rPr&gt;&lt;/w:lvl&gt;&lt;w:lvl w:ilvl="6" w:tplc="0C090001" w:tentative="1"&gt;&lt;w:start w:val="1"/&gt;&lt;w:numFmt w:val="bullet"/&gt;&lt;w:lvlText w:val=""/&gt;&lt;w:lvlJc w:val="left"/&gt;&lt;w:pPr&gt;&lt;w:ind w:left="4680" w:hanging="360"/&gt;&lt;/w:pPr&gt;&lt;w:rPr&gt;&lt;w:rFonts w:ascii="Symbol" w:hAnsi="Symbol" w:hint="default"/&gt;&lt;/w:rPr&gt;&lt;/w:lvl&gt;&lt;w:lvl w:ilvl="7" w:tplc="0C090003" w:tentative="1"&gt;&lt;w:start w:val="1"/&gt;&lt;w:numFmt w:val="bullet"/&gt;&lt;w:lvlText w:val="o"/&gt;&lt;w:lvlJc w:val="left"/&gt;&lt;w:pPr&gt;&lt;w:ind w:left="5400" w:hanging="360"/&gt;&lt;/w:pPr&gt;&lt;w:rPr&gt;&lt;w:rFonts w:ascii="Courier New" w:hAnsi="Courier New" w:cs="Courier New" w:hint="default"/&gt;&lt;/w:rPr&gt;&lt;/w:lvl&gt;&lt;w:lvl w:ilvl="8" w:tplc="0C090005" w:tentative="1"&gt;&lt;w:start w:val="1"/&gt;&lt;w:numFmt w:val="bullet"/&gt;&lt;w:lvlText w:val=""/&gt;&lt;w:lvlJc w:val="left"/&gt;&lt;w:pPr&gt;&lt;w:ind w:left="6120" w:hanging="360"/&gt;&lt;/w:pPr&gt;&lt;w:rPr&gt;&lt;w:rFonts w:ascii="Wingdings" w:hAnsi="Wingdings" w:hint="default"/&gt;&lt;/w:rPr&gt;&lt;/w:lvl&gt;&lt;/w:abstractNum&gt;&lt;w:abstractNum w:abstractNumId="12" w15:restartNumberingAfterBreak="0"&gt;&lt;w:nsid w:val="07881156"/&gt;&lt;w:multiLevelType w:val="hybridMultilevel"/&gt;&lt;w:tmpl w:val="A2C28AB0"/&gt;&lt;w:lvl w:ilvl="0" w:tplc="0C09000F"&gt;&lt;w:start w:val="1"/&gt;&lt;w:numFmt w:val="decimal"/&gt;&lt;w:lvlText w:val="%1."/&gt;&lt;w:lvlJc w:val="left"/&gt;&lt;w:pPr&gt;&lt;w:ind w:left="720" w:hanging="360"/&gt;&lt;/w:pPr&gt;&lt;/w:lvl&gt;&lt;w:lvl w:ilvl="1" w:tplc="0C090019" w:tentative="1"&gt;&lt;w:start w:val="1"/&gt;&lt;w:numFmt w:val="lowerLetter"/&gt;&lt;w:lvlText w:val="%2."/&gt;&lt;w:lvlJc w:val="left"/&gt;&lt;w:pPr&gt;&lt;w:ind w:left="1440" w:hanging="360"/&gt;&lt;/w:pPr&gt;&lt;/w:lvl&gt;&lt;w:lvl w:ilvl="2" w:tplc="0C09001B" w:tentative="1"&gt;&lt;w:start w:val="1"/&gt;&lt;w:numFmt w:val="lowerRoman"/&gt;&lt;w:lvlText w:val="%3."/&gt;&lt;w:lvlJc w:val="right"/&gt;&lt;w:pPr&gt;&lt;w:ind w:left="2160" w:hanging="180"/&gt;&lt;/w:pPr&gt;&lt;/w:lvl&gt;&lt;w:lvl w:ilvl="3" w:tplc="0C09000F" w:tentative="1"&gt;&lt;w:start w:val="1"/&gt;&lt;w:numFmt w:val="decimal"/&gt;&lt;w:lvlText w:val="%4."/&gt;&lt;w:lvlJc w:val="left"/&gt;&lt;w:pPr&gt;&lt;w:ind w:left="2880" w:hanging="360"/&gt;&lt;/w:pPr&gt;&lt;/w:lvl&gt;&lt;w:lvl w:ilvl="4" w:tplc="0C090019" w:tentative="1"&gt;&lt;w:start w:val="1"/&gt;&lt;w:numFmt w:val="lowerLetter"/&gt;&lt;w:lvlText w:val="%5."/&gt;&lt;w:lvlJc w:val="left"/&gt;&lt;w:pPr&gt;&lt;w:ind w:left="3600" w:hanging="360"/&gt;&lt;/w:pPr&gt;&lt;/w:lvl&gt;&lt;w:lvl w:ilvl="5" w:tplc="0C09001B" w:tentative="1"&gt;&lt;w:start w:val="1"/&gt;&lt;w:numFmt w:val="lowerRoman"/&gt;&lt;w:lvlText w:val="%6."/&gt;&lt;w:lvlJc w:val="right"/&gt;&lt;w:pPr&gt;&lt;w:ind w:left="4320" w:hanging="180"/&gt;&lt;/w:pPr&gt;&lt;/w:lvl&gt;&lt;w:lvl w:ilvl="6" w:tplc="0C09000F" w:tentative="1"&gt;&lt;w:start w:val="1"/&gt;&lt;w:numFmt w:val="decimal"/&gt;&lt;w:lvlText w:val="%7."/&gt;&lt;w:lvlJc w:val="left"/&gt;&lt;w:pPr&gt;&lt;w:ind w:left="5040" w:hanging="360"/&gt;&lt;/w:pPr&gt;&lt;/w:lvl&gt;&lt;w:lvl w:ilvl="7" w:tplc="0C090019" w:tentative="1"&gt;&lt;w:start w:val="1"/&gt;&lt;w:numFmt w:val="lowerLetter"/&gt;&lt;w:lvlText w:val="%8."/&gt;&lt;w:lvlJc w:val="left"/&gt;&lt;w:pPr&gt;&lt;w:ind w:left="5760" w:hanging="360"/&gt;&lt;/w:pPr&gt;&lt;/w:lvl&gt;&lt;w:lvl w:ilvl="8" w:tplc="0C09001B" w:tentative="1"&gt;&lt;w:start w:val="1"/&gt;&lt;w:numFmt w:val="lowerRoman"/&gt;&lt;w:lvlText w:val="%9."/&gt;&lt;w:lvlJc w:val="right"/&gt;&lt;w:pPr&gt;&lt;w:ind w:left="6480" w:hanging="180"/&gt;&lt;/w:pPr&gt;&lt;/w:lvl&gt;&lt;/w:abstractNum&gt;&lt;w:abstractNum w:abstractNumId="13" w15:restartNumberingAfterBreak="0"&gt;&lt;w:nsid w:val="0D465E45"/&gt;&lt;w:multiLevelType w:val="hybridMultilevel"/&gt;&lt;w:tmpl w:val="3AA8C070"/&gt;&lt;w:lvl w:ilvl="0" w:tplc="00CE3A2C"&gt;&lt;w:numFmt w:val="bullet"/&gt;&lt;w:lvlText w:val="-"/&gt;&lt;w:lvlJc w:val="left"/&gt;&lt;w:pPr&gt;&lt;w:ind w:left="1140" w:hanging="360"/&gt;&lt;/w:pPr&gt;&lt;w:rPr&gt;&lt;w:rFonts w:ascii="Times New Roman" w:eastAsiaTheme="minorEastAsia" w:hAnsi="Times New Roman" w:cs="Times New Roman" w:hint="default"/&gt;&lt;/w:rPr&gt;&lt;/w:lvl&gt;&lt;w:lvl w:ilvl="1" w:tplc="0C090003" w:tentative="1"&gt;&lt;w:start w:val="1"/&gt;&lt;w:numFmt w:val="bullet"/&gt;&lt;w:lvlText w:val="o"/&gt;&lt;w:lvlJc w:val="left"/&gt;&lt;w:pPr&gt;&lt;w:ind w:left="1860" w:hanging="360"/&gt;&lt;/w:pPr&gt;&lt;w:rPr&gt;&lt;w:rFonts w:ascii="Courier New" w:hAnsi="Courier New" w:cs="Courier New" w:hint="default"/&gt;&lt;/w:rPr&gt;&lt;/w:lvl&gt;&lt;w:lvl w:ilvl="2" w:tplc="0C090005" w:tentative="1"&gt;&lt;w:start w:val="1"/&gt;&lt;w:numFmt w:val="bullet"/&gt;&lt;w:lvlText w:val=""/&gt;&lt;w:lvlJc w:val="left"/&gt;&lt;w:pPr&gt;&lt;w:ind w:left="2580" w:hanging="360"/&gt;&lt;/w:pPr&gt;&lt;w:rPr&gt;&lt;w:rFonts w:ascii="Wingdings" w:hAnsi="Wingdings" w:hint="default"/&gt;&lt;/w:rPr&gt;&lt;/w:lvl&gt;&lt;w:lvl w:ilvl="3" w:tplc="0C090001" w:tentative="1"&gt;&lt;w:start w:val="1"/&gt;&lt;w:numFmt w:val="bullet"/&gt;&lt;w:lvlText w:val=""/&gt;&lt;w:lvlJc w:val="left"/&gt;&lt;w:pPr&gt;&lt;w:ind w:left="3300" w:hanging="360"/&gt;&lt;/w:pPr&gt;&lt;w:rPr&gt;&lt;w:rFonts w:ascii="Symbol" w:hAnsi="Symbol" w:hint="default"/&gt;&lt;/w:rPr&gt;&lt;/w:lvl&gt;&lt;w:lvl w:ilvl="4" w:tplc="0C090003" w:tentative="1"&gt;&lt;w:start w:val="1"/&gt;&lt;w:numFmt w:val="bullet"/&gt;&lt;w:lvlText w:val="o"/&gt;&lt;w:lvlJc w:val="left"/&gt;&lt;w:pPr&gt;&lt;w:ind w:left="4020" w:hanging="360"/&gt;&lt;/w:pPr&gt;&lt;w:rPr&gt;&lt;w:rFonts w:ascii="Courier New" w:hAnsi="Courier New" w:cs="Courier New" w:hint="default"/&gt;&lt;/w:rPr&gt;&lt;/w:lvl&gt;&lt;w:lvl w:ilvl="5" w:tplc="0C090005" w:tentative="1"&gt;&lt;w:start w:val="1"/&gt;&lt;w:numFmt w:val="bullet"/&gt;&lt;w:lvlText w:val=""/&gt;&lt;w:lvlJc w:val="left"/&gt;&lt;w:pPr&gt;&lt;w:ind w:left="4740" w:hanging="360"/&gt;&lt;/w:pPr&gt;&lt;w:rPr&gt;&lt;w:rFonts w:ascii="Wingdings" w:hAnsi="Wingdings" w:hint="default"/&gt;&lt;/w:rPr&gt;&lt;/w:lvl&gt;&lt;w:lvl w:ilvl="6" w:tplc="0C090001" w:tentative="1"&gt;&lt;w:start w:val="1"/&gt;&lt;w:numFmt w:val="bullet"/&gt;&lt;w:lvlText w:val=""/&gt;&lt;w:lvlJc w:val="left"/&gt;&lt;w:pPr&gt;&lt;w:ind w:left="5460" w:hanging="360"/&gt;&lt;/w:pPr&gt;&lt;w:rPr&gt;&lt;w:rFonts w:ascii="Symbol" w:hAnsi="Symbol" w:hint="default"/&gt;&lt;/w:rPr&gt;&lt;/w:lvl&gt;&lt;w:lvl w:ilvl="7" w:tplc="0C090003" w:tentative="1"&gt;&lt;w:start w:val="1"/&gt;&lt;w:numFmt w:val="bullet"/&gt;&lt;w:lvlText w:val="o"/&gt;&lt;w:lvlJc w:val="left"/&gt;&lt;w:pPr&gt;&lt;w:ind w:left="6180" w:hanging="360"/&gt;&lt;/w:pPr&gt;&lt;w:rPr&gt;&lt;w:rFonts w:ascii="Courier New" w:hAnsi="Courier New" w:cs="Courier New" w:hint="default"/&gt;&lt;/w:rPr&gt;&lt;/w:lvl&gt;&lt;w:lvl w:ilvl="8" w:tplc="0C090005" w:tentative="1"&gt;&lt;w:start w:val="1"/&gt;&lt;w:numFmt w:val="bullet"/&gt;&lt;w:lvlText w:val=""/&gt;&lt;w:lvlJc w:val="left"/&gt;&lt;w:pPr&gt;&lt;w:ind w:left="6900" w:hanging="360"/&gt;&lt;/w:pPr&gt;&lt;w:rPr&gt;&lt;w:rFonts w:ascii="Wingdings" w:hAnsi="Wingdings" w:hint="default"/&gt;&lt;/w:rPr&gt;&lt;/w:lvl&gt;&lt;/w:abstractNum&gt;&lt;w:abstractNum w:abstractNumId="14" w15:restartNumberingAfterBreak="0"&gt;&lt;w:nsid w:val="1A097B4D"/&gt;&lt;w:multiLevelType w:val="hybridMultilevel"/&gt;&lt;w:tmpl w:val="14FC749A"/&gt;&lt;w:lvl w:ilvl="0" w:tplc="0C09000F"&gt;&lt;w:start w:val="1"/&gt;&lt;w:numFmt w:val="decimal"/&gt;&lt;w:lvlText w:val="%1."/&gt;&lt;w:lvlJc w:val="left"/&gt;&lt;w:pPr&gt;&lt;w:ind w:left="720" w:hanging="360"/&gt;&lt;/w:pPr&gt;&lt;/w:lvl&gt;&lt;w:lvl w:ilvl="1" w:tplc="0C090019" w:tentative="1"&gt;&lt;w:start w:val="1"/&gt;&lt;w:numFmt w:val="lowerLetter"/&gt;&lt;w:lvlText w:val="%2."/&gt;&lt;w:lvlJc w:val="left"/&gt;&lt;w:pPr&gt;&lt;w:ind w:left="1440" w:hanging="360"/&gt;&lt;/w:pPr&gt;&lt;/w:lvl&gt;&lt;w:lvl w:ilvl="2" w:tplc="0C09001B" w:tentative="1"&gt;&lt;w:start w:val="1"/&gt;&lt;w:numFmt w:val="lowerRoman"/&gt;&lt;w:lvlText w:val="%3."/&gt;&lt;w:lvlJc w:val="right"/&gt;&lt;w:pPr&gt;&lt;w:ind w:left="2160" w:hanging="180"/&gt;&lt;/w:pPr&gt;&lt;/w:lvl&gt;&lt;w:lvl w:ilvl="3" w:tplc="0C09000F" w:tentative="1"&gt;&lt;w:start w:val="1"/&gt;&lt;w:numFmt w:val="decimal"/&gt;&lt;w:lvlText w:val="%4."/&gt;&lt;w:lvlJc w:val="left"/&gt;&lt;w:pPr&gt;&lt;w:ind w:left="2880" w:hanging="360"/&gt;&lt;/w:pPr&gt;&lt;/w:lvl&gt;&lt;w:lvl w:ilvl="4" w:tplc="0C090019" w:tentative="1"&gt;&lt;w:start w:val="1"/&gt;&lt;w:numFmt w:val="lowerLetter"/&gt;&lt;w:lvlText w:val="%5."/&gt;&lt;w:lvlJc w:val="left"/&gt;&lt;w:pPr&gt;&lt;w:ind w:left="3600" w:hanging="360"/&gt;&lt;/w:pPr&gt;&lt;/w:lvl&gt;&lt;w:lvl w:ilvl="5" w:tplc="0C09001B" w:tentative="1"&gt;&lt;w:start w:val="1"/&gt;&lt;w:numFmt w:val="lowerRoman"/&gt;&lt;w:lvlText w:val="%6."/&gt;&lt;w:lvlJc w:val="right"/&gt;&lt;w:pPr&gt;&lt;w:ind w:left="4320" w:hanging="180"/&gt;&lt;/w:pPr&gt;&lt;/w:lvl&gt;&lt;w:lvl w:ilvl="6" w:tplc="0C09000F" w:tentative="1"&gt;&lt;w:start w:val="1"/&gt;&lt;w:numFmt w:val="decimal"/&gt;&lt;w:lvlText w:val="%7."/&gt;&lt;w:lvlJc w:val="left"/&gt;&lt;w:pPr&gt;&lt;w:ind w:left="5040" w:hanging="360"/&gt;&lt;/w:pPr&gt;&lt;/w:lvl&gt;&lt;w:lvl w:ilvl="7" w:tplc="0C090019" w:tentative="1"&gt;&lt;w:start w:val="1"/&gt;&lt;w:numFmt w:val="lowerLetter"/&gt;&lt;w:lvlText w:val="%8."/&gt;&lt;w:lvlJc w:val="left"/&gt;&lt;w:pPr&gt;&lt;w:ind w:left="5760" w:hanging="360"/&gt;&lt;/w:pPr&gt;&lt;/w:lvl&gt;&lt;w:lvl w:ilvl="8" w:tplc="0C09001B" w:tentative="1"&gt;&lt;w:start w:val="1"/&gt;&lt;w:numFmt w:val="lowerRoman"/&gt;&lt;w:lvlText w:val="%9."/&gt;&lt;w:lvlJc w:val="right"/&gt;&lt;w:pPr&gt;&lt;w:ind w:left="6480" w:hanging="180"/&gt;&lt;/w:pPr&gt;&lt;/w:lvl&gt;&lt;/w:abstractNum&gt;&lt;w:abstractNum w:abstractNumId="15" w15:restartNumberingAfterBreak="0"&gt;&lt;w:nsid w:val="206D2483"/&gt;&lt;w:multiLevelType w:val="hybridMultilevel"/&gt;&lt;w:tmpl w:val="BF84DD70"/&gt;&lt;w:lvl w:ilvl="0" w:tplc="0C09000F"&gt;&lt;w:start w:val="1"/&gt;&lt;w:numFmt w:val="decimal"/&gt;&lt;w:lvlText w:val="%1."/&gt;&lt;w:lvlJc w:val="left"/&gt;&lt;w:pPr&gt;&lt;w:ind w:left="752" w:hanging="360"/&gt;&lt;/w:pPr&gt;&lt;/w:lvl&gt;&lt;w:lvl w:ilvl="1" w:tplc="0C090019"&gt;&lt;w:start w:val="1"/&gt;&lt;w:numFmt w:val="lowerLetter"/&gt;&lt;w:lvlText w:val="%2."/&gt;&lt;w:lvlJc w:val="left"/&gt;&lt;w:pPr&gt;&lt;w:ind w:left="1472" w:hanging="360"/&gt;&lt;/w:pPr&gt;&lt;/w:lvl&gt;&lt;w:lvl w:ilvl="2" w:tplc="0C09001B"&gt;&lt;w:start w:val="1"/&gt;&lt;w:numFmt w:val="lowerRoman"/&gt;&lt;w:lvlText w:val="%3."/&gt;&lt;w:lvlJc w:val="right"/&gt;&lt;w:pPr&gt;&lt;w:ind w:left="2192" w:hanging="180"/&gt;&lt;/w:pPr&gt;&lt;/w:lvl&gt;&lt;w:lvl w:ilvl="3" w:tplc="0C09000F"&gt;&lt;w:start w:val="1"/&gt;&lt;w:numFmt w:val="decimal"/&gt;&lt;w:lvlText w:val="%4."/&gt;&lt;w:lvlJc w:val="left"/&gt;&lt;w:pPr&gt;&lt;w:ind w:left="2912" w:hanging="360"/&gt;&lt;/w:pPr&gt;&lt;/w:lvl&gt;&lt;w:lvl w:ilvl="4" w:tplc="0C090019"&gt;&lt;w:start w:val="1"/&gt;&lt;w:numFmt w:val="lowerLetter"/&gt;&lt;w:lvlText w:val="%5."/&gt;&lt;w:lvlJc w:val="left"/&gt;&lt;w:pPr&gt;&lt;w:ind w:left="3632" w:hanging="360"/&gt;&lt;/w:pPr&gt;&lt;/w:lvl&gt;&lt;w:lvl w:ilvl="5" w:tplc="0C09001B"&gt;&lt;w:start w:val="1"/&gt;&lt;w:numFmt w:val="lowerRoman"/&gt;&lt;w:lvlText w:val="%6."/&gt;&lt;w:lvlJc w:val="right"/&gt;&lt;w:pPr&gt;&lt;w:ind w:left="4352" w:hanging="180"/&gt;&lt;/w:pPr&gt;&lt;/w:lvl&gt;&lt;w:lvl w:ilvl="6" w:tplc="0C09000F"&gt;&lt;w:start w:val="1"/&gt;&lt;w:numFmt w:val="decimal"/&gt;&lt;w:lvlText w:val="%7."/&gt;&lt;w:lvlJc w:val="left"/&gt;&lt;w:pPr&gt;&lt;w:ind w:left="5072" w:hanging="360"/&gt;&lt;/w:pPr&gt;&lt;/w:lvl&gt;&lt;w:lvl w:ilvl="7" w:tplc="0C090019"&gt;&lt;w:start w:val="1"/&gt;&lt;w:numFmt w:val="lowerLetter"/&gt;&lt;w:lvlText w:val="%8."/&gt;&lt;w:lvlJc w:val="left"/&gt;&lt;w:pPr&gt;&lt;w:ind w:left="5792" w:hanging="360"/&gt;&lt;/w:pPr&gt;&lt;/w:lvl&gt;&lt;w:lvl w:ilvl="8" w:tplc="0C09001B"&gt;&lt;w:start w:val="1"/&gt;&lt;w:numFmt w:val="lowerRoman"/&gt;&lt;w:lvlText w:val="%9."/&gt;&lt;w:lvlJc w:val="right"/&gt;&lt;w:pPr&gt;&lt;w:ind w:left="6512" w:hanging="180"/&gt;&lt;/w:pPr&gt;&lt;/w:lvl&gt;&lt;/w:abstractNum&gt;&lt;w:abstractNum w:abstractNumId="16" w15:restartNumberingAfterBreak="0"&gt;&lt;w:nsid w:val="23EA7201"/&gt;&lt;w:multiLevelType w:val="hybridMultilevel"/&gt;&lt;w:tmpl w:val="63F419E6"/&gt;&lt;w:lvl w:ilvl="0" w:tplc="16C265BC"&gt;&lt;w:start w:val="1"/&gt;&lt;w:numFmt w:val="decimal"/&gt;&lt;w:lvlText w:val="(%1)"/&gt;&lt;w:lvlJc w:val="left"/&gt;&lt;w:pPr&gt;&lt;w:ind w:left="1080" w:hanging="360"/&gt;&lt;/w:pPr&gt;&lt;w:rPr&gt;&lt;w:rFonts w:hint="default"/&gt;&lt;/w:rPr&gt;&lt;/w:lvl&gt;&lt;w:lvl w:ilvl="1" w:tplc="0C090019" w:tentative="1"&gt;&lt;w:start w:val="1"/&gt;&lt;w:numFmt w:val="lowerLetter"/&gt;&lt;w:lvlText w:val="%2."/&gt;&lt;w:lvlJc w:val="left"/&gt;&lt;w:pPr&gt;&lt;w:ind w:left="1800" w:hanging="360"/&gt;&lt;/w:pPr&gt;&lt;/w:lvl&gt;&lt;w:lvl w:ilvl="2" w:tplc="0C09001B" w:tentative="1"&gt;&lt;w:start w:val="1"/&gt;&lt;w:numFmt w:val="lowerRoman"/&gt;&lt;w:lvlText w:val="%3."/&gt;&lt;w:lvlJc w:val="right"/&gt;&lt;w:pPr&gt;&lt;w:ind w:left="2520" w:hanging="180"/&gt;&lt;/w:pPr&gt;&lt;/w:lvl&gt;&lt;w:lvl w:ilvl="3" w:tplc="0C09000F" w:tentative="1"&gt;&lt;w:start w:val="1"/&gt;&lt;w:numFmt w:val="decimal"/&gt;&lt;w:lvlText w:val="%4."/&gt;&lt;w:lvlJc w:val="left"/&gt;&lt;w:pPr&gt;&lt;w:ind w:left="3240" w:hanging="360"/&gt;&lt;/w:pPr&gt;&lt;/w:lvl&gt;&lt;w:lvl w:ilvl="4" w:tplc="0C090019" w:tentative="1"&gt;&lt;w:start w:val="1"/&gt;&lt;w:numFmt w:val="lowerLetter"/&gt;&lt;w:lvlText w:val="%5."/&gt;&lt;w:lvlJc w:val="left"/&gt;&lt;w:pPr&gt;&lt;w:ind w:left="3960" w:hanging="360"/&gt;&lt;/w:pPr&gt;&lt;/w:lvl&gt;&lt;w:lvl w:ilvl="5" w:tplc="0C09001B" w:tentative="1"&gt;&lt;w:start w:val="1"/&gt;&lt;w:numFmt w:val="lowerRoman"/&gt;&lt;w:lvlText w:val="%6."/&gt;&lt;w:lvlJc w:val="right"/&gt;&lt;w:pPr&gt;&lt;w:ind w:left="4680" w:hanging="180"/&gt;&lt;/w:pPr&gt;&lt;/w:lvl&gt;&lt;w:lvl w:ilvl="6" w:tplc="0C09000F" w:tentative="1"&gt;&lt;w:start w:val="1"/&gt;&lt;w:numFmt w:val="decimal"/&gt;&lt;w:lvlText w:val="%7."/&gt;&lt;w:lvlJc w:val="left"/&gt;&lt;w:pPr&gt;&lt;w:ind w:left="5400" w:hanging="360"/&gt;&lt;/w:pPr&gt;&lt;/w:lvl&gt;&lt;w:lvl w:ilvl="7" w:tplc="0C090019" w:tentative="1"&gt;&lt;w:start w:val="1"/&gt;&lt;w:numFmt w:val="lowerLetter"/&gt;&lt;w:lvlText w:val="%8."/&gt;&lt;w:lvlJc w:val="left"/&gt;&lt;w:pPr&gt;&lt;w:ind w:left="6120" w:hanging="360"/&gt;&lt;/w:pPr&gt;&lt;/w:lvl&gt;&lt;w:lvl w:ilvl="8" w:tplc="0C09001B" w:tentative="1"&gt;&lt;w:start w:val="1"/&gt;&lt;w:numFmt w:val="lowerRoman"/&gt;&lt;w:lvlText w:val="%9."/&gt;&lt;w:lvlJc w:val="right"/&gt;&lt;w:pPr&gt;&lt;w:ind w:left="6840" w:hanging="180"/&gt;&lt;/w:pPr&gt;&lt;/w:lvl&gt;&lt;/w:abstractNum&gt;&lt;w:abstractNum w:abstractNumId="17" w15:restartNumberingAfterBreak="0"&gt;&lt;w:nsid w:val="242D0308"/&gt;&lt;w:multiLevelType w:val="hybridMultilevel"/&gt;&lt;w:tmpl w:val="69263A94"/&gt;&lt;w:lvl w:ilvl="0" w:tplc="A6189300"&gt;&lt;w:start w:val="1"/&gt;&lt;w:numFmt w:val="bullet"/&gt;&lt;w:lvlText w:val=""/&gt;&lt;w:lvlJc w:val="left"/&gt;&lt;w:pPr&gt;&lt;w:ind w:left="720" w:hanging="360"/&gt;&lt;/w:pPr&gt;&lt;w:rPr&gt;&lt;w:rFonts w:ascii="Wingdings" w:hAnsi="Wingdings" w:hint="default"/&gt;&lt;/w:rPr&gt;&lt;/w:lvl&gt;&lt;w:lvl w:ilvl="1" w:tplc="04090003"&gt;&lt;w:start w:val="1"/&gt;&lt;w:numFmt w:val="bullet"/&gt;&lt;w:lvlText w:val="o"/&gt;&lt;w:lvlJc w:val="left"/&gt;&lt;w:pPr&gt;&lt;w:ind w:left="1440" w:hanging="360"/&gt;&lt;/w:pPr&gt;&lt;w:rPr&gt;&lt;w:rFonts w:ascii="Courier New" w:hAnsi="Courier New" w:cs="Courier New" w:hint="default"/&gt;&lt;/w:rPr&gt;&lt;/w:lvl&gt;&lt;w:lvl w:ilvl="2" w:tplc="04090005"&gt;&lt;w:start w:val="1"/&gt;&lt;w:numFmt w:val="bullet"/&gt;&lt;w:lvlText w:val=""/&gt;&lt;w:lvlJc w:val="left"/&gt;&lt;w:pPr&gt;&lt;w:ind w:left="2160" w:hanging="360"/&gt;&lt;/w:pPr&gt;&lt;w:rPr&gt;&lt;w:rFonts w:ascii="Wingdings" w:hAnsi="Wingdings" w:hint="default"/&gt;&lt;/w:rPr&gt;&lt;/w:lvl&gt;&lt;w:lvl w:ilvl="3" w:tplc="04090001" w:tentative="1"&gt;&lt;w:start w:val="1"/&gt;&lt;w:numFmt w:val="bullet"/&gt;&lt;w:lvlText w:val=""/&gt;&lt;w:lvlJc w:val="left"/&gt;&lt;w:pPr&gt;&lt;w:ind w:left="2880" w:hanging="360"/&gt;&lt;/w:pPr&gt;&lt;w:rPr&gt;&lt;w:rFonts w:ascii="Symbol" w:hAnsi="Symbol" w:hint="default"/&gt;&lt;/w:rPr&gt;&lt;/w:lvl&gt;&lt;w:lvl w:ilvl="4" w:tplc="04090003" w:tentative="1"&gt;&lt;w:start w:val="1"/&gt;&lt;w:numFmt w:val="bullet"/&gt;&lt;w:lvlText w:val="o"/&gt;&lt;w:lvlJc w:val="left"/&gt;&lt;w:pPr&gt;&lt;w:ind w:left="3600" w:hanging="360"/&gt;&lt;/w:pPr&gt;&lt;w:rPr&gt;&lt;w:rFonts w:ascii="Courier New" w:hAnsi="Courier New" w:cs="Courier New" w:hint="default"/&gt;&lt;/w:rPr&gt;&lt;/w:lvl&gt;&lt;w:lvl w:ilvl="5" w:tplc="04090005" w:tentative="1"&gt;&lt;w:start w:val="1"/&gt;&lt;w:numFmt w:val="bullet"/&gt;&lt;w:lvlText w:val=""/&gt;&lt;w:lvlJc w:val="left"/&gt;&lt;w:pPr&gt;&lt;w:ind w:left="4320" w:hanging="360"/&gt;&lt;/w:pPr&gt;&lt;w:rPr&gt;&lt;w:rFonts w:ascii="Wingdings" w:hAnsi="Wingdings" w:hint="default"/&gt;&lt;/w:rPr&gt;&lt;/w:lvl&gt;&lt;w:lvl w:ilvl="6" w:tplc="04090001" w:tentative="1"&gt;&lt;w:start w:val="1"/&gt;&lt;w:numFmt w:val="bullet"/&gt;&lt;w:lvlText w:val=""/&gt;&lt;w:lvlJc w:val="left"/&gt;&lt;w:pPr&gt;&lt;w:ind w:left="5040" w:hanging="360"/&gt;&lt;/w:pPr&gt;&lt;w:rPr&gt;&lt;w:rFonts w:ascii="Symbol" w:hAnsi="Symbol" w:hint="default"/&gt;&lt;/w:rPr&gt;&lt;/w:lvl&gt;&lt;w:lvl w:ilvl="7" w:tplc="04090003" w:tentative="1"&gt;&lt;w:start w:val="1"/&gt;&lt;w:numFmt w:val="bullet"/&gt;&lt;w:lvlText w:val="o"/&gt;&lt;w:lvlJc w:val="left"/&gt;&lt;w:pPr&gt;&lt;w:ind w:left="5760" w:hanging="360"/&gt;&lt;/w:pPr&gt;&lt;w:rPr&gt;&lt;w:rFonts w:ascii="Courier New" w:hAnsi="Courier New" w:cs="Courier New" w:hint="default"/&gt;&lt;/w:rPr&gt;&lt;/w:lvl&gt;&lt;w:lvl w:ilvl="8" w:tplc="04090005" w:tentative="1"&gt;&lt;w:start w:val="1"/&gt;&lt;w:numFmt w:val="bullet"/&gt;&lt;w:lvlText w:val=""/&gt;&lt;w:lvlJc w:val="left"/&gt;&lt;w:pPr&gt;&lt;w:ind w:left="6480" w:hanging="360"/&gt;&lt;/w:pPr&gt;&lt;w:rPr&gt;&lt;w:rFonts w:ascii="Wingdings" w:hAnsi="Wingdings" w:hint="default"/&gt;&lt;/w:rPr&gt;&lt;/w:lvl&gt;&lt;/w:abstractNum&gt;&lt;w:abstractNum w:abstractNumId="18" w15:restartNumberingAfterBreak="0"&gt;&lt;w:nsid w:val="24FD2514"/&gt;&lt;w:multiLevelType w:val="hybridMultilevel"/&gt;&lt;w:tmpl w:val="A2C28AB0"/&gt;&lt;w:lvl w:ilvl="0" w:tplc="0C09000F"&gt;&lt;w:start w:val="1"/&gt;&lt;w:numFmt w:val="decimal"/&gt;&lt;w:lvlText w:val="%1."/&gt;&lt;w:lvlJc w:val="left"/&gt;&lt;w:pPr&gt;&lt;w:ind w:left="720" w:hanging="360"/&gt;&lt;/w:pPr&gt;&lt;/w:lvl&gt;&lt;w:lvl w:ilvl="1" w:tplc="0C090019" w:tentative="1"&gt;&lt;w:start w:val="1"/&gt;&lt;w:numFmt w:val="lowerLetter"/&gt;&lt;w:lvlText w:val="%2."/&gt;&lt;w:lvlJc w:val="left"/&gt;&lt;w:pPr&gt;&lt;w:ind w:left="1440" w:hanging="360"/&gt;&lt;/w:pPr&gt;&lt;/w:lvl&gt;&lt;w:lvl w:ilvl="2" w:tplc="0C09001B" w:tentative="1"&gt;&lt;w:start w:val="1"/&gt;&lt;w:numFmt w:val="lowerRoman"/&gt;&lt;w:lvlText w:val="%3."/&gt;&lt;w:lvlJc w:val="right"/&gt;&lt;w:pPr&gt;&lt;w:ind w:left="2160" w:hanging="180"/&gt;&lt;/w:pPr&gt;&lt;/w:lvl&gt;&lt;w:lvl w:ilvl="3" w:tplc="0C09000F" w:tentative="1"&gt;&lt;w:start w:val="1"/&gt;&lt;w:numFmt w:val="decimal"/&gt;&lt;w:lvlText w:val="%4."/&gt;&lt;w:lvlJc w:val="left"/&gt;&lt;w:pPr&gt;&lt;w:ind w:left="2880" w:hanging="360"/&gt;&lt;/w:pPr&gt;&lt;/w:lvl&gt;&lt;w:lvl w:ilvl="4" w:tplc="0C090019" w:tentative="1"&gt;&lt;w:start w:val="1"/&gt;&lt;w:numFmt w:val="lowerLetter"/&gt;&lt;w:lvlText w:val="%5."/&gt;&lt;w:lvlJc w:val="left"/&gt;&lt;w:pPr&gt;&lt;w:ind w:left="3600" w:hanging="360"/&gt;&lt;/w:pPr&gt;&lt;/w:lvl&gt;&lt;w:lvl w:ilvl="5" w:tplc="0C09001B" w:tentative="1"&gt;&lt;w:start w:val="1"/&gt;&lt;w:numFmt w:val="lowerRoman"/&gt;&lt;w:lvlText w:val="%6."/&gt;&lt;w:lvlJc w:val="right"/&gt;&lt;w:pPr&gt;&lt;w:ind w:left="4320" w:hanging="180"/&gt;&lt;/w:pPr&gt;&lt;/w:lvl&gt;&lt;w:lvl w:ilvl="6" w:tplc="0C09000F" w:tentative="1"&gt;&lt;w:start w:val="1"/&gt;&lt;w:numFmt w:val="decimal"/&gt;&lt;w:lvlText w:val="%7."/&gt;&lt;w:lvlJc w:val="left"/&gt;&lt;w:pPr&gt;&lt;w:ind w:left="5040" w:hanging="360"/&gt;&lt;/w:pPr&gt;&lt;/w:lvl&gt;&lt;w:lvl w:ilvl="7" w:tplc="0C090019" w:tentative="1"&gt;&lt;w:start w:val="1"/&gt;&lt;w:numFmt w:val="lowerLetter"/&gt;&lt;w:lvlText w:val="%8."/&gt;&lt;w:lvlJc w:val="left"/&gt;&lt;w:pPr&gt;&lt;w:ind w:left="5760" w:hanging="360"/&gt;&lt;/w:pPr&gt;&lt;/w:lvl&gt;&lt;w:lvl w:ilvl="8" w:tplc="0C09001B" w:tentative="1"&gt;&lt;w:start w:val="1"/&gt;&lt;w:numFmt w:val="lowerRoman"/&gt;&lt;w:lvlText w:val="%9."/&gt;&lt;w:lvlJc w:val="right"/&gt;&lt;w:pPr&gt;&lt;w:ind w:left="6480" w:hanging="180"/&gt;&lt;/w:pPr&gt;&lt;/w:lvl&gt;&lt;/w:abstractNum&gt;&lt;w:abstractNum w:abstractNumId="19" w15:restartNumberingAfterBreak="0"&gt;&lt;w:nsid w:val="2B646072"/&gt;&lt;w:multiLevelType w:val="hybridMultilevel"/&gt;&lt;w:tmpl w:val="7366772E"/&gt;&lt;w:lvl w:ilvl="0" w:tplc="13E6D584"&gt;&lt;w:numFmt w:val="bullet"/&gt;&lt;w:lvlText w:val=""/&gt;&lt;w:lvlJc w:val="left"/&gt;&lt;w:pPr&gt;&lt;w:ind w:left="720"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w:left="1440" w:hanging="360"/&gt;&lt;/w:pPr&gt;&lt;w:rPr&gt;&lt;w:rFonts w:ascii="Courier New" w:hAnsi="Courier New" w:cs="Courier New" w:hint="default"/&gt;&lt;/w:rPr&gt;&lt;/w:lvl&gt;&lt;w:lvl w:ilvl="2" w:tplc="0C090005" w:tentative="1"&gt;&lt;w:start w:val="1"/&gt;&lt;w:numFmt w:val="bullet"/&gt;&lt;w:lvlText w:val=""/&gt;&lt;w:lvlJc w:val="left"/&gt;&lt;w:pPr&gt;&lt;w:ind w:left="2160" w:hanging="360"/&gt;&lt;/w:pPr&gt;&lt;w:rPr&gt;&lt;w:rFonts w:ascii="Wingdings" w:hAnsi="Wingdings" w:hint="default"/&gt;&lt;/w:rPr&gt;&lt;/w:lvl&gt;&lt;w:lvl w:ilvl="3" w:tplc="0C090001" w:tentative="1"&gt;&lt;w:start w:val="1"/&gt;&lt;w:numFmt w:val="bullet"/&gt;&lt;w:lvlText w:val=""/&gt;&lt;w:lvlJc w:val="left"/&gt;&lt;w:pPr&gt;&lt;w:ind w:left="2880" w:hanging="360"/&gt;&lt;/w:pPr&gt;&lt;w:rPr&gt;&lt;w:rFonts w:ascii="Symbol" w:hAnsi="Symbol" w:hint="default"/&gt;&lt;/w:rPr&gt;&lt;/w:lvl&gt;&lt;w:lvl w:ilvl="4" w:tplc="0C090003" w:tentative="1"&gt;&lt;w:start w:val="1"/&gt;&lt;w:numFmt w:val="bullet"/&gt;&lt;w:lvlText w:val="o"/&gt;&lt;w:lvlJc w:val="left"/&gt;&lt;w:pPr&gt;&lt;w:ind w:left="3600" w:hanging="360"/&gt;&lt;/w:pPr&gt;&lt;w:rPr&gt;&lt;w:rFonts w:ascii="Courier New" w:hAnsi="Courier New" w:cs="Courier New" w:hint="default"/&gt;&lt;/w:rPr&gt;&lt;/w:lvl&gt;&lt;w:lvl w:ilvl="5" w:tplc="0C090005" w:tentative="1"&gt;&lt;w:start w:val="1"/&gt;&lt;w:numFmt w:val="bullet"/&gt;&lt;w:lvlText w:val=""/&gt;&lt;w:lvlJc w:val="left"/&gt;&lt;w:pPr&gt;&lt;w:ind w:left="4320" w:hanging="360"/&gt;&lt;/w:pPr&gt;&lt;w:rPr&gt;&lt;w:rFonts w:ascii="Wingdings" w:hAnsi="Wingdings" w:hint="default"/&gt;&lt;/w:rPr&gt;&lt;/w:lvl&gt;&lt;w:lvl w:ilvl="6" w:tplc="0C090001" w:tentative="1"&gt;&lt;w:start w:val="1"/&gt;&lt;w:numFmt w:val="bullet"/&gt;&lt;w:lvlText w:val=""/&gt;&lt;w:lvlJc w:val="left"/&gt;&lt;w:pPr&gt;&lt;w:ind w:left="5040" w:hanging="360"/&gt;&lt;/w:pPr&gt;&lt;w:rPr&gt;&lt;w:rFonts w:ascii="Symbol" w:hAnsi="Symbol" w:hint="default"/&gt;&lt;/w:rPr&gt;&lt;/w:lvl&gt;&lt;w:lvl w:ilvl="7" w:tplc="0C090003" w:tentative="1"&gt;&lt;w:start w:val="1"/&gt;&lt;w:numFmt w:val="bullet"/&gt;&lt;w:lvlText w:val="o"/&gt;&lt;w:lvlJc w:val="left"/&gt;&lt;w:pPr&gt;&lt;w:ind w:left="5760" w:hanging="360"/&gt;&lt;/w:pPr&gt;&lt;w:rPr&gt;&lt;w:rFonts w:ascii="Courier New" w:hAnsi="Courier New" w:cs="Courier New" w:hint="default"/&gt;&lt;/w:rPr&gt;&lt;/w:lvl&gt;&lt;w:lvl w:ilvl="8" w:tplc="0C090005" w:tentative="1"&gt;&lt;w:start w:val="1"/&gt;&lt;w:numFmt w:val="bullet"/&gt;&lt;w:lvlText w:val=""/&gt;&lt;w:lvlJc w:val="left"/&gt;&lt;w:pPr&gt;&lt;w:ind w:left="6480" w:hanging="360"/&gt;&lt;/w:pPr&gt;&lt;w:rPr&gt;&lt;w:rFonts w:ascii="Wingdings" w:hAnsi="Wingdings" w:hint="default"/&gt;&lt;/w:rPr&gt;&lt;/w:lvl&gt;&lt;/w:abstractNum&gt;&lt;w:abstractNum w:abstractNumId="20" w15:restartNumberingAfterBreak="0"&gt;&lt;w:nsid w:val="39EE15B3"/&gt;&lt;w:multiLevelType w:val="hybridMultilevel"/&gt;&lt;w:tmpl w:val="1012FDDE"/&gt;&lt;w:lvl w:ilvl="0" w:tplc="0C09000F"&gt;&lt;w:start w:val="1"/&gt;&lt;w:numFmt w:val="decimal"/&gt;&lt;w:lvlText w:val="%1."/&gt;&lt;w:lvlJc w:val="left"/&gt;&lt;w:pPr&gt;&lt;w:ind w:left="720" w:hanging="360"/&gt;&lt;/w:pPr&gt;&lt;w:rPr&gt;&lt;w:rFonts w:hint="default"/&gt;&lt;/w:rPr&gt;&lt;/w:lvl&gt;&lt;w:lvl w:ilvl="1" w:tplc="0C090019" w:tentative="1"&gt;&lt;w:start w:val="1"/&gt;&lt;w:numFmt w:val="lowerLetter"/&gt;&lt;w:lvlText w:val="%2."/&gt;&lt;w:lvlJc w:val="left"/&gt;&lt;w:pPr&gt;&lt;w:ind w:left="1440" w:hanging="360"/&gt;&lt;/w:pPr&gt;&lt;/w:lvl&gt;&lt;w:lvl w:ilvl="2" w:tplc="0C09001B" w:tentative="1"&gt;&lt;w:start w:val="1"/&gt;&lt;w:numFmt w:val="lowerRoman"/&gt;&lt;w:lvlText w:val="%3."/&gt;&lt;w:lvlJc w:val="right"/&gt;&lt;w:pPr&gt;&lt;w:ind w:left="2160" w:hanging="180"/&gt;&lt;/w:pPr&gt;&lt;/w:lvl&gt;&lt;w:lvl w:ilvl="3" w:tplc="0C09000F" w:tentative="1"&gt;&lt;w:start w:val="1"/&gt;&lt;w:numFmt w:val="decimal"/&gt;&lt;w:lvlText w:val="%4."/&gt;&lt;w:lvlJc w:val="left"/&gt;&lt;w:pPr&gt;&lt;w:ind w:left="2880" w:hanging="360"/&gt;&lt;/w:pPr&gt;&lt;/w:lvl&gt;&lt;w:lvl w:ilvl="4" w:tplc="0C090019" w:tentative="1"&gt;&lt;w:start w:val="1"/&gt;&lt;w:numFmt w:val="lowerLetter"/&gt;&lt;w:lvlText w:val="%5."/&gt;&lt;w:lvlJc w:val="left"/&gt;&lt;w:pPr&gt;&lt;w:ind w:left="3600" w:hanging="360"/&gt;&lt;/w:pPr&gt;&lt;/w:lvl&gt;&lt;w:lvl w:ilvl="5" w:tplc="0C09001B" w:tentative="1"&gt;&lt;w:start w:val="1"/&gt;&lt;w:numFmt w:val="lowerRoman"/&gt;&lt;w:lvlText w:val="%6."/&gt;&lt;w:lvlJc w:val="right"/&gt;&lt;w:pPr&gt;&lt;w:ind w:left="4320" w:hanging="180"/&gt;&lt;/w:pPr&gt;&lt;/w:lvl&gt;&lt;w:lvl w:ilvl="6" w:tplc="0C09000F" w:tentative="1"&gt;&lt;w:start w:val="1"/&gt;&lt;w:numFmt w:val="decimal"/&gt;&lt;w:lvlText w:val="%7."/&gt;&lt;w:lvlJc w:val="left"/&gt;&lt;w:pPr&gt;&lt;w:ind w:left="5040" w:hanging="360"/&gt;&lt;/w:pPr&gt;&lt;/w:lvl&gt;&lt;w:lvl w:ilvl="7" w:tplc="0C090019" w:tentative="1"&gt;&lt;w:start w:val="1"/&gt;&lt;w:numFmt w:val="lowerLetter"/&gt;&lt;w:lvlText w:val="%8."/&gt;&lt;w:lvlJc w:val="left"/&gt;&lt;w:pPr&gt;&lt;w:ind w:left="5760" w:hanging="360"/&gt;&lt;/w:pPr&gt;&lt;/w:lvl&gt;&lt;w:lvl w:ilvl="8" w:tplc="0C09001B" w:tentative="1"&gt;&lt;w:start w:val="1"/&gt;&lt;w:numFmt w:val="lowerRoman"/&gt;&lt;w:lvlText w:val="%9."/&gt;&lt;w:lvlJc w:val="right"/&gt;&lt;w:pPr&gt;&lt;w:ind w:left="6480" w:hanging="180"/&gt;&lt;/w:pPr&gt;&lt;/w:lvl&gt;&lt;/w:abstractNum&gt;&lt;w:abstractNum w:abstractNumId="21" w15:restartNumberingAfterBreak="0"&gt;&lt;w:nsid w:val="530F226B"/&gt;&lt;w:multiLevelType w:val="hybridMultilevel"/&gt;&lt;w:tmpl w:val="92AA0DB4"/&gt;&lt;w:lvl w:ilvl="0" w:tplc="C5F27EEC"&gt;&lt;w:numFmt w:val="bullet"/&gt;&lt;w:lvlText w:val="-"/&gt;&lt;w:lvlJc w:val="left"/&gt;&lt;w:pPr&gt;&lt;w:ind w:left="1080" w:hanging="360"/&gt;&lt;/w:pPr&gt;&lt;w:rPr&gt;&lt;w:rFonts w:ascii="Times New Roman" w:eastAsiaTheme="minorEastAsia" w:hAnsi="Times New Roman" w:cs="Times New Roman" w:hint="default"/&gt;&lt;/w:rPr&gt;&lt;/w:lvl&gt;&lt;w:lvl w:ilvl="1" w:tplc="0C090003" w:tentative="1"&gt;&lt;w:start w:val="1"/&gt;&lt;w:numFmt w:val="bullet"/&gt;&lt;w:lvlText w:val="o"/&gt;&lt;w:lvlJc w:val="left"/&gt;&lt;w:pPr&gt;&lt;w:ind w:left="1800" w:hanging="360"/&gt;&lt;/w:pPr&gt;&lt;w:rPr&gt;&lt;w:rFonts w:ascii="Courier New" w:hAnsi="Courier New" w:cs="Courier New" w:hint="default"/&gt;&lt;/w:rPr&gt;&lt;/w:lvl&gt;&lt;w:lvl w:ilvl="2" w:tplc="0C090005" w:tentative="1"&gt;&lt;w:start w:val="1"/&gt;&lt;w:numFmt w:val="bullet"/&gt;&lt;w:lvlText w:val=""/&gt;&lt;w:lvlJc w:val="left"/&gt;&lt;w:pPr&gt;&lt;w:ind w:left="2520" w:hanging="360"/&gt;&lt;/w:pPr&gt;&lt;w:rPr&gt;&lt;w:rFonts w:ascii="Wingdings" w:hAnsi="Wingdings" w:hint="default"/&gt;&lt;/w:rPr&gt;&lt;/w:lvl&gt;&lt;w:lvl w:ilvl="3" w:tplc="0C090001" w:tentative="1"&gt;&lt;w:start w:val="1"/&gt;&lt;w:numFmt w:val="bullet"/&gt;&lt;w:lvlText w:val=""/&gt;&lt;w:lvlJc w:val="left"/&gt;&lt;w:pPr&gt;&lt;w:ind w:left="3240" w:hanging="360"/&gt;&lt;/w:pPr&gt;&lt;w:rPr&gt;&lt;w:rFonts w:ascii="Symbol" w:hAnsi="Symbol" w:hint="default"/&gt;&lt;/w:rPr&gt;&lt;/w:lvl&gt;&lt;w:lvl w:ilvl="4" w:tplc="0C090003" w:tentative="1"&gt;&lt;w:start w:val="1"/&gt;&lt;w:numFmt w:val="bullet"/&gt;&lt;w:lvlText w:val="o"/&gt;&lt;w:lvlJc w:val="left"/&gt;&lt;w:pPr&gt;&lt;w:ind w:left="3960" w:hanging="360"/&gt;&lt;/w:pPr&gt;&lt;w:rPr&gt;&lt;w:rFonts w:ascii="Courier New" w:hAnsi="Courier New" w:cs="Courier New" w:hint="default"/&gt;&lt;/w:rPr&gt;&lt;/w:lvl&gt;&lt;w:lvl w:ilvl="5" w:tplc="0C090005" w:tentative="1"&gt;&lt;w:start w:val="1"/&gt;&lt;w:numFmt w:val="bullet"/&gt;&lt;w:lvlText w:val=""/&gt;&lt;w:lvlJc w:val="left"/&gt;&lt;w:pPr&gt;&lt;w:ind w:left="4680" w:hanging="360"/&gt;&lt;/w:pPr&gt;&lt;w:rPr&gt;&lt;w:rFonts w:ascii="Wingdings" w:hAnsi="Wingdings" w:hint="default"/&gt;&lt;/w:rPr&gt;&lt;/w:lvl&gt;&lt;w:lvl w:ilvl="6" w:tplc="0C090001" w:tentative="1"&gt;&lt;w:start w:val="1"/&gt;&lt;w:numFmt w:val="bullet"/&gt;&lt;w:lvlText w:val=""/&gt;&lt;w:lvlJc w:val="left"/&gt;&lt;w:pPr&gt;&lt;w:ind w:left="5400" w:hanging="360"/&gt;&lt;/w:pPr&gt;&lt;w:rPr&gt;&lt;w:rFonts w:ascii="Symbol" w:hAnsi="Symbol" w:hint="default"/&gt;&lt;/w:rPr&gt;&lt;/w:lvl&gt;&lt;w:lvl w:ilvl="7" w:tplc="0C090003" w:tentative="1"&gt;&lt;w:start w:val="1"/&gt;&lt;w:numFmt w:val="bullet"/&gt;&lt;w:lvlText w:val="o"/&gt;&lt;w:lvlJc w:val="left"/&gt;&lt;w:pPr&gt;&lt;w:ind w:left="6120" w:hanging="360"/&gt;&lt;/w:pPr&gt;&lt;w:rPr&gt;&lt;w:rFonts w:ascii="Courier New" w:hAnsi="Courier New" w:cs="Courier New" w:hint="default"/&gt;&lt;/w:rPr&gt;&lt;/w:lvl&gt;&lt;w:lvl w:ilvl="8" w:tplc="0C090005" w:tentative="1"&gt;&lt;w:start w:val="1"/&gt;&lt;w:numFmt w:val="bullet"/&gt;&lt;w:lvlText w:val=""/&gt;&lt;w:lvlJc w:val="left"/&gt;&lt;w:pPr&gt;&lt;w:ind w:left="6840" w:hanging="360"/&gt;&lt;/w:pPr&gt;&lt;w:rPr&gt;&lt;w:rFonts w:ascii="Wingdings" w:hAnsi="Wingdings" w:hint="default"/&gt;&lt;/w:rPr&gt;&lt;/w:lvl&gt;&lt;/w:abstractNum&gt;&lt;w:abstractNum w:abstractNumId="22" w15:restartNumberingAfterBreak="0"&gt;&lt;w:nsid w:val="54FB5CB2"/&gt;&lt;w:multiLevelType w:val="hybridMultilevel"/&gt;&lt;w:tmpl w:val="A704C076"/&gt;&lt;w:lvl w:ilvl="0" w:tplc="13E6D584"&gt;&lt;w:numFmt w:val="bullet"/&gt;&lt;w:lvlText w:val=""/&gt;&lt;w:lvlJc w:val="left"/&gt;&lt;w:pPr&gt;&lt;w:ind w:left="360"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w:left="1080" w:hanging="360"/&gt;&lt;/w:pPr&gt;&lt;w:rPr&gt;&lt;w:rFonts w:ascii="Courier New" w:hAnsi="Courier New" w:cs="Courier New" w:hint="default"/&gt;&lt;/w:rPr&gt;&lt;/w:lvl&gt;&lt;w:lvl w:ilvl="2" w:tplc="0C090005" w:tentative="1"&gt;&lt;w:start w:val="1"/&gt;&lt;w:numFmt w:val="bullet"/&gt;&lt;w:lvlText w:val=""/&gt;&lt;w:lvlJc w:val="left"/&gt;&lt;w:pPr&gt;&lt;w:ind w:left="1800" w:hanging="360"/&gt;&lt;/w:pPr&gt;&lt;w:rPr&gt;&lt;w:rFonts w:ascii="Wingdings" w:hAnsi="Wingdings" w:hint="default"/&gt;&lt;/w:rPr&gt;&lt;/w:lvl&gt;&lt;w:lvl w:ilvl="3" w:tplc="0C090001" w:tentative="1"&gt;&lt;w:start w:val="1"/&gt;&lt;w:numFmt w:val="bullet"/&gt;&lt;w:lvlText w:val=""/&gt;&lt;w:lvlJc w:val="left"/&gt;&lt;w:pPr&gt;&lt;w:ind w:left="2520" w:hanging="360"/&gt;&lt;/w:pPr&gt;&lt;w:rPr&gt;&lt;w:rFonts w:ascii="Symbol" w:hAnsi="Symbol" w:hint="default"/&gt;&lt;/w:rPr&gt;&lt;/w:lvl&gt;&lt;w:lvl w:ilvl="4" w:tplc="0C090003" w:tentative="1"&gt;&lt;w:start w:val="1"/&gt;&lt;w:numFmt w:val="bullet"/&gt;&lt;w:lvlText w:val="o"/&gt;&lt;w:lvlJc w:val="left"/&gt;&lt;w:pPr&gt;&lt;w:ind w:left="3240" w:hanging="360"/&gt;&lt;/w:pPr&gt;&lt;w:rPr&gt;&lt;w:rFonts w:ascii="Courier New" w:hAnsi="Courier New" w:cs="Courier New" w:hint="default"/&gt;&lt;/w:rPr&gt;&lt;/w:lvl&gt;&lt;w:lvl w:ilvl="5" w:tplc="0C090005" w:tentative="1"&gt;&lt;w:start w:val="1"/&gt;&lt;w:numFmt w:val="bullet"/&gt;&lt;w:lvlText w:val=""/&gt;&lt;w:lvlJc w:val="left"/&gt;&lt;w:pPr&gt;&lt;w:ind w:left="3960" w:hanging="360"/&gt;&lt;/w:pPr&gt;&lt;w:rPr&gt;&lt;w:rFonts w:ascii="Wingdings" w:hAnsi="Wingdings" w:hint="default"/&gt;&lt;/w:rPr&gt;&lt;/w:lvl&gt;&lt;w:lvl w:ilvl="6" w:tplc="0C090001" w:tentative="1"&gt;&lt;w:start w:val="1"/&gt;&lt;w:numFmt w:val="bullet"/&gt;&lt;w:lvlText w:val=""/&gt;&lt;w:lvlJc w:val="left"/&gt;&lt;w:pPr&gt;&lt;w:ind w:left="4680" w:hanging="360"/&gt;&lt;/w:pPr&gt;&lt;w:rPr&gt;&lt;w:rFonts w:ascii="Symbol" w:hAnsi="Symbol" w:hint="default"/&gt;&lt;/w:rPr&gt;&lt;/w:lvl&gt;&lt;w:lvl w:ilvl="7" w:tplc="0C090003" w:tentative="1"&gt;&lt;w:start w:val="1"/&gt;&lt;w:numFmt w:val="bullet"/&gt;&lt;w:lvlText w:val="o"/&gt;&lt;w:lvlJc w:val="left"/&gt;&lt;w:pPr&gt;&lt;w:ind w:left="5400" w:hanging="360"/&gt;&lt;/w:pPr&gt;&lt;w:rPr&gt;&lt;w:rFonts w:ascii="Courier New" w:hAnsi="Courier New" w:cs="Courier New" w:hint="default"/&gt;&lt;/w:rPr&gt;&lt;/w:lvl&gt;&lt;w:lvl w:ilvl="8" w:tplc="0C090005" w:tentative="1"&gt;&lt;w:start w:val="1"/&gt;&lt;w:numFmt w:val="bullet"/&gt;&lt;w:lvlText w:val=""/&gt;&lt;w:lvlJc w:val="left"/&gt;&lt;w:pPr&gt;&lt;w:ind w:left="6120" w:hanging="360"/&gt;&lt;/w:pPr&gt;&lt;w:rPr&gt;&lt;w:rFonts w:ascii="Wingdings" w:hAnsi="Wingdings" w:hint="default"/&gt;&lt;/w:rPr&gt;&lt;/w:lvl&gt;&lt;/w:abstractNum&gt;&lt;w:abstractNum w:abstractNumId="23" w15:restartNumberingAfterBreak="0"&gt;&lt;w:nsid w:val="55D518AB"/&gt;&lt;w:multiLevelType w:val="hybridMultilevel"/&gt;&lt;w:tmpl w:val="D6925868"/&gt;&lt;w:lvl w:ilvl="0" w:tplc="13E6D584"&gt;&lt;w:numFmt w:val="bullet"/&gt;&lt;w:lvlText w:val=""/&gt;&lt;w:lvlJc w:val="left"/&gt;&lt;w:pPr&gt;&lt;w:ind w:left="720"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w:left="1440" w:hanging="360"/&gt;&lt;/w:pPr&gt;&lt;w:rPr&gt;&lt;w:rFonts w:ascii="Courier New" w:hAnsi="Courier New" w:cs="Courier New" w:hint="default"/&gt;&lt;/w:rPr&gt;&lt;/w:lvl&gt;&lt;w:lvl w:ilvl="2" w:tplc="0C090005" w:tentative="1"&gt;&lt;w:start w:val="1"/&gt;&lt;w:numFmt w:val="bullet"/&gt;&lt;w:lvlText w:val=""/&gt;&lt;w:lvlJc w:val="left"/&gt;&lt;w:pPr&gt;&lt;w:ind w:left="2160" w:hanging="360"/&gt;&lt;/w:pPr&gt;&lt;w:rPr&gt;&lt;w:rFonts w:ascii="Wingdings" w:hAnsi="Wingdings" w:hint="default"/&gt;&lt;/w:rPr&gt;&lt;/w:lvl&gt;&lt;w:lvl w:ilvl="3" w:tplc="0C090001" w:tentative="1"&gt;&lt;w:start w:val="1"/&gt;&lt;w:numFmt w:val="bullet"/&gt;&lt;w:lvlText w:val=""/&gt;&lt;w:lvlJc w:val="left"/&gt;&lt;w:pPr&gt;&lt;w:ind w:left="2880" w:hanging="360"/&gt;&lt;/w:pPr&gt;&lt;w:rPr&gt;&lt;w:rFonts w:ascii="Symbol" w:hAnsi="Symbol" w:hint="default"/&gt;&lt;/w:rPr&gt;&lt;/w:lvl&gt;&lt;w:lvl w:ilvl="4" w:tplc="0C090003" w:tentative="1"&gt;&lt;w:start w:val="1"/&gt;&lt;w:numFmt w:val="bullet"/&gt;&lt;w:lvlText w:val="o"/&gt;&lt;w:lvlJc w:val="left"/&gt;&lt;w:pPr&gt;&lt;w:ind w:left="3600" w:hanging="360"/&gt;&lt;/w:pPr&gt;&lt;w:rPr&gt;&lt;w:rFonts w:ascii="Courier New" w:hAnsi="Courier New" w:cs="Courier New" w:hint="default"/&gt;&lt;/w:rPr&gt;&lt;/w:lvl&gt;&lt;w:lvl w:ilvl="5" w:tplc="0C090005" w:tentative="1"&gt;&lt;w:start w:val="1"/&gt;&lt;w:numFmt w:val="bullet"/&gt;&lt;w:lvlText w:val=""/&gt;&lt;w:lvlJc w:val="left"/&gt;&lt;w:pPr&gt;&lt;w:ind w:left="4320" w:hanging="360"/&gt;&lt;/w:pPr&gt;&lt;w:rPr&gt;&lt;w:rFonts w:ascii="Wingdings" w:hAnsi="Wingdings" w:hint="default"/&gt;&lt;/w:rPr&gt;&lt;/w:lvl&gt;&lt;w:lvl w:ilvl="6" w:tplc="0C090001" w:tentative="1"&gt;&lt;w:start w:val="1"/&gt;&lt;w:numFmt w:val="bullet"/&gt;&lt;w:lvlText w:val=""/&gt;&lt;w:lvlJc w:val="left"/&gt;&lt;w:pPr&gt;&lt;w:ind w:left="5040" w:hanging="360"/&gt;&lt;/w:pPr&gt;&lt;w:rPr&gt;&lt;w:rFonts w:ascii="Symbol" w:hAnsi="Symbol" w:hint="default"/&gt;&lt;/w:rPr&gt;&lt;/w:lvl&gt;&lt;w:lvl w:ilvl="7" w:tplc="0C090003" w:tentative="1"&gt;&lt;w:start w:val="1"/&gt;&lt;w:numFmt w:val="bullet"/&gt;&lt;w:lvlText w:val="o"/&gt;&lt;w:lvlJc w:val="left"/&gt;&lt;w:pPr&gt;&lt;w:ind w:left="5760" w:hanging="360"/&gt;&lt;/w:pPr&gt;&lt;w:rPr&gt;&lt;w:rFonts w:ascii="Courier New" w:hAnsi="Courier New" w:cs="Courier New" w:hint="default"/&gt;&lt;/w:rPr&gt;&lt;/w:lvl&gt;&lt;w:lvl w:ilvl="8" w:tplc="0C090005" w:tentative="1"&gt;&lt;w:start w:val="1"/&gt;&lt;w:numFmt w:val="bullet"/&gt;&lt;w:lvlText w:val=""/&gt;&lt;w:lvlJc w:val="left"/&gt;&lt;w:pPr&gt;&lt;w:ind w:left="6480" w:hanging="360"/&gt;&lt;/w:pPr&gt;&lt;w:rPr&gt;&lt;w:rFonts w:ascii="Wingdings" w:hAnsi="Wingdings" w:hint="default"/&gt;&lt;/w:rPr&gt;&lt;/w:lvl&gt;&lt;/w:abstractNum&gt;&lt;w:abstractNum w:abstractNumId="24" w15:restartNumberingAfterBreak="0"&gt;&lt;w:nsid w:val="5988755B"/&gt;&lt;w:multiLevelType w:val="hybridMultilevel"/&gt;&lt;w:tmpl w:val="E36EAAA2"/&gt;&lt;w:lvl w:ilvl="0" w:tplc="13E6D584"&gt;&lt;w:numFmt w:val="bullet"/&gt;&lt;w:lvlText w:val=""/&gt;&lt;w:lvlJc w:val="left"/&gt;&lt;w:pPr&gt;&lt;w:ind w:left="360"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w:left="1080" w:hanging="360"/&gt;&lt;/w:pPr&gt;&lt;w:rPr&gt;&lt;w:rFonts w:ascii="Courier New" w:hAnsi="Courier New" w:cs="Courier New" w:hint="default"/&gt;&lt;/w:rPr&gt;&lt;/w:lvl&gt;&lt;w:lvl w:ilvl="2" w:tplc="0C090005" w:tentative="1"&gt;&lt;w:start w:val="1"/&gt;&lt;w:numFmt w:val="bullet"/&gt;&lt;w:lvlText w:val=""/&gt;&lt;w:lvlJc w:val="left"/&gt;&lt;w:pPr&gt;&lt;w:ind w:left="1800" w:hanging="360"/&gt;&lt;/w:pPr&gt;&lt;w:rPr&gt;&lt;w:rFonts w:ascii="Wingdings" w:hAnsi="Wingdings" w:hint="default"/&gt;&lt;/w:rPr&gt;&lt;/w:lvl&gt;&lt;w:lvl w:ilvl="3" w:tplc="0C090001" w:tentative="1"&gt;&lt;w:start w:val="1"/&gt;&lt;w:numFmt w:val="bullet"/&gt;&lt;w:lvlText w:val=""/&gt;&lt;w:lvlJc w:val="left"/&gt;&lt;w:pPr&gt;&lt;w:ind w:left="2520" w:hanging="360"/&gt;&lt;/w:pPr&gt;&lt;w:rPr&gt;&lt;w:rFonts w:ascii="Symbol" w:hAnsi="Symbol" w:hint="default"/&gt;&lt;/w:rPr&gt;&lt;/w:lvl&gt;&lt;w:lvl w:ilvl="4" w:tplc="0C090003" w:tentative="1"&gt;&lt;w:start w:val="1"/&gt;&lt;w:numFmt w:val="bullet"/&gt;&lt;w:lvlText w:val="o"/&gt;&lt;w:lvlJc w:val="left"/&gt;&lt;w:pPr&gt;&lt;w:ind w:left="3240" w:hanging="360"/&gt;&lt;/w:pPr&gt;&lt;w:rPr&gt;&lt;w:rFonts w:ascii="Courier New" w:hAnsi="Courier New" w:cs="Courier New" w:hint="default"/&gt;&lt;/w:rPr&gt;&lt;/w:lvl&gt;&lt;w:lvl w:ilvl="5" w:tplc="0C090005" w:tentative="1"&gt;&lt;w:start w:val="1"/&gt;&lt;w:numFmt w:val="bullet"/&gt;&lt;w:lvlText w:val=""/&gt;&lt;w:lvlJc w:val="left"/&gt;&lt;w:pPr&gt;&lt;w:ind w:left="3960" w:hanging="360"/&gt;&lt;/w:pPr&gt;&lt;w:rPr&gt;&lt;w:rFonts w:ascii="Wingdings" w:hAnsi="Wingdings" w:hint="default"/&gt;&lt;/w:rPr&gt;&lt;/w:lvl&gt;&lt;w:lvl w:ilvl="6" w:tplc="0C090001" w:tentative="1"&gt;&lt;w:start w:val="1"/&gt;&lt;w:numFmt w:val="bullet"/&gt;&lt;w:lvlText w:val=""/&gt;&lt;w:lvlJc w:val="left"/&gt;&lt;w:pPr&gt;&lt;w:ind w:left="4680" w:hanging="360"/&gt;&lt;/w:pPr&gt;&lt;w:rPr&gt;&lt;w:rFonts w:ascii="Symbol" w:hAnsi="Symbol" w:hint="default"/&gt;&lt;/w:rPr&gt;&lt;/w:lvl&gt;&lt;w:lvl w:ilvl="7" w:tplc="0C090003" w:tentative="1"&gt;&lt;w:start w:val="1"/&gt;&lt;w:numFmt w:val="bullet"/&gt;&lt;w:lvlText w:val="o"/&gt;&lt;w:lvlJc w:val="left"/&gt;&lt;w:pPr&gt;&lt;w:ind w:left="5400" w:hanging="360"/&gt;&lt;/w:pPr&gt;&lt;w:rPr&gt;&lt;w:rFonts w:ascii="Courier New" w:hAnsi="Courier New" w:cs="Courier New" w:hint="default"/&gt;&lt;/w:rPr&gt;&lt;/w:lvl&gt;&lt;w:lvl w:ilvl="8" w:tplc="0C090005" w:tentative="1"&gt;&lt;w:start w:val="1"/&gt;&lt;w:numFmt w:val="bullet"/&gt;&lt;w:lvlText w:val=""/&gt;&lt;w:lvlJc w:val="left"/&gt;&lt;w:pPr&gt;&lt;w:ind w:left="6120" w:hanging="360"/&gt;&lt;/w:pPr&gt;&lt;w:rPr&gt;&lt;w:rFonts w:ascii="Wingdings" w:hAnsi="Wingdings" w:hint="default"/&gt;&lt;/w:rPr&gt;&lt;/w:lvl&gt;&lt;/w:abstractNum&gt;&lt;w:abstractNum w:abstractNumId="25" w15:restartNumberingAfterBreak="0"&gt;&lt;w:nsid w:val="61B65336"/&gt;&lt;w:multiLevelType w:val="hybridMultilevel"/&gt;&lt;w:tmpl w:val="F318657E"/&gt;&lt;w:lvl w:ilvl="0" w:tplc="13E6D584"&gt;&lt;w:numFmt w:val="bullet"/&gt;&lt;w:lvlText w:val=""/&gt;&lt;w:lvlJc w:val="left"/&gt;&lt;w:pPr&gt;&lt;w:ind w:left="360"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w:left="1080" w:hanging="360"/&gt;&lt;/w:pPr&gt;&lt;w:rPr&gt;&lt;w:rFonts w:ascii="Courier New" w:hAnsi="Courier New" w:cs="Courier New" w:hint="default"/&gt;&lt;/w:rPr&gt;&lt;/w:lvl&gt;&lt;w:lvl w:ilvl="2" w:tplc="0C090005" w:tentative="1"&gt;&lt;w:start w:val="1"/&gt;&lt;w:numFmt w:val="bullet"/&gt;&lt;w:lvlText w:val=""/&gt;&lt;w:lvlJc w:val="left"/&gt;&lt;w:pPr&gt;&lt;w:ind w:left="1800" w:hanging="360"/&gt;&lt;/w:pPr&gt;&lt;w:rPr&gt;&lt;w:rFonts w:ascii="Wingdings" w:hAnsi="Wingdings" w:hint="default"/&gt;&lt;/w:rPr&gt;&lt;/w:lvl&gt;&lt;w:lvl w:ilvl="3" w:tplc="0C090001" w:tentative="1"&gt;&lt;w:start w:val="1"/&gt;&lt;w:numFmt w:val="bullet"/&gt;&lt;w:lvlText w:val=""/&gt;&lt;w:lvlJc w:val="left"/&gt;&lt;w:pPr&gt;&lt;w:ind w:left="2520" w:hanging="360"/&gt;&lt;/w:pPr&gt;&lt;w:rPr&gt;&lt;w:rFonts w:ascii="Symbol" w:hAnsi="Symbol" w:hint="default"/&gt;&lt;/w:rPr&gt;&lt;/w:lvl&gt;&lt;w:lvl w:ilvl="4" w:tplc="0C090003" w:tentative="1"&gt;&lt;w:start w:val="1"/&gt;&lt;w:numFmt w:val="bullet"/&gt;&lt;w:lvlText w:val="o"/&gt;&lt;w:lvlJc w:val="left"/&gt;&lt;w:pPr&gt;&lt;w:ind w:left="3240" w:hanging="360"/&gt;&lt;/w:pPr&gt;&lt;w:rPr&gt;&lt;w:rFonts w:ascii="Courier New" w:hAnsi="Courier New" w:cs="Courier New" w:hint="default"/&gt;&lt;/w:rPr&gt;&lt;/w:lvl&gt;&lt;w:lvl w:ilvl="5" w:tplc="0C090005" w:tentative="1"&gt;&lt;w:start w:val="1"/&gt;&lt;w:numFmt w:val="bullet"/&gt;&lt;w:lvlText w:val=""/&gt;&lt;w:lvlJc w:val="left"/&gt;&lt;w:pPr&gt;&lt;w:ind w:left="3960" w:hanging="360"/&gt;&lt;/w:pPr&gt;&lt;w:rPr&gt;&lt;w:rFonts w:ascii="Wingdings" w:hAnsi="Wingdings" w:hint="default"/&gt;&lt;/w:rPr&gt;&lt;/w:lvl&gt;&lt;w:lvl w:ilvl="6" w:tplc="0C090001" w:tentative="1"&gt;&lt;w:start w:val="1"/&gt;&lt;w:numFmt w:val="bullet"/&gt;&lt;w:lvlText w:val=""/&gt;&lt;w:lvlJc w:val="left"/&gt;&lt;w:pPr&gt;&lt;w:ind w:left="4680" w:hanging="360"/&gt;&lt;/w:pPr&gt;&lt;w:rPr&gt;&lt;w:rFonts w:ascii="Symbol" w:hAnsi="Symbol" w:hint="default"/&gt;&lt;/w:rPr&gt;&lt;/w:lvl&gt;&lt;w:lvl w:ilvl="7" w:tplc="0C090003" w:tentative="1"&gt;&lt;w:start w:val="1"/&gt;&lt;w:numFmt w:val="bullet"/&gt;&lt;w:lvlText w:val="o"/&gt;&lt;w:lvlJc w:val="left"/&gt;&lt;w:pPr&gt;&lt;w:ind w:left="5400" w:hanging="360"/&gt;&lt;/w:pPr&gt;&lt;w:rPr&gt;&lt;w:rFonts w:ascii="Courier New" w:hAnsi="Courier New" w:cs="Courier New" w:hint="default"/&gt;&lt;/w:rPr&gt;&lt;/w:lvl&gt;&lt;w:lvl w:ilvl="8" w:tplc="0C090005" w:tentative="1"&gt;&lt;w:start w:val="1"/&gt;&lt;w:numFmt w:val="bullet"/&gt;&lt;w:lvlText w:val=""/&gt;&lt;w:lvlJc w:val="left"/&gt;&lt;w:pPr&gt;&lt;w:ind w:left="6120" w:hanging="360"/&gt;&lt;/w:pPr&gt;&lt;w:rPr&gt;&lt;w:rFonts w:ascii="Wingdings" w:hAnsi="Wingdings" w:hint="default"/&gt;&lt;/w:rPr&gt;&lt;/w:lvl&gt;&lt;/w:abstractNum&gt;&lt;w:abstractNum w:abstractNumId="26" w15:restartNumberingAfterBreak="0"&gt;&lt;w:nsid w:val="69680696"/&gt;&lt;w:multiLevelType w:val="hybridMultilevel"/&gt;&lt;w:tmpl w:val="BD7CC9CC"/&gt;&lt;w:lvl w:ilvl="0" w:tplc="13E6D584"&gt;&lt;w:numFmt w:val="bullet"/&gt;&lt;w:lvlText w:val=""/&gt;&lt;w:lvlJc w:val="left"/&gt;&lt;w:pPr&gt;&lt;w:ind w:left="360"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w:left="1080" w:hanging="360"/&gt;&lt;/w:pPr&gt;&lt;w:rPr&gt;&lt;w:rFonts w:ascii="Courier New" w:hAnsi="Courier New" w:cs="Courier New" w:hint="default"/&gt;&lt;/w:rPr&gt;&lt;/w:lvl&gt;&lt;w:lvl w:ilvl="2" w:tplc="0C090005" w:tentative="1"&gt;&lt;w:start w:val="1"/&gt;&lt;w:numFmt w:val="bullet"/&gt;&lt;w:lvlText w:val=""/&gt;&lt;w:lvlJc w:val="left"/&gt;&lt;w:pPr&gt;&lt;w:ind w:left="1800" w:hanging="360"/&gt;&lt;/w:pPr&gt;&lt;w:rPr&gt;&lt;w:rFonts w:ascii="Wingdings" w:hAnsi="Wingdings" w:hint="default"/&gt;&lt;/w:rPr&gt;&lt;/w:lvl&gt;&lt;w:lvl w:ilvl="3" w:tplc="0C090001" w:tentative="1"&gt;&lt;w:start w:val="1"/&gt;&lt;w:numFmt w:val="bullet"/&gt;&lt;w:lvlText w:val=""/&gt;&lt;w:lvlJc w:val="left"/&gt;&lt;w:pPr&gt;&lt;w:ind w:left="2520" w:hanging="360"/&gt;&lt;/w:pPr&gt;&lt;w:rPr&gt;&lt;w:rFonts w:ascii="Symbol" w:hAnsi="Symbol" w:hint="default"/&gt;&lt;/w:rPr&gt;&lt;/w:lvl&gt;&lt;w:lvl w:ilvl="4" w:tplc="0C090003" w:tentative="1"&gt;&lt;w:start w:val="1"/&gt;&lt;w:numFmt w:val="bullet"/&gt;&lt;w:lvlText w:val="o"/&gt;&lt;w:lvlJc w:val="left"/&gt;&lt;w:pPr&gt;&lt;w:ind w:left="3240" w:hanging="360"/&gt;&lt;/w:pPr&gt;&lt;w:rPr&gt;&lt;w:rFonts w:ascii="Courier New" w:hAnsi="Courier New" w:cs="Courier New" w:hint="default"/&gt;&lt;/w:rPr&gt;&lt;/w:lvl&gt;&lt;w:lvl w:ilvl="5" w:tplc="0C090005" w:tentative="1"&gt;&lt;w:start w:val="1"/&gt;&lt;w:numFmt w:val="bullet"/&gt;&lt;w:lvlText w:val=""/&gt;&lt;w:lvlJc w:val="left"/&gt;&lt;w:pPr&gt;&lt;w:ind w:left="3960" w:hanging="360"/&gt;&lt;/w:pPr&gt;&lt;w:rPr&gt;&lt;w:rFonts w:ascii="Wingdings" w:hAnsi="Wingdings" w:hint="default"/&gt;&lt;/w:rPr&gt;&lt;/w:lvl&gt;&lt;w:lvl w:ilvl="6" w:tplc="0C090001" w:tentative="1"&gt;&lt;w:start w:val="1"/&gt;&lt;w:numFmt w:val="bullet"/&gt;&lt;w:lvlText w:val=""/&gt;&lt;w:lvlJc w:val="left"/&gt;&lt;w:pPr&gt;&lt;w:ind w:left="4680" w:hanging="360"/&gt;&lt;/w:pPr&gt;&lt;w:rPr&gt;&lt;w:rFonts w:ascii="Symbol" w:hAnsi="Symbol" w:hint="default"/&gt;&lt;/w:rPr&gt;&lt;/w:lvl&gt;&lt;w:lvl w:ilvl="7" w:tplc="0C090003" w:tentative="1"&gt;&lt;w:start w:val="1"/&gt;&lt;w:numFmt w:val="bullet"/&gt;&lt;w:lvlText w:val="o"/&gt;&lt;w:lvlJc w:val="left"/&gt;&lt;w:pPr&gt;&lt;w:ind w:left="5400" w:hanging="360"/&gt;&lt;/w:pPr&gt;&lt;w:rPr&gt;&lt;w:rFonts w:ascii="Courier New" w:hAnsi="Courier New" w:cs="Courier New" w:hint="default"/&gt;&lt;/w:rPr&gt;&lt;/w:lvl&gt;&lt;w:lvl w:ilvl="8" w:tplc="0C090005" w:tentative="1"&gt;&lt;w:start w:val="1"/&gt;&lt;w:numFmt w:val="bullet"/&gt;&lt;w:lvlText w:val=""/&gt;&lt;w:lvlJc w:val="left"/&gt;&lt;w:pPr&gt;&lt;w:ind w:left="6120" w:hanging="360"/&gt;&lt;/w:pPr&gt;&lt;w:rPr&gt;&lt;w:rFonts w:ascii="Wingdings" w:hAnsi="Wingdings" w:hint="default"/&gt;&lt;/w:rPr&gt;&lt;/w:lvl&gt;&lt;/w:abstractNum&gt;&lt;w:abstractNum w:abstractNumId="27" w15:restartNumberingAfterBreak="0"&gt;&lt;w:nsid w:val="6C455D0A"/&gt;&lt;w:multiLevelType w:val="hybridMultilevel"/&gt;&lt;w:tmpl w:val="2C34151C"/&gt;&lt;w:lvl w:ilvl="0" w:tplc="0C09000F"&gt;&lt;w:start w:val="1"/&gt;&lt;w:numFmt w:val="decimal"/&gt;&lt;w:lvlText w:val="%1."/&gt;&lt;w:lvlJc w:val="left"/&gt;&lt;w:pPr&gt;&lt;w:ind w:left="720" w:hanging="360"/&gt;&lt;/w:pPr&gt;&lt;/w:lvl&gt;&lt;w:lvl w:ilvl="1" w:tplc="0C090019" w:tentative="1"&gt;&lt;w:start w:val="1"/&gt;&lt;w:numFmt w:val="lowerLetter"/&gt;&lt;w:lvlText w:val="%2."/&gt;&lt;w:lvlJc w:val="left"/&gt;&lt;w:pPr&gt;&lt;w:ind w:left="1440" w:hanging="360"/&gt;&lt;/w:pPr&gt;&lt;/w:lvl&gt;&lt;w:lvl w:ilvl="2" w:tplc="0C09001B" w:tentative="1"&gt;&lt;w:start w:val="1"/&gt;&lt;w:numFmt w:val="lowerRoman"/&gt;&lt;w:lvlText w:val="%3."/&gt;&lt;w:lvlJc w:val="right"/&gt;&lt;w:pPr&gt;&lt;w:ind w:left="2160" w:hanging="180"/&gt;&lt;/w:pPr&gt;&lt;/w:lvl&gt;&lt;w:lvl w:ilvl="3" w:tplc="0C09000F" w:tentative="1"&gt;&lt;w:start w:val="1"/&gt;&lt;w:numFmt w:val="decimal"/&gt;&lt;w:lvlText w:val="%4."/&gt;&lt;w:lvlJc w:val="left"/&gt;&lt;w:pPr&gt;&lt;w:ind w:left="2880" w:hanging="360"/&gt;&lt;/w:pPr&gt;&lt;/w:lvl&gt;&lt;w:lvl w:ilvl="4" w:tplc="0C090019" w:tentative="1"&gt;&lt;w:start w:val="1"/&gt;&lt;w:numFmt w:val="lowerLetter"/&gt;&lt;w:lvlText w:val="%5."/&gt;&lt;w:lvlJc w:val="left"/&gt;&lt;w:pPr&gt;&lt;w:ind w:left="3600" w:hanging="360"/&gt;&lt;/w:pPr&gt;&lt;/w:lvl&gt;&lt;w:lvl w:ilvl="5" w:tplc="0C09001B" w:tentative="1"&gt;&lt;w:start w:val="1"/&gt;&lt;w:numFmt w:val="lowerRoman"/&gt;&lt;w:lvlText w:val="%6."/&gt;&lt;w:lvlJc w:val="right"/&gt;&lt;w:pPr&gt;&lt;w:ind w:left="4320" w:hanging="180"/&gt;&lt;/w:pPr&gt;&lt;/w:lvl&gt;&lt;w:lvl w:ilvl="6" w:tplc="0C09000F" w:tentative="1"&gt;&lt;w:start w:val="1"/&gt;&lt;w:numFmt w:val="decimal"/&gt;&lt;w:lvlText w:val="%7."/&gt;&lt;w:lvlJc w:val="left"/&gt;&lt;w:pPr&gt;&lt;w:ind w:left="5040" w:hanging="360"/&gt;&lt;/w:pPr&gt;&lt;/w:lvl&gt;&lt;w:lvl w:ilvl="7" w:tplc="0C090019" w:tentative="1"&gt;&lt;w:start w:val="1"/&gt;&lt;w:numFmt w:val="lowerLetter"/&gt;&lt;w:lvlText w:val="%8."/&gt;&lt;w:lvlJc w:val="left"/&gt;&lt;w:pPr&gt;&lt;w:ind w:left="5760" w:hanging="360"/&gt;&lt;/w:pPr&gt;&lt;/w:lvl&gt;&lt;w:lvl w:ilvl="8" w:tplc="0C09001B" w:tentative="1"&gt;&lt;w:start w:val="1"/&gt;&lt;w:numFmt w:val="lowerRoman"/&gt;&lt;w:lvlText w:val="%9."/&gt;&lt;w:lvlJc w:val="right"/&gt;&lt;w:pPr&gt;&lt;w:ind w:left="6480" w:hanging="180"/&gt;&lt;/w:pPr&gt;&lt;/w:lvl&gt;&lt;/w:abstractNum&gt;&lt;w:abstractNum w:abstractNumId="28" w15:restartNumberingAfterBreak="0"&gt;&lt;w:nsid w:val="7DB735B6"/&gt;&lt;w:multiLevelType w:val="hybridMultilevel"/&gt;&lt;w:tmpl w:val="272ACCA6"/&gt;&lt;w:lvl w:ilvl="0" w:tplc="DB20D844"&gt;&lt;w:start w:val="1"/&gt;&lt;w:numFmt w:val="bullet"/&gt;&lt;w:lvlText w:val="-"/&gt;&lt;w:lvlJc w:val="left"/&gt;&lt;w:pPr&gt;&lt;w:ind w:left="720" w:hanging="360"/&gt;&lt;/w:pPr&gt;&lt;w:rPr&gt;&lt;w:rFonts w:ascii="Times New Roman" w:eastAsiaTheme="minorEastAsia" w:hAnsi="Times New Roman" w:cs="Times New Roman" w:hint="default"/&gt;&lt;/w:rPr&gt;&lt;/w:lvl&gt;&lt;w:lvl w:ilvl="1" w:tplc="0C090003" w:tentative="1"&gt;&lt;w:start w:val="1"/&gt;&lt;w:numFmt w:val="bullet"/&gt;&lt;w:lvlText w:val="o"/&gt;&lt;w:lvlJc w:val="left"/&gt;&lt;w:pPr&gt;&lt;w:ind w:left="1440" w:hanging="360"/&gt;&lt;/w:pPr&gt;&lt;w:rPr&gt;&lt;w:rFonts w:ascii="Courier New" w:hAnsi="Courier New" w:cs="Courier New" w:hint="default"/&gt;&lt;/w:rPr&gt;&lt;/w:lvl&gt;&lt;w:lvl w:ilvl="2" w:tplc="0C090005" w:tentative="1"&gt;&lt;w:start w:val="1"/&gt;&lt;w:numFmt w:val="bullet"/&gt;&lt;w:lvlText w:val=""/&gt;&lt;w:lvlJc w:val="left"/&gt;&lt;w:pPr&gt;&lt;w:ind w:left="2160" w:hanging="360"/&gt;&lt;/w:pPr&gt;&lt;w:rPr&gt;&lt;w:rFonts w:ascii="Wingdings" w:hAnsi="Wingdings" w:hint="default"/&gt;&lt;/w:rPr&gt;&lt;/w:lvl&gt;&lt;w:lvl w:ilvl="3" w:tplc="0C090001" w:tentative="1"&gt;&lt;w:start w:val="1"/&gt;&lt;w:numFmt w:val="bullet"/&gt;&lt;w:lvlText w:val=""/&gt;&lt;w:lvlJc w:val="left"/&gt;&lt;w:pPr&gt;&lt;w:ind w:left="2880" w:hanging="360"/&gt;&lt;/w:pPr&gt;&lt;w:rPr&gt;&lt;w:rFonts w:ascii="Symbol" w:hAnsi="Symbol" w:hint="default"/&gt;&lt;/w:rPr&gt;&lt;/w:lvl&gt;&lt;w:lvl w:ilvl="4" w:tplc="0C090003" w:tentative="1"&gt;&lt;w:start w:val="1"/&gt;&lt;w:numFmt w:val="bullet"/&gt;&lt;w:lvlText w:val="o"/&gt;&lt;w:lvlJc w:val="left"/&gt;&lt;w:pPr&gt;&lt;w:ind w:left="3600" w:hanging="360"/&gt;&lt;/w:pPr&gt;&lt;w:rPr&gt;&lt;w:rFonts w:ascii="Courier New" w:hAnsi="Courier New" w:cs="Courier New" w:hint="default"/&gt;&lt;/w:rPr&gt;&lt;/w:lvl&gt;&lt;w:lvl w:ilvl="5" w:tplc="0C090005" w:tentative="1"&gt;&lt;w:start w:val="1"/&gt;&lt;w:numFmt w:val="bullet"/&gt;&lt;w:lvlText w:val=""/&gt;&lt;w:lvlJc w:val="left"/&gt;&lt;w:pPr&gt;&lt;w:ind w:left="4320" w:hanging="360"/&gt;&lt;/w:pPr&gt;&lt;w:rPr&gt;&lt;w:rFonts w:ascii="Wingdings" w:hAnsi="Wingdings" w:hint="default"/&gt;&lt;/w:rPr&gt;&lt;/w:lvl&gt;&lt;w:lvl w:ilvl="6" w:tplc="0C090001" w:tentative="1"&gt;&lt;w:start w:val="1"/&gt;&lt;w:numFmt w:val="bullet"/&gt;&lt;w:lvlText w:val=""/&gt;&lt;w:lvlJc w:val="left"/&gt;&lt;w:pPr&gt;&lt;w:ind w:left="5040" w:hanging="360"/&gt;&lt;/w:pPr&gt;&lt;w:rPr&gt;&lt;w:rFonts w:ascii="Symbol" w:hAnsi="Symbol" w:hint="default"/&gt;&lt;/w:rPr&gt;&lt;/w:lvl&gt;&lt;w:lvl w:ilvl="7" w:tplc="0C090003" w:tentative="1"&gt;&lt;w:start w:val="1"/&gt;&lt;w:numFmt w:val="bullet"/&gt;&lt;w:lvlText w:val="o"/&gt;&lt;w:lvlJc w:val="left"/&gt;&lt;w:pPr&gt;&lt;w:ind w:left="5760" w:hanging="360"/&gt;&lt;/w:pPr&gt;&lt;w:rPr&gt;&lt;w:rFonts w:ascii="Courier New" w:hAnsi="Courier New" w:cs="Courier New" w:hint="default"/&gt;&lt;/w:rPr&gt;&lt;/w:lvl&gt;&lt;w:lvl w:ilvl="8" w:tplc="0C090005" w:tentative="1"&gt;&lt;w:start w:val="1"/&gt;&lt;w:numFmt w:val="bullet"/&gt;&lt;w:lvlText w:val=""/&gt;&lt;w:lvlJc w:val="left"/&gt;&lt;w:pPr&gt;&lt;w:ind w:left="6480" w:hanging="360"/&gt;&lt;/w:pPr&gt;&lt;w:rPr&gt;&lt;w:rFonts w:ascii="Wingdings" w:hAnsi="Wingdings" w:hint="default"/&gt;&lt;/w:rPr&gt;&lt;/w:lvl&gt;&lt;/w:abstractNum&gt;&lt;w:abstractNum w:abstractNumId="29" w15:restartNumberingAfterBreak="0"&gt;&lt;w:nsid w:val="7F6B025C"/&gt;&lt;w:multiLevelType w:val="hybridMultilevel"/&gt;&lt;w:tmpl w:val="6BB0C6E2"/&gt;&lt;w:lvl w:ilvl="0" w:tplc="13E6D584"&gt;&lt;w:numFmt w:val="bullet"/&gt;&lt;w:lvlText w:val=""/&gt;&lt;w:lvlJc w:val="left"/&gt;&lt;w:pPr&gt;&lt;w:ind w:left="360" w:hanging="360"/&gt;&lt;/w:pPr&gt;&lt;w:rPr&gt;&lt;w:rFonts w:ascii="Symbol" w:eastAsiaTheme="minorEastAsia" w:hAnsi="Symbol" w:cstheme="minorBidi" w:hint="default"/&gt;&lt;/w:rPr&gt;&lt;/w:lvl&gt;&lt;w:lvl w:ilvl="1" w:tplc="0C090003" w:tentative="1"&gt;&lt;w:start w:val="1"/&gt;&lt;w:numFmt w:val="bullet"/&gt;&lt;w:lvlText w:val="o"/&gt;&lt;w:lvlJc w:val="left"/&gt;&lt;w:pPr&gt;&lt;w:ind w:left="1080" w:hanging="360"/&gt;&lt;/w:pPr&gt;&lt;w:rPr&gt;&lt;w:rFonts w:ascii="Courier New" w:hAnsi="Courier New" w:cs="Courier New" w:hint="default"/&gt;&lt;/w:rPr&gt;&lt;/w:lvl&gt;&lt;w:lvl w:ilvl="2" w:tplc="0C090005" w:tentative="1"&gt;&lt;w:start w:val="1"/&gt;&lt;w:numFmt w:val="bullet"/&gt;&lt;w:lvlText w:val=""/&gt;&lt;w:lvlJc w:val="left"/&gt;&lt;w:pPr&gt;&lt;w:ind w:left="1800" w:hanging="360"/&gt;&lt;/w:pPr&gt;&lt;w:rPr&gt;&lt;w:rFonts w:ascii="Wingdings" w:hAnsi="Wingdings" w:hint="default"/&gt;&lt;/w:rPr&gt;&lt;/w:lvl&gt;&lt;w:lvl w:ilvl="3" w:tplc="0C090001" w:tentative="1"&gt;&lt;w:start w:val="1"/&gt;&lt;w:numFmt w:val="bullet"/&gt;&lt;w:lvlText w:val=""/&gt;&lt;w:lvlJc w:val="left"/&gt;&lt;w:pPr&gt;&lt;w:ind w:left="2520" w:hanging="360"/&gt;&lt;/w:pPr&gt;&lt;w:rPr&gt;&lt;w:rFonts w:ascii="Symbol" w:hAnsi="Symbol" w:hint="default"/&gt;&lt;/w:rPr&gt;&lt;/w:lvl&gt;&lt;w:lvl w:ilvl="4" w:tplc="0C090003" w:tentative="1"&gt;&lt;w:start w:val="1"/&gt;&lt;w:numFmt w:val="bullet"/&gt;&lt;w:lvlText w:val="o"/&gt;&lt;w:lvlJc w:val="left"/&gt;&lt;w:pPr&gt;&lt;w:ind w:left="3240" w:hanging="360"/&gt;&lt;/w:pPr&gt;&lt;w:rPr&gt;&lt;w:rFonts w:ascii="Courier New" w:hAnsi="Courier New" w:cs="Courier New" w:hint="default"/&gt;&lt;/w:rPr&gt;&lt;/w:lvl&gt;&lt;w:lvl w:ilvl="5" w:tplc="0C090005" w:tentative="1"&gt;&lt;w:start w:val="1"/&gt;&lt;w:numFmt w:val="bullet"/&gt;&lt;w:lvlText w:val=""/&gt;&lt;w:lvlJc w:val="left"/&gt;&lt;w:pPr&gt;&lt;w:ind w:left="3960" w:hanging="360"/&gt;&lt;/w:pPr&gt;&lt;w:rPr&gt;&lt;w:rFonts w:ascii="Wingdings" w:hAnsi="Wingdings" w:hint="default"/&gt;&lt;/w:rPr&gt;&lt;/w:lvl&gt;&lt;w:lvl w:ilvl="6" w:tplc="0C090001" w:tentative="1"&gt;&lt;w:start w:val="1"/&gt;&lt;w:numFmt w:val="bullet"/&gt;&lt;w:lvlText w:val=""/&gt;&lt;w:lvlJc w:val="left"/&gt;&lt;w:pPr&gt;&lt;w:ind w:left="4680" w:hanging="360"/&gt;&lt;/w:pPr&gt;&lt;w:rPr&gt;&lt;w:rFonts w:ascii="Symbol" w:hAnsi="Symbol" w:hint="default"/&gt;&lt;/w:rPr&gt;&lt;/w:lvl&gt;&lt;w:lvl w:ilvl="7" w:tplc="0C090003" w:tentative="1"&gt;&lt;w:start w:val="1"/&gt;&lt;w:numFmt w:val="bullet"/&gt;&lt;w:lvlText w:val="o"/&gt;&lt;w:lvlJc w:val="left"/&gt;&lt;w:pPr&gt;&lt;w:ind w:left="5400" w:hanging="360"/&gt;&lt;/w:pPr&gt;&lt;w:rPr&gt;&lt;w:rFonts w:ascii="Courier New" w:hAnsi="Courier New" w:cs="Courier New" w:hint="default"/&gt;&lt;/w:rPr&gt;&lt;/w:lvl&gt;&lt;w:lvl w:ilvl="8" w:tplc="0C090005" w:tentative="1"&gt;&lt;w:start w:val="1"/&gt;&lt;w:numFmt w:val="bullet"/&gt;&lt;w:lvlText w:val=""/&gt;&lt;w:lvlJc w:val="left"/&gt;&lt;w:pPr&gt;&lt;w:ind w:left="6120" w:hanging="360"/&gt;&lt;/w:pPr&gt;&lt;w:rPr&gt;&lt;w:rFonts w:ascii="Wingdings" w:hAnsi="Wingdings"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w:val="20"/&gt;&lt;/w:num&gt;&lt;w:num w:numId="13"&gt;&lt;w:abstractNumId w:val="17"/&gt;&lt;/w:num&gt;&lt;w:num w:numId="14"&gt;&lt;w:abstractNumId w:val="14"/&gt;&lt;/w:num&gt;&lt;w:num w:numId="15"&gt;&lt;w:abstractNumId w:val="23"/&gt;&lt;/w:num&gt;&lt;w:num w:numId="16"&gt;&lt;w:abstractNumId w:val="24"/&gt;&lt;/w:num&gt;&lt;w:num w:numId="17"&gt;&lt;w:abstractNumId w:val="22"/&gt;&lt;/w:num&gt;&lt;w:num w:numId="18"&gt;&lt;w:abstractNumId w:val="11"/&gt;&lt;/w:num&gt;&lt;w:num w:numId="19"&gt;&lt;w:abstractNumId w:val="25"/&gt;&lt;/w:num&gt;&lt;w:num w:numId="20"&gt;&lt;w:abstractNumId w:val="26"/&gt;&lt;/w:num&gt;&lt;w:num w:numId="21"&gt;&lt;w:abstractNumId w:val="29"/&gt;&lt;/w:num&gt;&lt;w:num w:numId="22"&gt;&lt;w:abstractNumId w:val="19"/&gt;&lt;/w:num&gt;&lt;w:num w:numId="23"&gt;&lt;w:abstractNumId w:val="10"/&gt;&lt;/w:num&gt;&lt;w:num w:numId="24"&gt;&lt;w:abstractNumId w:val="16"/&gt;&lt;/w:num&gt;&lt;w:num w:numId="25"&gt;&lt;w:abstractNumId w:val="13"/&gt;&lt;/w:num&gt;&lt;w:num w:numId="26"&gt;&lt;w:abstractNumId w:val="21"/&gt;&lt;/w:num&gt;&lt;w:num w:numId="27"&gt;&lt;w:abstractNumId w:val="27"/&gt;&lt;/w:num&gt;&lt;w:num w:numId="28"&gt;&lt;w:abstractNumId w:val="17"/&gt;&lt;/w:num&gt;&lt;w:num w:numId="29"&gt;&lt;w:abstractNumId w:val="15"/&gt;&lt;w:lvlOverride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 w:numId="30"&gt;&lt;w:abstractNumId w:val="12"/&gt;&lt;/w:num&gt;&lt;w:num w:numId="31"&gt;&lt;w:abstractNumId w:val="18"/&gt;&lt;/w:num&gt;&lt;w:num w:numId="32"&gt;&lt;w:abstractNumId w:val="28"/&gt;&lt;/w:num&gt;&lt;/w:numbering&gt;&lt;/pkg:xmlData&gt;&lt;/pkg:part&gt;&lt;/pkg:package&gt;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BE0EFD7-8A9C-4D5F-8431-5EF9E786A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C:\Users\kzha0030\AppData\Roaming\Microsoft\Templates\APA style paper.dotx</Template>
  <TotalTime>9499</TotalTime>
  <Pages>16</Pages>
  <Words>16503</Words>
  <Characters>94073</Characters>
  <Application>Microsoft Office Word</Application>
  <DocSecurity>0</DocSecurity>
  <Lines>783</Lines>
  <Paragraphs>220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Online supplementary material</vt:lpstr>
      <vt:lpstr>    Table S1</vt:lpstr>
      <vt:lpstr>    Table S2</vt:lpstr>
    </vt:vector>
  </TitlesOfParts>
  <Company/>
  <LinksUpToDate>false</LinksUpToDate>
  <CharactersWithSpaces>110356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 Zhao</dc:creator>
  <cp:keywords/>
  <dc:description/>
  <cp:lastModifiedBy>Kun Zhao</cp:lastModifiedBy>
  <cp:revision>47</cp:revision>
  <cp:lastPrinted>2022-09-28T07:34:00Z</cp:lastPrinted>
  <dcterms:created xsi:type="dcterms:W3CDTF">2022-09-28T14:17:00Z</dcterms:created>
  <dcterms:modified xsi:type="dcterms:W3CDTF">2025-02-19T03:03:00Z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3c9724b6-167b-3590-be5e-68c5bd336e1c</vt:lpwstr>
  </property>
  <property fmtid="{D5CDD505-2E9C-101B-9397-08002B2CF9AE}" pid="24" name="Mendeley Citation Style_1">
    <vt:lpwstr>http://www.zotero.org/styles/apa</vt:lpwstr>
  </property>
</Properties>
</file>