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1658" w14:textId="33830842" w:rsidR="00DA032D" w:rsidRPr="004A54BC" w:rsidRDefault="00DA032D">
      <w:pPr>
        <w:rPr>
          <w:rFonts w:ascii="Times New Roman" w:hAnsi="Times New Roman" w:cs="Times New Roman"/>
          <w:b/>
          <w:bCs/>
          <w:lang w:val="en-GB"/>
        </w:rPr>
      </w:pPr>
      <w:r w:rsidRPr="004A54BC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1</w:t>
      </w:r>
      <w:r w:rsidR="002B630F" w:rsidRPr="004A54BC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="004A54BC" w:rsidRPr="004A54B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Macro-themes codes and definition</w:t>
      </w:r>
      <w:r w:rsidR="004A54BC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4A54BC" w:rsidRPr="004A54BC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6550DD1A" w14:textId="77777777" w:rsidR="00DA032D" w:rsidRPr="004A54BC" w:rsidRDefault="00DA032D">
      <w:pPr>
        <w:rPr>
          <w:lang w:val="en-GB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253"/>
        <w:gridCol w:w="2975"/>
      </w:tblGrid>
      <w:tr w:rsidR="00656B98" w:rsidRPr="00656B98" w14:paraId="08E4186C" w14:textId="77777777" w:rsidTr="001A6F71">
        <w:trPr>
          <w:trHeight w:val="20"/>
          <w:tblHeader/>
          <w:tblCellSpacing w:w="15" w:type="dxa"/>
          <w:jc w:val="center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01586A" w14:textId="002814FB" w:rsidR="00656B98" w:rsidRPr="00656B98" w:rsidRDefault="002451DD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451DD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Code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A9854B" w14:textId="371496A3" w:rsidR="00656B98" w:rsidRPr="00656B98" w:rsidRDefault="00656B98" w:rsidP="0065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Definition 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6B5D38" w14:textId="77777777" w:rsidR="00656B98" w:rsidRPr="00656B98" w:rsidRDefault="00656B98" w:rsidP="0065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Example studies</w:t>
            </w:r>
          </w:p>
        </w:tc>
      </w:tr>
      <w:tr w:rsidR="00656B98" w:rsidRPr="00656B98" w14:paraId="7B4393EF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  <w:hideMark/>
          </w:tcPr>
          <w:p w14:paraId="31898A01" w14:textId="612A2534" w:rsidR="00656B98" w:rsidRPr="001A6F71" w:rsidRDefault="00BE5465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Normative frames of fairne</w:t>
            </w:r>
            <w:r w:rsidR="002D5513">
              <w:rPr>
                <w:rFonts w:ascii="Times New Roman" w:eastAsia="Times New Roman" w:hAnsi="Times New Roman" w:cs="Times New Roman"/>
                <w:lang w:eastAsia="it-IT"/>
              </w:rPr>
              <w:t>ss</w:t>
            </w:r>
          </w:p>
        </w:tc>
        <w:tc>
          <w:tcPr>
            <w:tcW w:w="4223" w:type="dxa"/>
            <w:vAlign w:val="center"/>
            <w:hideMark/>
          </w:tcPr>
          <w:p w14:paraId="048006A2" w14:textId="77777777" w:rsidR="00656B98" w:rsidRPr="00656B98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lang w:val="en-GB" w:eastAsia="it-IT"/>
              </w:rPr>
              <w:t>Studies examining how performance evaluations are legitimized as objective, neutral or merit-based mechanisms; focus on fairness, accountability and the tension between meritocratic ideals and structural inequalities.</w:t>
            </w:r>
          </w:p>
        </w:tc>
        <w:tc>
          <w:tcPr>
            <w:tcW w:w="2930" w:type="dxa"/>
            <w:vAlign w:val="center"/>
            <w:hideMark/>
          </w:tcPr>
          <w:p w14:paraId="5C6A577D" w14:textId="77777777" w:rsidR="002451DD" w:rsidRPr="00CB617B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Amis et al. (2020); </w:t>
            </w:r>
          </w:p>
          <w:p w14:paraId="22F35B91" w14:textId="53F63A6A" w:rsidR="002451DD" w:rsidRPr="00CB617B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Castilla (</w:t>
            </w:r>
            <w:r w:rsidR="007D4D0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2008, </w:t>
            </w: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2015); </w:t>
            </w:r>
          </w:p>
          <w:p w14:paraId="16A52AC0" w14:textId="77777777" w:rsidR="002451DD" w:rsidRPr="00CB617B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Castilla &amp; Bernard (2010); </w:t>
            </w:r>
          </w:p>
          <w:p w14:paraId="32C04438" w14:textId="77777777" w:rsidR="002451DD" w:rsidRPr="00CB617B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Doan-Goss et al. (2023); </w:t>
            </w:r>
          </w:p>
          <w:p w14:paraId="212B7B1C" w14:textId="77777777" w:rsidR="002451DD" w:rsidRPr="00CB617B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Dobbin et al. (2015);</w:t>
            </w:r>
          </w:p>
          <w:p w14:paraId="5E10E0C4" w14:textId="2723E688" w:rsidR="002451DD" w:rsidRPr="00CB617B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Inesi &amp; Cable (2015); </w:t>
            </w:r>
          </w:p>
          <w:p w14:paraId="3E8B2628" w14:textId="1C1EA0F0" w:rsidR="00656B98" w:rsidRPr="00656B98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Treviño et al. (2018)</w:t>
            </w:r>
          </w:p>
        </w:tc>
      </w:tr>
      <w:tr w:rsidR="004D2FF1" w:rsidRPr="00656B98" w14:paraId="18F7EB39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</w:tcPr>
          <w:p w14:paraId="7AC24D68" w14:textId="77777777" w:rsidR="004D2FF1" w:rsidRPr="001A6F71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23" w:type="dxa"/>
            <w:vAlign w:val="center"/>
          </w:tcPr>
          <w:p w14:paraId="0B207A02" w14:textId="77777777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2930" w:type="dxa"/>
            <w:vAlign w:val="center"/>
          </w:tcPr>
          <w:p w14:paraId="77F54F80" w14:textId="77777777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</w:p>
        </w:tc>
      </w:tr>
      <w:tr w:rsidR="004D2FF1" w:rsidRPr="00656B98" w14:paraId="028E720B" w14:textId="77777777" w:rsidTr="004D2FF1">
        <w:trPr>
          <w:trHeight w:val="90"/>
          <w:tblCellSpacing w:w="15" w:type="dxa"/>
          <w:jc w:val="center"/>
        </w:trPr>
        <w:tc>
          <w:tcPr>
            <w:tcW w:w="2365" w:type="dxa"/>
            <w:vAlign w:val="center"/>
          </w:tcPr>
          <w:p w14:paraId="43B05DDC" w14:textId="40C675DD" w:rsidR="004D2FF1" w:rsidRPr="001A6F71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A6F71">
              <w:rPr>
                <w:rFonts w:ascii="Times New Roman" w:eastAsia="Times New Roman" w:hAnsi="Times New Roman" w:cs="Times New Roman"/>
                <w:lang w:eastAsia="it-IT"/>
              </w:rPr>
              <w:t>Organizational practices</w:t>
            </w:r>
          </w:p>
        </w:tc>
        <w:tc>
          <w:tcPr>
            <w:tcW w:w="4223" w:type="dxa"/>
            <w:vAlign w:val="center"/>
          </w:tcPr>
          <w:p w14:paraId="18A47874" w14:textId="77777777" w:rsidR="004D2FF1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lang w:val="en-GB" w:eastAsia="it-IT"/>
              </w:rPr>
              <w:t>Studies investigating how HRM and organizational processes—promotion, pay systems, evaluation protocols, career advancement—shape performance evaluation outcomes and reinforce or mitigate inequalities.</w:t>
            </w:r>
          </w:p>
          <w:p w14:paraId="600D98A9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en-GB" w:eastAsia="it-IT"/>
              </w:rPr>
            </w:pPr>
          </w:p>
        </w:tc>
        <w:tc>
          <w:tcPr>
            <w:tcW w:w="2930" w:type="dxa"/>
            <w:vAlign w:val="center"/>
          </w:tcPr>
          <w:p w14:paraId="78ADB375" w14:textId="77777777" w:rsidR="004D2FF1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Abraham et al. (2024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3ACA8DFC" w14:textId="77777777" w:rsidR="004D2FF1" w:rsidRPr="0053191E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Amis et al. </w:t>
            </w: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(2020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07B5C767" w14:textId="77777777" w:rsidR="004D2FF1" w:rsidRPr="00771A23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Bohnet et al. (2016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3AF7F80" w14:textId="77777777" w:rsidR="004D2FF1" w:rsidRPr="0053191E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Boyar et al. (2016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5EBB3D78" w14:textId="77777777" w:rsidR="004D2FF1" w:rsidRPr="00BE5465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Castilla (2008, 2015); </w:t>
            </w:r>
          </w:p>
          <w:p w14:paraId="50321AFB" w14:textId="77777777" w:rsidR="004D2FF1" w:rsidRPr="00BE5465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Crowley (2013); </w:t>
            </w:r>
          </w:p>
          <w:p w14:paraId="2D41E8B9" w14:textId="77777777" w:rsidR="004D2FF1" w:rsidRPr="00BE5465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Dalmia &amp; Filiz-Ozbay (2021); </w:t>
            </w:r>
          </w:p>
          <w:p w14:paraId="5489DD5E" w14:textId="77777777" w:rsidR="004D2FF1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Festing et al. (2015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47FE4906" w14:textId="77777777" w:rsidR="004D2FF1" w:rsidRPr="004F7DF6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Hing et al. </w:t>
            </w:r>
            <w:r w:rsidRPr="004F7D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(2023</w:t>
            </w:r>
            <w:proofErr w:type="gramStart"/>
            <w:r w:rsidRPr="004F7D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014437E9" w14:textId="77777777" w:rsidR="004D2FF1" w:rsidRPr="0053191E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Inesi &amp; Cable (2015); </w:t>
            </w:r>
          </w:p>
          <w:p w14:paraId="3121991F" w14:textId="77777777" w:rsidR="004D2FF1" w:rsidRPr="0053191E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Joshi et al. </w:t>
            </w: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(2015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70FC0BEF" w14:textId="77777777" w:rsidR="004D2FF1" w:rsidRPr="0053191E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Katou (2022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1062B4B8" w14:textId="77777777" w:rsidR="004D2FF1" w:rsidRPr="0053191E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Kelley et al. (2024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35BBAD78" w14:textId="77777777" w:rsidR="004D2FF1" w:rsidRPr="00C3575B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Koskinen-Sandberg (2017</w:t>
            </w:r>
            <w:proofErr w:type="gramStart"/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7BFA9807" w14:textId="77777777" w:rsidR="004D2FF1" w:rsidRPr="00C3575B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Leslie et al. (2014</w:t>
            </w:r>
            <w:proofErr w:type="gramStart"/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57A730AA" w14:textId="77777777" w:rsidR="004D2FF1" w:rsidRPr="00C3575B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Meuris &amp; Aurias (2023</w:t>
            </w:r>
            <w:proofErr w:type="gramStart"/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04A68023" w14:textId="075B1B34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4"/>
                <w:szCs w:val="4"/>
                <w:lang w:eastAsia="it-IT"/>
              </w:rPr>
            </w:pPr>
          </w:p>
        </w:tc>
      </w:tr>
      <w:tr w:rsidR="004D2FF1" w:rsidRPr="00C3575B" w14:paraId="45752F17" w14:textId="77777777" w:rsidTr="004D2FF1">
        <w:trPr>
          <w:trHeight w:val="3576"/>
          <w:tblCellSpacing w:w="15" w:type="dxa"/>
          <w:jc w:val="center"/>
        </w:trPr>
        <w:tc>
          <w:tcPr>
            <w:tcW w:w="2365" w:type="dxa"/>
            <w:vAlign w:val="center"/>
          </w:tcPr>
          <w:p w14:paraId="47893AB0" w14:textId="51F63EE1" w:rsidR="004D2FF1" w:rsidRPr="001A6F71" w:rsidRDefault="004D2FF1" w:rsidP="00BF5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A6F71">
              <w:rPr>
                <w:rFonts w:ascii="Times New Roman" w:eastAsia="Times New Roman" w:hAnsi="Times New Roman" w:cs="Times New Roman"/>
                <w:lang w:val="en-GB" w:eastAsia="it-IT"/>
              </w:rPr>
              <w:t xml:space="preserve">Methodologies, tools and techniques </w:t>
            </w:r>
          </w:p>
        </w:tc>
        <w:tc>
          <w:tcPr>
            <w:tcW w:w="4223" w:type="dxa"/>
            <w:vAlign w:val="center"/>
          </w:tcPr>
          <w:p w14:paraId="769D56DD" w14:textId="6ED720F1" w:rsidR="004D2FF1" w:rsidRPr="00CB617B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lang w:val="en-GB" w:eastAsia="it-IT"/>
              </w:rPr>
              <w:t>Studies proposing, testing or critiquing instruments and methodological designs for performance evaluations, including self-assessment, 360° feedback, multiscale/multistage procedures and related innovations.</w:t>
            </w:r>
          </w:p>
        </w:tc>
        <w:tc>
          <w:tcPr>
            <w:tcW w:w="2930" w:type="dxa"/>
            <w:vAlign w:val="center"/>
          </w:tcPr>
          <w:p w14:paraId="7CEC087B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Abraham et al. (2024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060E5AB6" w14:textId="77777777" w:rsidR="004D2FF1" w:rsidRPr="0053191E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Amis et al. </w:t>
            </w: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(2020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FBAADB0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Blanch-Hartigan (2011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7A63444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Bohnet et al. (2016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E30144E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Bono et al. (2017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4587DAFD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Botelho &amp; Abraham (2017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07E8F00F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Brewer et al. </w:t>
            </w: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(2020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);</w:t>
            </w:r>
            <w:proofErr w:type="gramEnd"/>
          </w:p>
          <w:p w14:paraId="0E4E2241" w14:textId="726CB9CC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Caleo &amp; Heilman (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2014)</w:t>
            </w:r>
            <w:r w:rsidR="006336A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*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; </w:t>
            </w:r>
          </w:p>
          <w:p w14:paraId="6684D0EE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Castilla (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201</w:t>
            </w: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1); </w:t>
            </w:r>
          </w:p>
          <w:p w14:paraId="105038F1" w14:textId="5020AEE2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Chicu &amp; Nedelcu (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2017)</w:t>
            </w:r>
            <w:r w:rsidR="0041351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*</w:t>
            </w:r>
            <w:proofErr w:type="gramEnd"/>
            <w:r w:rsidR="004F7D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*</w:t>
            </w: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; </w:t>
            </w:r>
          </w:p>
          <w:p w14:paraId="70A54067" w14:textId="77777777" w:rsidR="004D2FF1" w:rsidRPr="0053191E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Grund &amp; Soboll (2024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0EA49ADE" w14:textId="77777777" w:rsidR="004D2FF1" w:rsidRPr="00926EB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Hing et al. (2023</w:t>
            </w:r>
            <w:proofErr w:type="gramStart"/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5BD5FC68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Koskinen-Sandberg (2017</w:t>
            </w:r>
            <w:proofErr w:type="gramStart"/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;</w:t>
            </w:r>
            <w:proofErr w:type="gramEnd"/>
          </w:p>
          <w:p w14:paraId="3B40FFBE" w14:textId="77777777" w:rsidR="004D2FF1" w:rsidRPr="00926EB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Meuris &amp; Aurias (2023</w:t>
            </w:r>
            <w:proofErr w:type="gramStart"/>
            <w:r w:rsidRPr="00C3575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479FED52" w14:textId="77777777" w:rsidR="004D2FF1" w:rsidRPr="00926EB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Rivera &amp; Tilcsik (2019</w:t>
            </w:r>
            <w:proofErr w:type="gramStart"/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926E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0D1A4FD4" w14:textId="5D603FB3" w:rsidR="004D2FF1" w:rsidRPr="00C3575B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4"/>
                <w:szCs w:val="4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Rivera et al. (2021)</w:t>
            </w:r>
          </w:p>
        </w:tc>
      </w:tr>
      <w:tr w:rsidR="004D2FF1" w:rsidRPr="00656B98" w14:paraId="7F50667B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  <w:hideMark/>
          </w:tcPr>
          <w:p w14:paraId="6A8F3BFF" w14:textId="507898DB" w:rsidR="004D2FF1" w:rsidRPr="001A6F71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4223" w:type="dxa"/>
            <w:vAlign w:val="center"/>
            <w:hideMark/>
          </w:tcPr>
          <w:p w14:paraId="13FD8F5D" w14:textId="3D8CF9CD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2930" w:type="dxa"/>
            <w:vAlign w:val="center"/>
            <w:hideMark/>
          </w:tcPr>
          <w:p w14:paraId="0171A194" w14:textId="64580B0E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</w:p>
        </w:tc>
      </w:tr>
      <w:tr w:rsidR="004D2FF1" w:rsidRPr="004F7DF6" w14:paraId="3C506033" w14:textId="77777777" w:rsidTr="004A54BC">
        <w:trPr>
          <w:trHeight w:val="198"/>
          <w:tblCellSpacing w:w="15" w:type="dxa"/>
          <w:jc w:val="center"/>
        </w:trPr>
        <w:tc>
          <w:tcPr>
            <w:tcW w:w="2365" w:type="dxa"/>
            <w:vAlign w:val="center"/>
          </w:tcPr>
          <w:p w14:paraId="1A8E15A5" w14:textId="55E81113" w:rsidR="004D2FF1" w:rsidRPr="001A6F71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1A6F71">
              <w:rPr>
                <w:rFonts w:ascii="Times New Roman" w:eastAsia="Times New Roman" w:hAnsi="Times New Roman" w:cs="Times New Roman"/>
                <w:lang w:val="en-GB" w:eastAsia="it-IT"/>
              </w:rPr>
              <w:t xml:space="preserve">Socio-demographic characteristics of evaluator and </w:t>
            </w:r>
            <w:r w:rsidR="006336A7">
              <w:rPr>
                <w:rFonts w:ascii="Times New Roman" w:eastAsia="Times New Roman" w:hAnsi="Times New Roman" w:cs="Times New Roman"/>
                <w:lang w:val="en-GB" w:eastAsia="it-IT"/>
              </w:rPr>
              <w:pgNum/>
              <w:t>valuate</w:t>
            </w:r>
            <w:r w:rsidRPr="001A6F71">
              <w:rPr>
                <w:rFonts w:ascii="Times New Roman" w:eastAsia="Times New Roman" w:hAnsi="Times New Roman" w:cs="Times New Roman"/>
                <w:lang w:val="en-GB" w:eastAsia="it-IT"/>
              </w:rPr>
              <w:t xml:space="preserve"> / bias in evaluation</w:t>
            </w:r>
          </w:p>
        </w:tc>
        <w:tc>
          <w:tcPr>
            <w:tcW w:w="4223" w:type="dxa"/>
            <w:vAlign w:val="center"/>
          </w:tcPr>
          <w:p w14:paraId="57E11250" w14:textId="2AC90939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lang w:val="en-GB" w:eastAsia="it-IT"/>
              </w:rPr>
              <w:t>Studies addressing how gender, age, ethnicity, family status or other socio-demographic attributes of evaluators and employees affect performance ratings and introduce systematic biases.</w:t>
            </w:r>
          </w:p>
        </w:tc>
        <w:tc>
          <w:tcPr>
            <w:tcW w:w="2930" w:type="dxa"/>
            <w:vAlign w:val="center"/>
          </w:tcPr>
          <w:p w14:paraId="7D738A4C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Abraham et al. (2024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548D8776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Blanch-Hartigan (2011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54928B77" w14:textId="77777777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Bloomfield et al. (2021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14FD26A8" w14:textId="77777777" w:rsidR="004D2FF1" w:rsidRPr="00BE5465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Bode et al. </w:t>
            </w: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(2022</w:t>
            </w:r>
            <w:proofErr w:type="gramStart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);</w:t>
            </w:r>
            <w:proofErr w:type="gramEnd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 </w:t>
            </w:r>
          </w:p>
          <w:p w14:paraId="4EC0A703" w14:textId="77777777" w:rsidR="004D2FF1" w:rsidRPr="00BE5465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Bohlmann &amp; Zacher (2020); </w:t>
            </w:r>
          </w:p>
          <w:p w14:paraId="4FD40FD5" w14:textId="77777777" w:rsidR="004D2FF1" w:rsidRPr="0053191E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Bono et al. (2017); </w:t>
            </w:r>
          </w:p>
          <w:p w14:paraId="15702DE1" w14:textId="77777777" w:rsidR="004D2FF1" w:rsidRPr="0053191E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Brewer et al. (2020); </w:t>
            </w:r>
          </w:p>
          <w:p w14:paraId="0B9CDFDE" w14:textId="77777777" w:rsidR="004D2FF1" w:rsidRPr="00BE5465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Carpini et al. </w:t>
            </w: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(2023</w:t>
            </w:r>
            <w:proofErr w:type="gramStart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1C44F3EF" w14:textId="77777777" w:rsidR="004D2FF1" w:rsidRPr="00BE5465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Castilla (2011</w:t>
            </w:r>
            <w:proofErr w:type="gramStart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1C4ED8B7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Chatman et al. </w:t>
            </w: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(2022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17DCA37F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Chattopadhyay (2021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06790FC3" w14:textId="77777777" w:rsidR="004D2FF1" w:rsidRPr="00BE5465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Ciancetta &amp; Roch (2021</w:t>
            </w:r>
            <w:proofErr w:type="gramStart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D5E7066" w14:textId="77777777" w:rsidR="004D2FF1" w:rsidRPr="00BE5465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Correll et al. (2020</w:t>
            </w:r>
            <w:proofErr w:type="gramStart"/>
            <w:r w:rsidRPr="00BE546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</w:p>
          <w:p w14:paraId="5B0ADA9C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Froese et al. (2019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4A717FB1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He et al. (2024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7F3C8E27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Inesi &amp; Cable (2015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51265ABD" w14:textId="77777777" w:rsidR="004D2FF1" w:rsidRPr="00FE4309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Johansson &amp; Wennblom (2017); Jonnergård et al. </w:t>
            </w:r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(2010</w:t>
            </w:r>
            <w:proofErr w:type="gramStart"/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);</w:t>
            </w:r>
            <w:proofErr w:type="gramEnd"/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 </w:t>
            </w:r>
          </w:p>
          <w:p w14:paraId="4773E624" w14:textId="77777777" w:rsidR="004D2FF1" w:rsidRPr="00FE4309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Ma (2022); </w:t>
            </w:r>
          </w:p>
          <w:p w14:paraId="4450D8FB" w14:textId="2DC179DC" w:rsidR="004D2FF1" w:rsidRPr="00FE4309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lastRenderedPageBreak/>
              <w:t>Marchegiani et al. (</w:t>
            </w:r>
            <w:proofErr w:type="gramStart"/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2018)</w:t>
            </w:r>
            <w:r w:rsidR="004F7D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*</w:t>
            </w:r>
            <w:proofErr w:type="gramEnd"/>
            <w:r w:rsidR="0041351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*</w:t>
            </w:r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; </w:t>
            </w:r>
          </w:p>
          <w:p w14:paraId="6CA0F038" w14:textId="77777777" w:rsidR="004D2FF1" w:rsidRPr="0053191E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FE43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Nandkeolyar et al. </w:t>
            </w:r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(2022</w:t>
            </w:r>
            <w:proofErr w:type="gramStart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53191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752C88C8" w14:textId="77777777" w:rsidR="004D2FF1" w:rsidRPr="00C35A62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C35A6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Wynn and Carian (2023</w:t>
            </w:r>
            <w:proofErr w:type="gramStart"/>
            <w:r w:rsidRPr="00C35A6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;</w:t>
            </w:r>
            <w:proofErr w:type="gramEnd"/>
          </w:p>
          <w:p w14:paraId="708869D1" w14:textId="488844FC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"/>
                <w:szCs w:val="2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Yaakobi &amp; Weisberg (2018)</w:t>
            </w:r>
          </w:p>
        </w:tc>
      </w:tr>
      <w:tr w:rsidR="004D2FF1" w:rsidRPr="00C35A62" w14:paraId="4D146F11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  <w:hideMark/>
          </w:tcPr>
          <w:p w14:paraId="4A7873F8" w14:textId="0471FBD4" w:rsidR="004D2FF1" w:rsidRPr="001A6F71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1A6F71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Care responsibilities</w:t>
            </w:r>
          </w:p>
        </w:tc>
        <w:tc>
          <w:tcPr>
            <w:tcW w:w="4223" w:type="dxa"/>
            <w:vAlign w:val="center"/>
            <w:hideMark/>
          </w:tcPr>
          <w:p w14:paraId="2757C0C0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  <w:p w14:paraId="0A05DD12" w14:textId="05D71546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lang w:val="en-GB" w:eastAsia="it-IT"/>
              </w:rPr>
              <w:t>Studies analyzing how maternity, childcare and broader family or care obligations interact with performance evaluations, creating potential penalties or systemic disadvantages.</w:t>
            </w:r>
          </w:p>
        </w:tc>
        <w:tc>
          <w:tcPr>
            <w:tcW w:w="2930" w:type="dxa"/>
            <w:vAlign w:val="center"/>
            <w:hideMark/>
          </w:tcPr>
          <w:p w14:paraId="7E6A9D2A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Boyar et al. (2016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5B1C465F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Chauhan et al. (2022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6C49CED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Crowley (2013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1FC517F3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Kelley et al. (2024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73495AC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Montanye &amp; Livingston (2024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75EE3DD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Sasmaz &amp; </w:t>
            </w:r>
            <w:r w:rsidRPr="00053B2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Fogarty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(2023)</w:t>
            </w:r>
          </w:p>
          <w:p w14:paraId="3E588335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Snir (2019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64AE4DA3" w14:textId="77777777" w:rsidR="004D2FF1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Steiner et al. (2023</w:t>
            </w:r>
            <w:proofErr w:type="gramStart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);</w:t>
            </w:r>
            <w:proofErr w:type="gramEnd"/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 xml:space="preserve"> </w:t>
            </w:r>
          </w:p>
          <w:p w14:paraId="1DFEA534" w14:textId="0DE547B3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  <w:r w:rsidRPr="00656B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  <w:t>Waumsley &amp; Houston (2009)</w:t>
            </w:r>
          </w:p>
        </w:tc>
      </w:tr>
      <w:tr w:rsidR="004D2FF1" w:rsidRPr="00C35A62" w14:paraId="6AD4C8AA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</w:tcPr>
          <w:p w14:paraId="5FDA3205" w14:textId="2E4ECEDA" w:rsidR="004D2FF1" w:rsidRPr="001A6F71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4223" w:type="dxa"/>
            <w:vAlign w:val="center"/>
          </w:tcPr>
          <w:p w14:paraId="50BDD63D" w14:textId="46ACC52E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GB" w:eastAsia="it-IT"/>
              </w:rPr>
            </w:pPr>
          </w:p>
        </w:tc>
        <w:tc>
          <w:tcPr>
            <w:tcW w:w="2930" w:type="dxa"/>
            <w:vAlign w:val="center"/>
          </w:tcPr>
          <w:p w14:paraId="1DD0B5A2" w14:textId="2FFC5D91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8"/>
                <w:szCs w:val="8"/>
                <w:lang w:val="en-GB" w:eastAsia="it-IT"/>
              </w:rPr>
            </w:pPr>
          </w:p>
        </w:tc>
      </w:tr>
      <w:tr w:rsidR="004D2FF1" w:rsidRPr="00C35A62" w14:paraId="170EAEF8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</w:tcPr>
          <w:p w14:paraId="23F5BB57" w14:textId="26F219C9" w:rsidR="004D2FF1" w:rsidRPr="001A6F71" w:rsidRDefault="004D2FF1" w:rsidP="00BF54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4223" w:type="dxa"/>
            <w:vAlign w:val="center"/>
          </w:tcPr>
          <w:p w14:paraId="2520BC1E" w14:textId="2DE0DFAF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2930" w:type="dxa"/>
            <w:vAlign w:val="center"/>
          </w:tcPr>
          <w:p w14:paraId="73DD979F" w14:textId="6007FF7A" w:rsidR="004D2FF1" w:rsidRPr="00C35A62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</w:p>
        </w:tc>
      </w:tr>
      <w:tr w:rsidR="004D2FF1" w:rsidRPr="00413510" w14:paraId="0B54DA9E" w14:textId="77777777" w:rsidTr="001A6F71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</w:tcPr>
          <w:p w14:paraId="46A47340" w14:textId="32C6A2A1" w:rsidR="004D2FF1" w:rsidRPr="00413510" w:rsidRDefault="00413510" w:rsidP="0041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</w:pPr>
            <w:r w:rsidRPr="00413510"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>*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 xml:space="preserve"> </w:t>
            </w:r>
            <w:r w:rsidRPr="00413510"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>Chapter in a Book</w:t>
            </w:r>
            <w:r w:rsidRPr="00413510"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>.</w:t>
            </w:r>
          </w:p>
          <w:p w14:paraId="7FB5D857" w14:textId="08EE298D" w:rsidR="006336A7" w:rsidRPr="006336A7" w:rsidRDefault="006336A7" w:rsidP="0063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 xml:space="preserve">** </w:t>
            </w:r>
            <w:r w:rsidR="00413510"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>Conference Proceedings</w:t>
            </w:r>
            <w:r w:rsidR="00413510"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14:paraId="7E397E48" w14:textId="2C85E211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GB" w:eastAsia="it-IT"/>
              </w:rPr>
            </w:pPr>
          </w:p>
        </w:tc>
        <w:tc>
          <w:tcPr>
            <w:tcW w:w="2930" w:type="dxa"/>
            <w:vAlign w:val="center"/>
          </w:tcPr>
          <w:p w14:paraId="7EAE99F2" w14:textId="07BEE43B" w:rsidR="004D2FF1" w:rsidRPr="00CB617B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"/>
                <w:szCs w:val="2"/>
                <w:lang w:val="en-GB" w:eastAsia="it-IT"/>
              </w:rPr>
            </w:pPr>
          </w:p>
        </w:tc>
      </w:tr>
      <w:tr w:rsidR="004D2FF1" w:rsidRPr="00413510" w14:paraId="59D5E2B0" w14:textId="77777777" w:rsidTr="00452996">
        <w:trPr>
          <w:trHeight w:val="20"/>
          <w:tblCellSpacing w:w="15" w:type="dxa"/>
          <w:jc w:val="center"/>
        </w:trPr>
        <w:tc>
          <w:tcPr>
            <w:tcW w:w="2365" w:type="dxa"/>
            <w:vAlign w:val="center"/>
          </w:tcPr>
          <w:p w14:paraId="27F42B0B" w14:textId="0255E220" w:rsidR="004D2FF1" w:rsidRPr="00413510" w:rsidRDefault="004D2FF1" w:rsidP="00A65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4223" w:type="dxa"/>
            <w:vAlign w:val="center"/>
          </w:tcPr>
          <w:p w14:paraId="5D241146" w14:textId="0D4551B9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2930" w:type="dxa"/>
            <w:vAlign w:val="center"/>
          </w:tcPr>
          <w:p w14:paraId="4BB780D2" w14:textId="26E07DC2" w:rsidR="004D2FF1" w:rsidRPr="00656B98" w:rsidRDefault="004D2FF1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it-IT"/>
              </w:rPr>
            </w:pPr>
          </w:p>
        </w:tc>
      </w:tr>
    </w:tbl>
    <w:p w14:paraId="4A7ED65B" w14:textId="77777777" w:rsidR="00E54824" w:rsidRPr="00D20CBC" w:rsidRDefault="00E54824" w:rsidP="00FE4309">
      <w:pPr>
        <w:rPr>
          <w:lang w:val="en-GB"/>
        </w:rPr>
      </w:pPr>
    </w:p>
    <w:sectPr w:rsidR="00E54824" w:rsidRPr="00D20C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B1D9" w14:textId="77777777" w:rsidR="00E002EF" w:rsidRDefault="00E002EF" w:rsidP="00CB617B">
      <w:pPr>
        <w:spacing w:after="0" w:line="240" w:lineRule="auto"/>
      </w:pPr>
      <w:r>
        <w:separator/>
      </w:r>
    </w:p>
  </w:endnote>
  <w:endnote w:type="continuationSeparator" w:id="0">
    <w:p w14:paraId="4EF1B533" w14:textId="77777777" w:rsidR="00E002EF" w:rsidRDefault="00E002EF" w:rsidP="00CB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90BD" w14:textId="77777777" w:rsidR="00E002EF" w:rsidRDefault="00E002EF" w:rsidP="00CB617B">
      <w:pPr>
        <w:spacing w:after="0" w:line="240" w:lineRule="auto"/>
      </w:pPr>
      <w:r>
        <w:separator/>
      </w:r>
    </w:p>
  </w:footnote>
  <w:footnote w:type="continuationSeparator" w:id="0">
    <w:p w14:paraId="51BDF05E" w14:textId="77777777" w:rsidR="00E002EF" w:rsidRDefault="00E002EF" w:rsidP="00CB6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1480C"/>
    <w:multiLevelType w:val="hybridMultilevel"/>
    <w:tmpl w:val="30AEF588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642EC"/>
    <w:multiLevelType w:val="hybridMultilevel"/>
    <w:tmpl w:val="AB5C69AC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348E1"/>
    <w:multiLevelType w:val="hybridMultilevel"/>
    <w:tmpl w:val="7F102D48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E6972"/>
    <w:multiLevelType w:val="hybridMultilevel"/>
    <w:tmpl w:val="53043D64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99925">
    <w:abstractNumId w:val="2"/>
  </w:num>
  <w:num w:numId="2" w16cid:durableId="1400326369">
    <w:abstractNumId w:val="3"/>
  </w:num>
  <w:num w:numId="3" w16cid:durableId="677465938">
    <w:abstractNumId w:val="1"/>
  </w:num>
  <w:num w:numId="4" w16cid:durableId="1750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CE"/>
    <w:rsid w:val="00053B25"/>
    <w:rsid w:val="0009689F"/>
    <w:rsid w:val="001A6F71"/>
    <w:rsid w:val="002451DD"/>
    <w:rsid w:val="002B630F"/>
    <w:rsid w:val="002D5513"/>
    <w:rsid w:val="002E083D"/>
    <w:rsid w:val="00340B41"/>
    <w:rsid w:val="00363447"/>
    <w:rsid w:val="0039158A"/>
    <w:rsid w:val="00413510"/>
    <w:rsid w:val="00481BCE"/>
    <w:rsid w:val="004A54BC"/>
    <w:rsid w:val="004D2FF1"/>
    <w:rsid w:val="004E432C"/>
    <w:rsid w:val="004E6C4C"/>
    <w:rsid w:val="004F7DF6"/>
    <w:rsid w:val="0053191E"/>
    <w:rsid w:val="00582B34"/>
    <w:rsid w:val="006336A7"/>
    <w:rsid w:val="0065673C"/>
    <w:rsid w:val="00656B98"/>
    <w:rsid w:val="00657C41"/>
    <w:rsid w:val="0067563E"/>
    <w:rsid w:val="00771A23"/>
    <w:rsid w:val="007766D5"/>
    <w:rsid w:val="007D4D0E"/>
    <w:rsid w:val="00801B00"/>
    <w:rsid w:val="008164FD"/>
    <w:rsid w:val="00864FB8"/>
    <w:rsid w:val="00874E40"/>
    <w:rsid w:val="00926EB1"/>
    <w:rsid w:val="00977191"/>
    <w:rsid w:val="00992130"/>
    <w:rsid w:val="009A52F3"/>
    <w:rsid w:val="009C08FA"/>
    <w:rsid w:val="00A46411"/>
    <w:rsid w:val="00A650F8"/>
    <w:rsid w:val="00AD7F12"/>
    <w:rsid w:val="00BE5465"/>
    <w:rsid w:val="00BF545A"/>
    <w:rsid w:val="00C3575B"/>
    <w:rsid w:val="00C35A62"/>
    <w:rsid w:val="00CB617B"/>
    <w:rsid w:val="00D20CBC"/>
    <w:rsid w:val="00D6227C"/>
    <w:rsid w:val="00D64303"/>
    <w:rsid w:val="00D75367"/>
    <w:rsid w:val="00DA032D"/>
    <w:rsid w:val="00DB2B52"/>
    <w:rsid w:val="00DD5672"/>
    <w:rsid w:val="00E002EF"/>
    <w:rsid w:val="00E430F8"/>
    <w:rsid w:val="00E435FA"/>
    <w:rsid w:val="00E54824"/>
    <w:rsid w:val="00F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A599"/>
  <w15:chartTrackingRefBased/>
  <w15:docId w15:val="{1E3BED1A-4364-479B-BA2E-73CE4F6C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1B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1B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1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1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1B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1BC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1BC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1B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1B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1B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1B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1B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1B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1BC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1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1BC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1BCE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17B"/>
  </w:style>
  <w:style w:type="paragraph" w:styleId="Pidipagina">
    <w:name w:val="footer"/>
    <w:basedOn w:val="Normale"/>
    <w:link w:val="PidipaginaCarattere"/>
    <w:uiPriority w:val="99"/>
    <w:unhideWhenUsed/>
    <w:rsid w:val="00CB6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447</Words>
  <Characters>2550</Characters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2025-08-18T09:45:00Z</dcterms:created>
  <dcterms:modified xsi:type="dcterms:W3CDTF">2025-10-08T10:55:00Z</dcterms:modified>
</cp:coreProperties>
</file>