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52573" w14:textId="3B623D9B" w:rsidR="0044729A" w:rsidRPr="00925F9E" w:rsidRDefault="00925F9E" w:rsidP="00925F9E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5F9E">
        <w:rPr>
          <w:rFonts w:ascii="Times New Roman" w:eastAsia="Calibri" w:hAnsi="Times New Roman" w:cs="Times New Roman"/>
          <w:sz w:val="24"/>
          <w:szCs w:val="24"/>
          <w:lang w:val="en-US"/>
        </w:rPr>
        <w:t>Table A future research avenues and research questions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90"/>
        <w:gridCol w:w="7744"/>
      </w:tblGrid>
      <w:tr w:rsidR="00BC2B33" w:rsidRPr="00BC2B33" w14:paraId="5C6A32D5" w14:textId="77777777" w:rsidTr="007C00EA">
        <w:tc>
          <w:tcPr>
            <w:tcW w:w="1890" w:type="dxa"/>
          </w:tcPr>
          <w:p w14:paraId="2AB1F552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Drivers of DARQ readiness</w:t>
            </w:r>
          </w:p>
        </w:tc>
        <w:tc>
          <w:tcPr>
            <w:tcW w:w="7744" w:type="dxa"/>
          </w:tcPr>
          <w:p w14:paraId="081D058A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  Research questions</w:t>
            </w:r>
          </w:p>
        </w:tc>
      </w:tr>
      <w:tr w:rsidR="00BC2B33" w:rsidRPr="00BC2B33" w14:paraId="65CAB307" w14:textId="77777777" w:rsidTr="007C00EA">
        <w:tc>
          <w:tcPr>
            <w:tcW w:w="9634" w:type="dxa"/>
            <w:gridSpan w:val="2"/>
          </w:tcPr>
          <w:p w14:paraId="712CFBF4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i/>
                <w:iCs/>
                <w:sz w:val="16"/>
                <w:szCs w:val="16"/>
                <w:lang w:val="en-US"/>
              </w:rPr>
              <w:t>Organizational factors</w:t>
            </w:r>
          </w:p>
        </w:tc>
      </w:tr>
      <w:tr w:rsidR="00BC2B33" w:rsidRPr="00BC2B33" w14:paraId="6CDAE9ED" w14:textId="77777777" w:rsidTr="007C00EA">
        <w:tc>
          <w:tcPr>
            <w:tcW w:w="1890" w:type="dxa"/>
          </w:tcPr>
          <w:p w14:paraId="2C430942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Employees </w:t>
            </w:r>
          </w:p>
        </w:tc>
        <w:tc>
          <w:tcPr>
            <w:tcW w:w="7744" w:type="dxa"/>
          </w:tcPr>
          <w:p w14:paraId="22C6EA2B" w14:textId="77777777" w:rsidR="00BC2B33" w:rsidRPr="00BC2B33" w:rsidRDefault="00BC2B33" w:rsidP="00BC2B33">
            <w:pPr>
              <w:numPr>
                <w:ilvl w:val="0"/>
                <w:numId w:val="3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the interaction between employees and DARQ technologies influence DARQ readiness?</w:t>
            </w:r>
          </w:p>
          <w:p w14:paraId="44122825" w14:textId="77777777" w:rsidR="00BC2B33" w:rsidRPr="00BC2B33" w:rsidRDefault="00BC2B33" w:rsidP="00BC2B33">
            <w:pPr>
              <w:numPr>
                <w:ilvl w:val="0"/>
                <w:numId w:val="3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factors influence employees’ adoption of AI technologies and their impact on organizational readiness?</w:t>
            </w:r>
          </w:p>
          <w:p w14:paraId="079AF9F2" w14:textId="77777777" w:rsidR="00BC2B33" w:rsidRPr="00BC2B33" w:rsidRDefault="00BC2B33" w:rsidP="00BC2B33">
            <w:pPr>
              <w:numPr>
                <w:ilvl w:val="0"/>
                <w:numId w:val="3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knowledge and competence requirements for employees to effectively work with DARQ technologies?</w:t>
            </w:r>
          </w:p>
          <w:p w14:paraId="5F737EF8" w14:textId="77777777" w:rsidR="00BC2B33" w:rsidRPr="00BC2B33" w:rsidRDefault="00BC2B33" w:rsidP="00BC2B33">
            <w:pPr>
              <w:numPr>
                <w:ilvl w:val="0"/>
                <w:numId w:val="3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challenges and barriers employees face in adopting and working with DARQ technologies, and how can organizations overcome those to enhance readiness?</w:t>
            </w:r>
          </w:p>
        </w:tc>
      </w:tr>
      <w:tr w:rsidR="00BC2B33" w:rsidRPr="00BC2B33" w14:paraId="063F3016" w14:textId="77777777" w:rsidTr="007C00EA">
        <w:tc>
          <w:tcPr>
            <w:tcW w:w="1890" w:type="dxa"/>
          </w:tcPr>
          <w:p w14:paraId="254D1047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Training </w:t>
            </w:r>
          </w:p>
        </w:tc>
        <w:tc>
          <w:tcPr>
            <w:tcW w:w="7744" w:type="dxa"/>
          </w:tcPr>
          <w:p w14:paraId="18762BEB" w14:textId="77777777" w:rsidR="00BC2B33" w:rsidRPr="00BC2B33" w:rsidRDefault="00BC2B33" w:rsidP="00BC2B33">
            <w:pPr>
              <w:numPr>
                <w:ilvl w:val="0"/>
                <w:numId w:val="2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effective approaches and strategies for providing AI education and training to employees to enhance DARQ readiness?</w:t>
            </w:r>
          </w:p>
          <w:p w14:paraId="087F8BB9" w14:textId="77777777" w:rsidR="00BC2B33" w:rsidRPr="00BC2B33" w:rsidRDefault="00BC2B33" w:rsidP="00BC2B33">
            <w:pPr>
              <w:numPr>
                <w:ilvl w:val="0"/>
                <w:numId w:val="2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key factors influence employees’ awareness and understanding of AI technologies through training?</w:t>
            </w:r>
          </w:p>
          <w:p w14:paraId="201FF846" w14:textId="77777777" w:rsidR="00BC2B33" w:rsidRPr="00BC2B33" w:rsidRDefault="00BC2B33" w:rsidP="00BC2B33">
            <w:pPr>
              <w:numPr>
                <w:ilvl w:val="0"/>
                <w:numId w:val="2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ethical considerations and guidelines that should be incorporated into AI training programs to ensure responsible use of DARQ technologies and enhance organizational readiness?</w:t>
            </w:r>
          </w:p>
          <w:p w14:paraId="05845486" w14:textId="77777777" w:rsidR="00BC2B33" w:rsidRPr="00BC2B33" w:rsidRDefault="00BC2B33" w:rsidP="00BC2B33">
            <w:pPr>
              <w:numPr>
                <w:ilvl w:val="0"/>
                <w:numId w:val="2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can organizations effectively integrate AI training into existing professional development programs to enhance employees’ knowledge and competence?</w:t>
            </w:r>
          </w:p>
          <w:p w14:paraId="40AB49E8" w14:textId="77777777" w:rsidR="00BC2B33" w:rsidRPr="00BC2B33" w:rsidRDefault="00BC2B33" w:rsidP="00BC2B33">
            <w:pPr>
              <w:ind w:left="36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34A78112" w14:textId="77777777" w:rsidTr="007C00EA">
        <w:tc>
          <w:tcPr>
            <w:tcW w:w="1890" w:type="dxa"/>
          </w:tcPr>
          <w:p w14:paraId="4124778F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Process and operations</w:t>
            </w:r>
          </w:p>
        </w:tc>
        <w:tc>
          <w:tcPr>
            <w:tcW w:w="7744" w:type="dxa"/>
          </w:tcPr>
          <w:p w14:paraId="2F0B924D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key factors influence AI governance and their impact on DARQ readiness?</w:t>
            </w:r>
          </w:p>
          <w:p w14:paraId="69F85648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best practices for documenting and managing processes to facilitate the expansion and scalability of DARQ technologies?</w:t>
            </w:r>
          </w:p>
          <w:p w14:paraId="7712FED7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pipeline evaluation strategies impact the readiness to adopt and utilize DARQ technologies in organizations?</w:t>
            </w:r>
          </w:p>
          <w:p w14:paraId="2EC77385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24E7AA76" w14:textId="77777777" w:rsidTr="007C00EA">
        <w:tc>
          <w:tcPr>
            <w:tcW w:w="1890" w:type="dxa"/>
          </w:tcPr>
          <w:p w14:paraId="190F5B85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Culture</w:t>
            </w:r>
          </w:p>
        </w:tc>
        <w:tc>
          <w:tcPr>
            <w:tcW w:w="7744" w:type="dxa"/>
          </w:tcPr>
          <w:p w14:paraId="7D36B7D5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key factors contributing to an innovative organizational culture that is DARQ-ready?</w:t>
            </w:r>
          </w:p>
          <w:p w14:paraId="37376143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enablers and barriers within an organizational culture that influence the collaboration between employees and each DARQ technology, and how do they impact readiness?</w:t>
            </w:r>
          </w:p>
          <w:p w14:paraId="629B1CFB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can organizations foster a culture of collaboration and trust between employees and AI technologies to enhance DARQ readiness?</w:t>
            </w:r>
          </w:p>
          <w:p w14:paraId="73B3BA9F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can human-machine collaboration affect organizational DARQ readiness, and how can they be optimized?</w:t>
            </w:r>
          </w:p>
          <w:p w14:paraId="510B661D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organizational values, beliefs, and norms shape the DARQ readiness?</w:t>
            </w:r>
          </w:p>
          <w:p w14:paraId="3D594638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5BE6C548" w14:textId="77777777" w:rsidTr="007C00EA">
        <w:tc>
          <w:tcPr>
            <w:tcW w:w="1890" w:type="dxa"/>
          </w:tcPr>
          <w:p w14:paraId="66833BB8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Management and strategy</w:t>
            </w:r>
          </w:p>
        </w:tc>
        <w:tc>
          <w:tcPr>
            <w:tcW w:w="7744" w:type="dxa"/>
          </w:tcPr>
          <w:p w14:paraId="5396ED4A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leadership skills are critical for driving organizational DARQ readiness, and how do they influence successful integration?</w:t>
            </w:r>
          </w:p>
          <w:p w14:paraId="601A1BDA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key elements of an effective AI strategy that enhance organizational DARQ readiness?</w:t>
            </w:r>
          </w:p>
          <w:p w14:paraId="64AB7095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can organizations develop an AI foresight strategy?</w:t>
            </w:r>
          </w:p>
          <w:p w14:paraId="200ADDAC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153A5668" w14:textId="77777777" w:rsidTr="007C00EA">
        <w:tc>
          <w:tcPr>
            <w:tcW w:w="1890" w:type="dxa"/>
          </w:tcPr>
          <w:p w14:paraId="3F2B4508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Resources</w:t>
            </w:r>
          </w:p>
        </w:tc>
        <w:tc>
          <w:tcPr>
            <w:tcW w:w="7744" w:type="dxa"/>
          </w:tcPr>
          <w:p w14:paraId="7A0410A1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key IT infrastructure and resource requirements that enhance organizational DARQ readiness?</w:t>
            </w:r>
          </w:p>
          <w:p w14:paraId="08FEF0B2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strategies for effectively leveraging talent, IT infrastructure, and financial resources to enhance organizational DARQ readiness?</w:t>
            </w:r>
          </w:p>
          <w:p w14:paraId="3764880C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can organizations optimize resource allocation and utilization to foster readiness for integrating DARQ technologies?</w:t>
            </w:r>
          </w:p>
          <w:p w14:paraId="26C414B8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the timing and sequencing of resource allocation influence organizational DARQ readiness?</w:t>
            </w:r>
          </w:p>
          <w:p w14:paraId="4B5BA0F3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10A39C71" w14:textId="77777777" w:rsidTr="007C00EA">
        <w:tc>
          <w:tcPr>
            <w:tcW w:w="9634" w:type="dxa"/>
            <w:gridSpan w:val="2"/>
          </w:tcPr>
          <w:p w14:paraId="7A119C3C" w14:textId="77777777" w:rsidR="00BC2B33" w:rsidRPr="00BC2B33" w:rsidRDefault="00BC2B33" w:rsidP="00BC2B33">
            <w:pPr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i/>
                <w:iCs/>
                <w:sz w:val="16"/>
                <w:szCs w:val="16"/>
                <w:lang w:val="en-US"/>
              </w:rPr>
              <w:t>Technological factors</w:t>
            </w:r>
          </w:p>
        </w:tc>
      </w:tr>
      <w:tr w:rsidR="00BC2B33" w:rsidRPr="00BC2B33" w14:paraId="15741089" w14:textId="77777777" w:rsidTr="007C00EA">
        <w:tc>
          <w:tcPr>
            <w:tcW w:w="1890" w:type="dxa"/>
          </w:tcPr>
          <w:p w14:paraId="6FB54B3A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Data</w:t>
            </w:r>
          </w:p>
        </w:tc>
        <w:tc>
          <w:tcPr>
            <w:tcW w:w="7744" w:type="dxa"/>
          </w:tcPr>
          <w:p w14:paraId="1913E868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key challenges and considerations in ensuring data security and privacy to enhance DARQ readiness?</w:t>
            </w:r>
          </w:p>
          <w:p w14:paraId="2BC7ACD5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strategies for effective data management and governance that foster DARQ readiness?</w:t>
            </w:r>
          </w:p>
          <w:p w14:paraId="263E330F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data complexity and diversity influence DARQ readiness?</w:t>
            </w:r>
          </w:p>
          <w:p w14:paraId="3B398B75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the management of data migration impact organizational DARQ readiness?</w:t>
            </w:r>
          </w:p>
          <w:p w14:paraId="29A7EC82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key factors that influence data analytics capabilities related to AI?</w:t>
            </w:r>
          </w:p>
          <w:p w14:paraId="2A290B5F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should firms manage data-related ethical considerations, such as bias and fairness?</w:t>
            </w:r>
          </w:p>
          <w:p w14:paraId="03A614AE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40CE77BD" w14:textId="77777777" w:rsidTr="007C00EA">
        <w:tc>
          <w:tcPr>
            <w:tcW w:w="1890" w:type="dxa"/>
          </w:tcPr>
          <w:p w14:paraId="20AB0986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Technology characteristics</w:t>
            </w:r>
          </w:p>
        </w:tc>
        <w:tc>
          <w:tcPr>
            <w:tcW w:w="7744" w:type="dxa"/>
          </w:tcPr>
          <w:p w14:paraId="5C992488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can organizations effectively address technology complexity when adopting DARQ technologies?</w:t>
            </w:r>
          </w:p>
          <w:p w14:paraId="7A1B60DA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should organizations handle the trade-offs related to the privacy and security of DARQ technologies?</w:t>
            </w:r>
          </w:p>
          <w:p w14:paraId="075F772C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the scalability and flexibility of DARQ technologies influence DARQ readiness?</w:t>
            </w:r>
          </w:p>
          <w:p w14:paraId="746B7CB7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the user experience and interface design of DARQ technologies impact firms’ DARQ readiness?</w:t>
            </w:r>
          </w:p>
          <w:p w14:paraId="5A9C7F5A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2B493111" w14:textId="77777777" w:rsidTr="007C00EA">
        <w:tc>
          <w:tcPr>
            <w:tcW w:w="9634" w:type="dxa"/>
            <w:gridSpan w:val="2"/>
          </w:tcPr>
          <w:p w14:paraId="4BD4518B" w14:textId="77777777" w:rsidR="00BC2B33" w:rsidRPr="00BC2B33" w:rsidRDefault="00BC2B33" w:rsidP="00BC2B33">
            <w:pPr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i/>
                <w:iCs/>
                <w:sz w:val="16"/>
                <w:szCs w:val="16"/>
                <w:lang w:val="en-US"/>
              </w:rPr>
              <w:t>Environmental factors</w:t>
            </w:r>
          </w:p>
        </w:tc>
      </w:tr>
      <w:tr w:rsidR="00BC2B33" w:rsidRPr="00BC2B33" w14:paraId="5A37D707" w14:textId="77777777" w:rsidTr="007C00EA">
        <w:tc>
          <w:tcPr>
            <w:tcW w:w="1890" w:type="dxa"/>
          </w:tcPr>
          <w:p w14:paraId="31EC1E69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Stakeholders </w:t>
            </w:r>
          </w:p>
        </w:tc>
        <w:tc>
          <w:tcPr>
            <w:tcW w:w="7744" w:type="dxa"/>
          </w:tcPr>
          <w:p w14:paraId="4A5775B0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is the role of customer engagement and feedback in enhancing organizational DARQ readiness?</w:t>
            </w:r>
          </w:p>
          <w:p w14:paraId="184ACF16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challenges and opportunities associated with AI-based stakeholder engagement and their impact on AI readiness?</w:t>
            </w:r>
          </w:p>
          <w:p w14:paraId="08F732EC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strategies for effective communication and collaboration with stakeholders regarding DARQ technologies?</w:t>
            </w:r>
          </w:p>
          <w:p w14:paraId="0E69367E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lastRenderedPageBreak/>
              <w:t>How does aligning stakeholder interests and incentives with organizational goals contribute to DARQ readiness?</w:t>
            </w:r>
          </w:p>
          <w:p w14:paraId="755C406F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organizations effectively manage and address potential conflicts or resistance among stakeholders in the readiness process for DARQ technologies?</w:t>
            </w:r>
          </w:p>
          <w:p w14:paraId="6F20D928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27D19C8E" w14:textId="77777777" w:rsidTr="007C00EA">
        <w:tc>
          <w:tcPr>
            <w:tcW w:w="1890" w:type="dxa"/>
          </w:tcPr>
          <w:p w14:paraId="2B411F5B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lastRenderedPageBreak/>
              <w:t>Market conditions</w:t>
            </w:r>
          </w:p>
        </w:tc>
        <w:tc>
          <w:tcPr>
            <w:tcW w:w="7744" w:type="dxa"/>
          </w:tcPr>
          <w:p w14:paraId="7C5CAA8A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key market dynamics and trends that organizations should consider in their DARQ readiness?</w:t>
            </w:r>
          </w:p>
          <w:p w14:paraId="0A077117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the market turbulence and uncertainty level impact organizational DARQ readiness?</w:t>
            </w:r>
          </w:p>
          <w:p w14:paraId="5A8A23B2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is the role of market demand and customer preferences in shaping DARQ readiness?</w:t>
            </w:r>
          </w:p>
          <w:p w14:paraId="0088412E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implications of market maturity and saturation on organizational DARQ readiness?</w:t>
            </w:r>
          </w:p>
          <w:p w14:paraId="06392934" w14:textId="77777777" w:rsidR="00BC2B33" w:rsidRPr="00BC2B33" w:rsidRDefault="00BC2B33" w:rsidP="00BC2B33">
            <w:pPr>
              <w:numPr>
                <w:ilvl w:val="0"/>
                <w:numId w:val="4"/>
              </w:numPr>
              <w:ind w:left="160" w:hanging="18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the key factors influencing DARQ readiness in emerging markets differ from those in established markets?</w:t>
            </w:r>
          </w:p>
          <w:p w14:paraId="59EE58CD" w14:textId="77777777" w:rsidR="00BC2B33" w:rsidRPr="00BC2B33" w:rsidRDefault="00BC2B33" w:rsidP="00BC2B33">
            <w:pPr>
              <w:ind w:left="16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15A1EC30" w14:textId="77777777" w:rsidTr="007C00EA">
        <w:tc>
          <w:tcPr>
            <w:tcW w:w="1890" w:type="dxa"/>
          </w:tcPr>
          <w:p w14:paraId="2F6FB347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Other </w:t>
            </w:r>
          </w:p>
        </w:tc>
        <w:tc>
          <w:tcPr>
            <w:tcW w:w="7744" w:type="dxa"/>
          </w:tcPr>
          <w:p w14:paraId="6B3D6D67" w14:textId="77777777" w:rsidR="00BC2B33" w:rsidRPr="00BC2B33" w:rsidRDefault="00BC2B33" w:rsidP="00BC2B33">
            <w:pPr>
              <w:numPr>
                <w:ilvl w:val="0"/>
                <w:numId w:val="5"/>
              </w:numPr>
              <w:tabs>
                <w:tab w:val="num" w:pos="160"/>
              </w:tabs>
              <w:ind w:left="700" w:hanging="74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Industry-specific Factors:</w:t>
            </w:r>
          </w:p>
          <w:p w14:paraId="2E9AF49E" w14:textId="77777777" w:rsidR="00BC2B33" w:rsidRPr="00BC2B33" w:rsidRDefault="00BC2B33" w:rsidP="00BC2B33">
            <w:pPr>
              <w:numPr>
                <w:ilvl w:val="1"/>
                <w:numId w:val="1"/>
              </w:numPr>
              <w:ind w:left="43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industry-specific characteristics and dynamics impact organizational DARQ readiness?</w:t>
            </w:r>
          </w:p>
          <w:p w14:paraId="09A70FF8" w14:textId="77777777" w:rsidR="00BC2B33" w:rsidRPr="00BC2B33" w:rsidRDefault="00BC2B33" w:rsidP="00BC2B33">
            <w:pPr>
              <w:numPr>
                <w:ilvl w:val="1"/>
                <w:numId w:val="1"/>
              </w:numPr>
              <w:ind w:left="43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What </w:t>
            </w:r>
            <w:proofErr w:type="gramStart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are</w:t>
            </w:r>
            <w:proofErr w:type="gramEnd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the sector-specific challenges and opportunities that organizations face in achieving DARQ readiness?</w:t>
            </w:r>
          </w:p>
          <w:p w14:paraId="691C43E8" w14:textId="77777777" w:rsidR="00BC2B33" w:rsidRPr="00BC2B33" w:rsidRDefault="00BC2B33" w:rsidP="00BC2B33">
            <w:pPr>
              <w:numPr>
                <w:ilvl w:val="0"/>
                <w:numId w:val="5"/>
              </w:numPr>
              <w:tabs>
                <w:tab w:val="num" w:pos="160"/>
              </w:tabs>
              <w:ind w:left="700" w:hanging="74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Risk Management:</w:t>
            </w:r>
          </w:p>
          <w:p w14:paraId="7C65F890" w14:textId="77777777" w:rsidR="00BC2B33" w:rsidRPr="00BC2B33" w:rsidRDefault="00BC2B33" w:rsidP="00BC2B33">
            <w:pPr>
              <w:numPr>
                <w:ilvl w:val="1"/>
                <w:numId w:val="1"/>
              </w:numPr>
              <w:ind w:left="43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effective risk management strategies influence DARQ readiness?</w:t>
            </w:r>
          </w:p>
          <w:p w14:paraId="6EFDB1FB" w14:textId="77777777" w:rsidR="00BC2B33" w:rsidRPr="00BC2B33" w:rsidRDefault="00BC2B33" w:rsidP="00BC2B33">
            <w:pPr>
              <w:numPr>
                <w:ilvl w:val="1"/>
                <w:numId w:val="1"/>
              </w:numPr>
              <w:ind w:left="430" w:hanging="18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What are the key risk factors and mitigation strategies that organizations should consider </w:t>
            </w:r>
            <w:proofErr w:type="gramStart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to enhance</w:t>
            </w:r>
            <w:proofErr w:type="gramEnd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their DARQ readiness?</w:t>
            </w:r>
          </w:p>
        </w:tc>
      </w:tr>
      <w:tr w:rsidR="00BC2B33" w:rsidRPr="00BC2B33" w14:paraId="017A78DB" w14:textId="77777777" w:rsidTr="007C00EA">
        <w:tc>
          <w:tcPr>
            <w:tcW w:w="9634" w:type="dxa"/>
            <w:gridSpan w:val="2"/>
          </w:tcPr>
          <w:p w14:paraId="7FEEA69B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Antecedents</w:t>
            </w:r>
          </w:p>
        </w:tc>
      </w:tr>
      <w:tr w:rsidR="00BC2B33" w:rsidRPr="00BC2B33" w14:paraId="5718BF52" w14:textId="77777777" w:rsidTr="007C00EA">
        <w:tc>
          <w:tcPr>
            <w:tcW w:w="9634" w:type="dxa"/>
            <w:gridSpan w:val="2"/>
          </w:tcPr>
          <w:p w14:paraId="527B1671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i/>
                <w:iCs/>
                <w:sz w:val="16"/>
                <w:szCs w:val="16"/>
                <w:lang w:val="en-US"/>
              </w:rPr>
              <w:t>Internal factors</w:t>
            </w:r>
          </w:p>
        </w:tc>
      </w:tr>
      <w:tr w:rsidR="00BC2B33" w:rsidRPr="00BC2B33" w14:paraId="13314FE1" w14:textId="77777777" w:rsidTr="007C00EA">
        <w:tc>
          <w:tcPr>
            <w:tcW w:w="1890" w:type="dxa"/>
          </w:tcPr>
          <w:p w14:paraId="6B70A306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Firm size</w:t>
            </w:r>
          </w:p>
        </w:tc>
        <w:tc>
          <w:tcPr>
            <w:tcW w:w="7744" w:type="dxa"/>
          </w:tcPr>
          <w:p w14:paraId="5B2B0F25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unique challenges and opportunities large organizations face in achieving DARQ readiness?</w:t>
            </w:r>
          </w:p>
          <w:p w14:paraId="1DF0E2EC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the scalability and flexibility of DARQ technologies affect different-sized organizations’ readiness and ability to adapt and integrate these technologies?</w:t>
            </w:r>
          </w:p>
          <w:p w14:paraId="3D3E4177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firm size influence the collaboration and partnerships required to achieve DARQ readiness?</w:t>
            </w:r>
          </w:p>
          <w:p w14:paraId="186241E2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specific strategies and approaches that can be tailored for different-sized organizations to enhance their DARQ readiness?</w:t>
            </w:r>
          </w:p>
          <w:p w14:paraId="0C8631CD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62F6971C" w14:textId="77777777" w:rsidTr="007C00EA">
        <w:tc>
          <w:tcPr>
            <w:tcW w:w="1890" w:type="dxa"/>
          </w:tcPr>
          <w:p w14:paraId="65D22C60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Technology trust</w:t>
            </w:r>
          </w:p>
        </w:tc>
        <w:tc>
          <w:tcPr>
            <w:tcW w:w="7744" w:type="dxa"/>
          </w:tcPr>
          <w:p w14:paraId="4AFD3D36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factors contribute to building trust in technology, and how do they impact DARQ readiness?</w:t>
            </w:r>
          </w:p>
          <w:p w14:paraId="70220E64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strategies for managing and addressing trust-related concerns to foster DARQ readiness?</w:t>
            </w:r>
          </w:p>
          <w:p w14:paraId="658F00FF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role do organizational culture and leadership play in promoting technology trust and DARQ readiness?</w:t>
            </w:r>
          </w:p>
          <w:p w14:paraId="3A261B6A" w14:textId="77777777" w:rsidR="00BC2B33" w:rsidRPr="00BC2B33" w:rsidRDefault="00BC2B33" w:rsidP="00BC2B33">
            <w:pPr>
              <w:ind w:left="157" w:hanging="203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7415CC2F" w14:textId="77777777" w:rsidTr="007C00EA">
        <w:tc>
          <w:tcPr>
            <w:tcW w:w="1890" w:type="dxa"/>
          </w:tcPr>
          <w:p w14:paraId="290FF2B4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Information security </w:t>
            </w:r>
          </w:p>
        </w:tc>
        <w:tc>
          <w:tcPr>
            <w:tcW w:w="7744" w:type="dxa"/>
          </w:tcPr>
          <w:p w14:paraId="63DE9B96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specific dimensions of information security, such as data protection, cybersecurity, or privacy measures, and how do they impact DARQ readiness?</w:t>
            </w:r>
          </w:p>
          <w:p w14:paraId="6E03AC2C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strategies for managing and mitigating information security risks to foster DARQ readiness?</w:t>
            </w:r>
          </w:p>
          <w:p w14:paraId="1DF0F64B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How does the level of information </w:t>
            </w:r>
            <w:proofErr w:type="gramStart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sharing</w:t>
            </w:r>
            <w:proofErr w:type="gramEnd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and collaboration with external partners impact information security?</w:t>
            </w:r>
          </w:p>
          <w:p w14:paraId="40255AB6" w14:textId="77777777" w:rsidR="00BC2B33" w:rsidRPr="00BC2B33" w:rsidRDefault="00BC2B33" w:rsidP="00BC2B33">
            <w:pPr>
              <w:ind w:left="157" w:hanging="203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5A956DBB" w14:textId="77777777" w:rsidTr="007C00EA">
        <w:tc>
          <w:tcPr>
            <w:tcW w:w="9634" w:type="dxa"/>
            <w:gridSpan w:val="2"/>
          </w:tcPr>
          <w:p w14:paraId="03471FA3" w14:textId="77777777" w:rsidR="00BC2B33" w:rsidRPr="00BC2B33" w:rsidRDefault="00BC2B33" w:rsidP="00BC2B33">
            <w:pPr>
              <w:ind w:left="-20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i/>
                <w:iCs/>
                <w:sz w:val="16"/>
                <w:szCs w:val="16"/>
                <w:lang w:val="en-US"/>
              </w:rPr>
              <w:t xml:space="preserve">External factors </w:t>
            </w:r>
          </w:p>
        </w:tc>
      </w:tr>
      <w:tr w:rsidR="00BC2B33" w:rsidRPr="00BC2B33" w14:paraId="1C1D6F83" w14:textId="77777777" w:rsidTr="007C00EA">
        <w:tc>
          <w:tcPr>
            <w:tcW w:w="1890" w:type="dxa"/>
          </w:tcPr>
          <w:p w14:paraId="319F7DA6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Supply chain collaboration </w:t>
            </w:r>
          </w:p>
        </w:tc>
        <w:tc>
          <w:tcPr>
            <w:tcW w:w="7744" w:type="dxa"/>
          </w:tcPr>
          <w:p w14:paraId="4EA40433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key factors that contribute to effective collaboration within the supply chain and their impact on DARQ readiness?</w:t>
            </w:r>
          </w:p>
          <w:p w14:paraId="0541E987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supply chain visibility and information sharing enhance DARQ readiness?</w:t>
            </w:r>
          </w:p>
          <w:p w14:paraId="4CA8A115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supply chain resilience and agility influence DARQ readiness?</w:t>
            </w:r>
          </w:p>
          <w:p w14:paraId="7C386F94" w14:textId="77777777" w:rsidR="00BC2B33" w:rsidRPr="00BC2B33" w:rsidRDefault="00BC2B33" w:rsidP="00BC2B33">
            <w:pPr>
              <w:ind w:left="157" w:hanging="203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49345358" w14:textId="77777777" w:rsidTr="007C00EA">
        <w:tc>
          <w:tcPr>
            <w:tcW w:w="1890" w:type="dxa"/>
          </w:tcPr>
          <w:p w14:paraId="304BBA0D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Environmental uncertainty</w:t>
            </w:r>
          </w:p>
        </w:tc>
        <w:tc>
          <w:tcPr>
            <w:tcW w:w="7744" w:type="dxa"/>
          </w:tcPr>
          <w:p w14:paraId="642D46CF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differently do the specific dimensions of environmental uncertainty, such as technological, market, or regulatory uncertainty, influence DARQ readiness?</w:t>
            </w:r>
          </w:p>
          <w:p w14:paraId="380254FB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organizations effectively navigate and respond to environmental uncertainty to enhance their DARQ readiness?</w:t>
            </w:r>
          </w:p>
          <w:p w14:paraId="4C82FC98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implications of environmental uncertainty on the resource allocation and investment decisions on DARQ technologies?</w:t>
            </w:r>
          </w:p>
          <w:p w14:paraId="58214422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the level of environmental turbulence and volatility impact DARQ readiness?</w:t>
            </w:r>
          </w:p>
          <w:p w14:paraId="0F3FC24B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role do stakeholder engagement and collaboration play in managing environmental uncertainty and enhancing DARQ readiness?</w:t>
            </w:r>
          </w:p>
          <w:p w14:paraId="1C0D66FA" w14:textId="77777777" w:rsidR="00BC2B33" w:rsidRPr="00BC2B33" w:rsidRDefault="00BC2B33" w:rsidP="00BC2B33">
            <w:pPr>
              <w:ind w:left="157" w:hanging="203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30F4C79F" w14:textId="77777777" w:rsidTr="007C00EA">
        <w:tc>
          <w:tcPr>
            <w:tcW w:w="1890" w:type="dxa"/>
          </w:tcPr>
          <w:p w14:paraId="776E3E97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Competitive pressure </w:t>
            </w:r>
          </w:p>
        </w:tc>
        <w:tc>
          <w:tcPr>
            <w:tcW w:w="7744" w:type="dxa"/>
          </w:tcPr>
          <w:p w14:paraId="5B642F13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specific dimensions of competitive pressure, such as market rivalry, technological advancements, or disruptive forces, influence DARQ readiness?</w:t>
            </w:r>
          </w:p>
          <w:p w14:paraId="2D6ECE6F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organizations effectively respond to competitive pressure to enhance their DARQ readiness?</w:t>
            </w:r>
          </w:p>
          <w:p w14:paraId="0EF24CB2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the competitive intelligence and analysis level contribute to organizational DARQ readiness?</w:t>
            </w:r>
          </w:p>
          <w:p w14:paraId="00751060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the organizational agility and adaptability level influence DARQ readiness in the face of competitive pressure?</w:t>
            </w:r>
          </w:p>
          <w:p w14:paraId="2601DFD5" w14:textId="77777777" w:rsidR="00BC2B33" w:rsidRPr="00BC2B33" w:rsidRDefault="00BC2B33" w:rsidP="00BC2B33">
            <w:pPr>
              <w:ind w:left="157" w:hanging="203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2E74B1AF" w14:textId="77777777" w:rsidTr="007C00EA">
        <w:tc>
          <w:tcPr>
            <w:tcW w:w="1890" w:type="dxa"/>
          </w:tcPr>
          <w:p w14:paraId="399AEA8D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Government support </w:t>
            </w:r>
          </w:p>
        </w:tc>
        <w:tc>
          <w:tcPr>
            <w:tcW w:w="7744" w:type="dxa"/>
          </w:tcPr>
          <w:p w14:paraId="072505DF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specific forms of government support, such as grants, subsidies, or tax incentives, influence DARQ readiness?</w:t>
            </w:r>
          </w:p>
          <w:p w14:paraId="325EE154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How do industries experience varying impacts from government support? </w:t>
            </w:r>
          </w:p>
          <w:p w14:paraId="7CF71885" w14:textId="77777777" w:rsidR="00BC2B33" w:rsidRPr="00BC2B33" w:rsidRDefault="00BC2B33" w:rsidP="00BC2B33">
            <w:pPr>
              <w:ind w:left="157" w:hanging="203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73921E01" w14:textId="77777777" w:rsidTr="007C00EA">
        <w:tc>
          <w:tcPr>
            <w:tcW w:w="9634" w:type="dxa"/>
            <w:gridSpan w:val="2"/>
          </w:tcPr>
          <w:p w14:paraId="4DD15AB8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Consequences</w:t>
            </w:r>
          </w:p>
        </w:tc>
      </w:tr>
      <w:tr w:rsidR="00DA72B4" w:rsidRPr="00BC2B33" w14:paraId="4D49FBBB" w14:textId="77777777" w:rsidTr="007C00EA">
        <w:tc>
          <w:tcPr>
            <w:tcW w:w="1890" w:type="dxa"/>
          </w:tcPr>
          <w:p w14:paraId="56E2E3C2" w14:textId="1BAF32FF" w:rsidR="00DA72B4" w:rsidRPr="000A4A3D" w:rsidRDefault="00374E3F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lastRenderedPageBreak/>
              <w:t>Internal Marketing</w:t>
            </w:r>
          </w:p>
        </w:tc>
        <w:tc>
          <w:tcPr>
            <w:tcW w:w="7744" w:type="dxa"/>
          </w:tcPr>
          <w:p w14:paraId="7E57BF67" w14:textId="77777777" w:rsidR="00374E3F" w:rsidRPr="000A4A3D" w:rsidRDefault="00374E3F" w:rsidP="0024633E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DARQ readiness, particularly AI adoption, influence internal communication efficiency across different organizational structures?</w:t>
            </w:r>
          </w:p>
          <w:p w14:paraId="0756DAF1" w14:textId="77777777" w:rsidR="00374E3F" w:rsidRPr="000A4A3D" w:rsidRDefault="00374E3F" w:rsidP="0024633E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To what extent do transparent feedback mechanisms enabled by DARQ technologies enhance employee engagement and organizational trust?</w:t>
            </w:r>
          </w:p>
          <w:p w14:paraId="2A1A013B" w14:textId="77777777" w:rsidR="00374E3F" w:rsidRPr="000A4A3D" w:rsidRDefault="00374E3F" w:rsidP="0024633E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What role do advanced HR systems, driven by AI and blockchain, play in shaping employee retention and satisfaction in DARQ-ready organizations?</w:t>
            </w:r>
          </w:p>
          <w:p w14:paraId="59487F56" w14:textId="42ADF852" w:rsidR="00DA72B4" w:rsidRPr="000A4A3D" w:rsidRDefault="00374E3F" w:rsidP="0024633E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can relational governance structures in B2B SMEs leverage DARQ technologies to foster stronger internal collaboration?</w:t>
            </w:r>
          </w:p>
        </w:tc>
      </w:tr>
      <w:tr w:rsidR="0024633E" w:rsidRPr="00BC2B33" w14:paraId="27F6148B" w14:textId="77777777" w:rsidTr="007C00EA">
        <w:tc>
          <w:tcPr>
            <w:tcW w:w="1890" w:type="dxa"/>
          </w:tcPr>
          <w:p w14:paraId="3649911F" w14:textId="1DC33445" w:rsidR="0024633E" w:rsidRPr="000A4A3D" w:rsidRDefault="0051294B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External Marketing</w:t>
            </w:r>
          </w:p>
        </w:tc>
        <w:tc>
          <w:tcPr>
            <w:tcW w:w="7744" w:type="dxa"/>
          </w:tcPr>
          <w:p w14:paraId="05774BD5" w14:textId="77777777" w:rsidR="0051294B" w:rsidRPr="000A4A3D" w:rsidRDefault="0051294B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DARQ readiness impact customer satisfaction metrics in industries with high technological dependency?</w:t>
            </w:r>
          </w:p>
          <w:p w14:paraId="4CA4EE30" w14:textId="77777777" w:rsidR="0051294B" w:rsidRPr="000A4A3D" w:rsidRDefault="0051294B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In what ways do DARQ technologies enable competitive differentiation for firms in saturated markets?</w:t>
            </w:r>
          </w:p>
          <w:p w14:paraId="6E529009" w14:textId="77777777" w:rsidR="0051294B" w:rsidRPr="000A4A3D" w:rsidRDefault="0051294B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effectively can DARQ readiness facilitate market gap identification in rapidly evolving industries?</w:t>
            </w:r>
          </w:p>
          <w:p w14:paraId="706C98FC" w14:textId="77777777" w:rsidR="0051294B" w:rsidRPr="000A4A3D" w:rsidRDefault="0051294B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mechanisms through which DARQ technologies drive successful new product development (NPD) and reduce time-to-market?</w:t>
            </w:r>
          </w:p>
          <w:p w14:paraId="3F512B47" w14:textId="1135F529" w:rsidR="0024633E" w:rsidRPr="000A4A3D" w:rsidRDefault="0051294B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refined segmentation strategies enabled by DARQ technologies improve customer targeting and retention?</w:t>
            </w:r>
          </w:p>
        </w:tc>
      </w:tr>
      <w:tr w:rsidR="0024633E" w:rsidRPr="00BC2B33" w14:paraId="26333516" w14:textId="77777777" w:rsidTr="007C00EA">
        <w:tc>
          <w:tcPr>
            <w:tcW w:w="1890" w:type="dxa"/>
          </w:tcPr>
          <w:p w14:paraId="31AE84DE" w14:textId="52126E0B" w:rsidR="0024633E" w:rsidRPr="000A4A3D" w:rsidRDefault="0051294B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Interactive Marketing</w:t>
            </w:r>
          </w:p>
        </w:tc>
        <w:tc>
          <w:tcPr>
            <w:tcW w:w="7744" w:type="dxa"/>
          </w:tcPr>
          <w:p w14:paraId="61A1390D" w14:textId="77777777" w:rsidR="000E2FF3" w:rsidRPr="000A4A3D" w:rsidRDefault="000E2FF3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interaction trust, as facilitated by blockchain and AI, influence brand loyalty in B2B and B2C contexts?</w:t>
            </w:r>
          </w:p>
          <w:p w14:paraId="578C41F3" w14:textId="77777777" w:rsidR="000E2FF3" w:rsidRPr="000A4A3D" w:rsidRDefault="000E2FF3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DARQ technologies improve collaborative efficiency in supply chains, and what are the implications for relationship performance?</w:t>
            </w:r>
          </w:p>
          <w:p w14:paraId="3ACAE610" w14:textId="77777777" w:rsidR="000E2FF3" w:rsidRPr="000A4A3D" w:rsidRDefault="000E2FF3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What factors influence the effectiveness of DARQ-driven customer engagement strategies in building long-term relationships?</w:t>
            </w:r>
          </w:p>
          <w:p w14:paraId="0F2C011B" w14:textId="14E8D080" w:rsidR="0024633E" w:rsidRPr="000A4A3D" w:rsidRDefault="000E2FF3" w:rsidP="000E2FF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A4A3D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immersive service experiences powered by extended reality shape customer perceptions and behavior?</w:t>
            </w:r>
          </w:p>
        </w:tc>
      </w:tr>
      <w:tr w:rsidR="00BC2B33" w:rsidRPr="00BC2B33" w14:paraId="45D74D50" w14:textId="77777777" w:rsidTr="007C00EA">
        <w:tc>
          <w:tcPr>
            <w:tcW w:w="1890" w:type="dxa"/>
          </w:tcPr>
          <w:p w14:paraId="47961269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Adoption intention </w:t>
            </w:r>
          </w:p>
        </w:tc>
        <w:tc>
          <w:tcPr>
            <w:tcW w:w="7744" w:type="dxa"/>
          </w:tcPr>
          <w:p w14:paraId="634D1E55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factors mediate the relationship between DARQ readiness and organizations’ adoption intention?</w:t>
            </w:r>
          </w:p>
          <w:p w14:paraId="20919B11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organizational characteristics, such as size or industry, moderate the relationship between DARQ technologies readiness and adoption intention?</w:t>
            </w:r>
          </w:p>
          <w:p w14:paraId="0CF69C24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long-term consequences of adoption intention resulting from DARQ technologies readiness on organizational performance and competitive advantage?</w:t>
            </w:r>
          </w:p>
          <w:p w14:paraId="6BD0D70F" w14:textId="77777777" w:rsidR="00BC2B33" w:rsidRPr="00BC2B33" w:rsidRDefault="00BC2B33" w:rsidP="00BC2B33">
            <w:pPr>
              <w:ind w:left="157" w:hanging="203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29F10CA9" w14:textId="77777777" w:rsidTr="007C00EA">
        <w:tc>
          <w:tcPr>
            <w:tcW w:w="1890" w:type="dxa"/>
          </w:tcPr>
          <w:p w14:paraId="6FBDE16F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Firm performance</w:t>
            </w:r>
          </w:p>
        </w:tc>
        <w:tc>
          <w:tcPr>
            <w:tcW w:w="7744" w:type="dxa"/>
          </w:tcPr>
          <w:p w14:paraId="627E4453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does DARQ technology readiness affect firm productivity, efficiency, and profitability?</w:t>
            </w:r>
          </w:p>
          <w:p w14:paraId="21101EAA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are the specific performance indicators and metrics that are influenced by DARQ technologies readiness?</w:t>
            </w:r>
          </w:p>
          <w:p w14:paraId="02751290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organizational capabilities, such as innovation capability or agility, mediate the relationship between DARQ readiness and firm performance?</w:t>
            </w:r>
          </w:p>
          <w:p w14:paraId="6055D7A2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What role does strategic alignment between DARQ technologies and business objectives play in enhancing firm performance?</w:t>
            </w:r>
          </w:p>
          <w:p w14:paraId="583E39F8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What </w:t>
            </w:r>
            <w:proofErr w:type="gramStart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are</w:t>
            </w:r>
            <w:proofErr w:type="gramEnd"/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the industry-specific factors and contextual elements that influence the relationship between DARQ readiness and firm performance?</w:t>
            </w:r>
          </w:p>
          <w:p w14:paraId="6642C0F3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BC2B33" w:rsidRPr="00BC2B33" w14:paraId="3DB6BB69" w14:textId="77777777" w:rsidTr="007C00EA">
        <w:tc>
          <w:tcPr>
            <w:tcW w:w="1890" w:type="dxa"/>
          </w:tcPr>
          <w:p w14:paraId="1F7F75D4" w14:textId="77777777" w:rsidR="00BC2B33" w:rsidRPr="00BC2B33" w:rsidRDefault="00BC2B33" w:rsidP="00BC2B33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7744" w:type="dxa"/>
          </w:tcPr>
          <w:p w14:paraId="77D815F6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Innovation capability: How does DARQ readiness influence organizations’ ability to innovate and introduce new products, services, or processes?</w:t>
            </w:r>
          </w:p>
          <w:p w14:paraId="37CF774D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Customer experience and satisfaction: How does DARQ readiness enhance customer experience, satisfaction, and loyalty?</w:t>
            </w:r>
          </w:p>
          <w:p w14:paraId="2D20A568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Organizational agility: How does DARQ readiness contribute to organizations’ ability to respond quickly and adapt to changing market dynamics and technological advancements?</w:t>
            </w:r>
          </w:p>
          <w:p w14:paraId="587657DA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Employee engagement and retention: How does DARQ readiness impact employee engagement, job satisfaction, and retention within organizations?</w:t>
            </w:r>
          </w:p>
          <w:p w14:paraId="4F153490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Organizational resilience: How does DARQ readiness influence organizations’ resilience in the face of disruptions or crises?</w:t>
            </w:r>
          </w:p>
          <w:p w14:paraId="7B8E6781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Decision-making effectiveness: How does DARQ readiness improve decision-making processes and outcomes within organizations?</w:t>
            </w:r>
          </w:p>
          <w:p w14:paraId="2125AEFC" w14:textId="77777777" w:rsidR="00BC2B33" w:rsidRPr="00BC2B33" w:rsidRDefault="00BC2B33" w:rsidP="00BC2B33">
            <w:pPr>
              <w:numPr>
                <w:ilvl w:val="0"/>
                <w:numId w:val="6"/>
              </w:numPr>
              <w:ind w:left="157" w:hanging="20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2B33">
              <w:rPr>
                <w:rFonts w:ascii="Arial" w:eastAsia="Calibri" w:hAnsi="Arial" w:cs="Arial"/>
                <w:sz w:val="16"/>
                <w:szCs w:val="16"/>
                <w:lang w:val="en-US"/>
              </w:rPr>
              <w:t>Societal impact: What are the broader societal consequences of DARQ readiness, such as changes in employment patterns, economic growth, or social equality?</w:t>
            </w:r>
          </w:p>
        </w:tc>
      </w:tr>
    </w:tbl>
    <w:p w14:paraId="14AFB5B0" w14:textId="77777777" w:rsidR="00C623B8" w:rsidRDefault="00C623B8"/>
    <w:sectPr w:rsidR="00C623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138D1" w14:textId="77777777" w:rsidR="00B055B0" w:rsidRDefault="00B055B0" w:rsidP="0044729A">
      <w:pPr>
        <w:spacing w:after="0" w:line="240" w:lineRule="auto"/>
      </w:pPr>
      <w:r>
        <w:separator/>
      </w:r>
    </w:p>
  </w:endnote>
  <w:endnote w:type="continuationSeparator" w:id="0">
    <w:p w14:paraId="3B3D6DA4" w14:textId="77777777" w:rsidR="00B055B0" w:rsidRDefault="00B055B0" w:rsidP="0044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01C47" w14:textId="77777777" w:rsidR="00B055B0" w:rsidRDefault="00B055B0" w:rsidP="0044729A">
      <w:pPr>
        <w:spacing w:after="0" w:line="240" w:lineRule="auto"/>
      </w:pPr>
      <w:r>
        <w:separator/>
      </w:r>
    </w:p>
  </w:footnote>
  <w:footnote w:type="continuationSeparator" w:id="0">
    <w:p w14:paraId="4272BCA2" w14:textId="77777777" w:rsidR="00B055B0" w:rsidRDefault="00B055B0" w:rsidP="00447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680D"/>
    <w:multiLevelType w:val="hybridMultilevel"/>
    <w:tmpl w:val="9D86B9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C570C6"/>
    <w:multiLevelType w:val="hybridMultilevel"/>
    <w:tmpl w:val="57E0B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F5E0C"/>
    <w:multiLevelType w:val="multilevel"/>
    <w:tmpl w:val="9FE8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16021"/>
    <w:multiLevelType w:val="hybridMultilevel"/>
    <w:tmpl w:val="26920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3516E"/>
    <w:multiLevelType w:val="multilevel"/>
    <w:tmpl w:val="49F0F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A03BD3"/>
    <w:multiLevelType w:val="multilevel"/>
    <w:tmpl w:val="9782E2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733193">
    <w:abstractNumId w:val="4"/>
  </w:num>
  <w:num w:numId="2" w16cid:durableId="521743990">
    <w:abstractNumId w:val="3"/>
  </w:num>
  <w:num w:numId="3" w16cid:durableId="324016876">
    <w:abstractNumId w:val="1"/>
  </w:num>
  <w:num w:numId="4" w16cid:durableId="236062380">
    <w:abstractNumId w:val="0"/>
  </w:num>
  <w:num w:numId="5" w16cid:durableId="900169438">
    <w:abstractNumId w:val="5"/>
  </w:num>
  <w:num w:numId="6" w16cid:durableId="1732339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EC"/>
    <w:rsid w:val="000A4A3D"/>
    <w:rsid w:val="000E2FF3"/>
    <w:rsid w:val="0024633E"/>
    <w:rsid w:val="00374E3F"/>
    <w:rsid w:val="0044729A"/>
    <w:rsid w:val="0051294B"/>
    <w:rsid w:val="0067668D"/>
    <w:rsid w:val="006E706D"/>
    <w:rsid w:val="007C00EA"/>
    <w:rsid w:val="00925F9E"/>
    <w:rsid w:val="00B055B0"/>
    <w:rsid w:val="00BC2B33"/>
    <w:rsid w:val="00C623B8"/>
    <w:rsid w:val="00D947EC"/>
    <w:rsid w:val="00DA72B4"/>
    <w:rsid w:val="00DE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4D725"/>
  <w15:chartTrackingRefBased/>
  <w15:docId w15:val="{95CEB279-A60E-4A98-BB1E-146D2169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next w:val="PlainTable2"/>
    <w:uiPriority w:val="42"/>
    <w:rsid w:val="00BC2B33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BC2B3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47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29A"/>
  </w:style>
  <w:style w:type="paragraph" w:styleId="Footer">
    <w:name w:val="footer"/>
    <w:basedOn w:val="Normal"/>
    <w:link w:val="FooterChar"/>
    <w:uiPriority w:val="99"/>
    <w:unhideWhenUsed/>
    <w:rsid w:val="00447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29A"/>
  </w:style>
  <w:style w:type="table" w:styleId="TableGrid">
    <w:name w:val="Table Grid"/>
    <w:basedOn w:val="TableNormal"/>
    <w:uiPriority w:val="39"/>
    <w:rsid w:val="007C0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1812</Words>
  <Characters>10334</Characters>
  <Application>Microsoft Office Word</Application>
  <DocSecurity>0</DocSecurity>
  <Lines>86</Lines>
  <Paragraphs>24</Paragraphs>
  <ScaleCrop>false</ScaleCrop>
  <Company/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NAZARITEHRANI</dc:creator>
  <cp:keywords/>
  <dc:description/>
  <cp:lastModifiedBy>Ali NAZARITEHRANI</cp:lastModifiedBy>
  <cp:revision>13</cp:revision>
  <dcterms:created xsi:type="dcterms:W3CDTF">2024-01-05T12:09:00Z</dcterms:created>
  <dcterms:modified xsi:type="dcterms:W3CDTF">2025-05-28T06:21:00Z</dcterms:modified>
</cp:coreProperties>
</file>