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A2A06" w14:textId="710B0F87" w:rsidR="00F9259C" w:rsidRPr="00BD0E0F" w:rsidRDefault="00F9259C" w:rsidP="00F9259C">
      <w:pPr>
        <w:spacing w:line="240" w:lineRule="auto"/>
        <w:jc w:val="both"/>
      </w:pPr>
    </w:p>
    <w:tbl>
      <w:tblPr>
        <w:tblStyle w:val="TableGrid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47"/>
        <w:gridCol w:w="4747"/>
        <w:gridCol w:w="62"/>
      </w:tblGrid>
      <w:tr w:rsidR="00BD0E0F" w:rsidRPr="00BD0E0F" w14:paraId="0EAB762D" w14:textId="77777777" w:rsidTr="00CD76A7">
        <w:trPr>
          <w:jc w:val="center"/>
        </w:trPr>
        <w:tc>
          <w:tcPr>
            <w:tcW w:w="9305" w:type="dxa"/>
            <w:gridSpan w:val="4"/>
            <w:tcBorders>
              <w:bottom w:val="single" w:sz="4" w:space="0" w:color="auto"/>
            </w:tcBorders>
          </w:tcPr>
          <w:p w14:paraId="05079352" w14:textId="77777777" w:rsidR="00A902EA" w:rsidRPr="00BD0E0F" w:rsidRDefault="00A902EA" w:rsidP="00CD76A7">
            <w:pPr>
              <w:jc w:val="both"/>
              <w:rPr>
                <w:rFonts w:ascii="Calibri" w:hAnsi="Calibri" w:cs="Calibri"/>
                <w:b/>
                <w:bCs/>
                <w:sz w:val="16"/>
                <w:szCs w:val="16"/>
              </w:rPr>
            </w:pPr>
            <w:bookmarkStart w:id="0" w:name="_GoBack"/>
            <w:bookmarkEnd w:id="0"/>
            <w:r w:rsidRPr="00BD0E0F">
              <w:rPr>
                <w:rFonts w:ascii="Calibri" w:hAnsi="Calibri" w:cs="Calibri"/>
                <w:b/>
                <w:bCs/>
                <w:sz w:val="16"/>
                <w:szCs w:val="16"/>
              </w:rPr>
              <w:t>Appendix A: Definitions of the Variables</w:t>
            </w:r>
          </w:p>
        </w:tc>
      </w:tr>
      <w:tr w:rsidR="00BD0E0F" w:rsidRPr="00BD0E0F" w14:paraId="4A41977A" w14:textId="77777777" w:rsidTr="00CD76A7">
        <w:trPr>
          <w:jc w:val="center"/>
        </w:trPr>
        <w:tc>
          <w:tcPr>
            <w:tcW w:w="3058" w:type="dxa"/>
            <w:tcBorders>
              <w:top w:val="single" w:sz="4" w:space="0" w:color="auto"/>
              <w:bottom w:val="single" w:sz="4" w:space="0" w:color="auto"/>
            </w:tcBorders>
          </w:tcPr>
          <w:p w14:paraId="62E15777" w14:textId="77777777" w:rsidR="00A902EA" w:rsidRPr="00BD0E0F" w:rsidRDefault="00A902EA" w:rsidP="00CD76A7">
            <w:pPr>
              <w:jc w:val="both"/>
              <w:rPr>
                <w:rFonts w:ascii="Calibri" w:hAnsi="Calibri" w:cs="Calibri"/>
                <w:b/>
                <w:bCs/>
                <w:sz w:val="16"/>
                <w:szCs w:val="16"/>
              </w:rPr>
            </w:pPr>
            <w:r w:rsidRPr="00BD0E0F">
              <w:rPr>
                <w:rFonts w:ascii="Calibri" w:hAnsi="Calibri" w:cs="Calibri"/>
                <w:b/>
                <w:bCs/>
                <w:sz w:val="16"/>
                <w:szCs w:val="16"/>
              </w:rPr>
              <w:t>Variable and Source</w:t>
            </w:r>
          </w:p>
        </w:tc>
        <w:tc>
          <w:tcPr>
            <w:tcW w:w="1256" w:type="dxa"/>
            <w:tcBorders>
              <w:top w:val="single" w:sz="4" w:space="0" w:color="auto"/>
              <w:bottom w:val="single" w:sz="4" w:space="0" w:color="auto"/>
            </w:tcBorders>
          </w:tcPr>
          <w:p w14:paraId="79E55621" w14:textId="77777777" w:rsidR="00A902EA" w:rsidRPr="00BD0E0F" w:rsidRDefault="00A902EA" w:rsidP="00CD76A7">
            <w:pPr>
              <w:jc w:val="both"/>
              <w:rPr>
                <w:rFonts w:ascii="Calibri" w:hAnsi="Calibri" w:cs="Calibri"/>
                <w:b/>
                <w:bCs/>
                <w:sz w:val="16"/>
                <w:szCs w:val="16"/>
              </w:rPr>
            </w:pPr>
            <w:r w:rsidRPr="00BD0E0F">
              <w:rPr>
                <w:rFonts w:ascii="Calibri" w:hAnsi="Calibri" w:cs="Calibri"/>
                <w:b/>
                <w:bCs/>
                <w:sz w:val="16"/>
                <w:szCs w:val="16"/>
                <w:lang w:bidi="ar-JO"/>
              </w:rPr>
              <w:t>Abbreviation</w:t>
            </w:r>
          </w:p>
        </w:tc>
        <w:tc>
          <w:tcPr>
            <w:tcW w:w="4991" w:type="dxa"/>
            <w:gridSpan w:val="2"/>
            <w:tcBorders>
              <w:top w:val="single" w:sz="4" w:space="0" w:color="auto"/>
              <w:bottom w:val="single" w:sz="4" w:space="0" w:color="auto"/>
            </w:tcBorders>
          </w:tcPr>
          <w:p w14:paraId="6E263163" w14:textId="77777777" w:rsidR="00A902EA" w:rsidRPr="00BD0E0F" w:rsidRDefault="00A902EA" w:rsidP="00CD76A7">
            <w:pPr>
              <w:jc w:val="both"/>
              <w:rPr>
                <w:rFonts w:ascii="Calibri" w:hAnsi="Calibri" w:cs="Calibri"/>
                <w:b/>
                <w:bCs/>
                <w:sz w:val="16"/>
                <w:szCs w:val="16"/>
              </w:rPr>
            </w:pPr>
            <w:r w:rsidRPr="00BD0E0F">
              <w:rPr>
                <w:rFonts w:ascii="Calibri" w:hAnsi="Calibri" w:cs="Calibri"/>
                <w:b/>
                <w:bCs/>
                <w:sz w:val="16"/>
                <w:szCs w:val="16"/>
              </w:rPr>
              <w:t xml:space="preserve">                                        Definition</w:t>
            </w:r>
          </w:p>
        </w:tc>
      </w:tr>
      <w:tr w:rsidR="00BD0E0F" w:rsidRPr="00BD0E0F" w14:paraId="7A03C18F" w14:textId="77777777" w:rsidTr="00CD76A7">
        <w:trPr>
          <w:jc w:val="center"/>
        </w:trPr>
        <w:tc>
          <w:tcPr>
            <w:tcW w:w="9305" w:type="dxa"/>
            <w:gridSpan w:val="4"/>
            <w:tcBorders>
              <w:top w:val="single" w:sz="4" w:space="0" w:color="auto"/>
              <w:bottom w:val="single" w:sz="4" w:space="0" w:color="auto"/>
            </w:tcBorders>
          </w:tcPr>
          <w:p w14:paraId="515D0E8B" w14:textId="77777777" w:rsidR="00A902EA" w:rsidRPr="00BD0E0F" w:rsidRDefault="00A902EA" w:rsidP="00CD76A7">
            <w:pPr>
              <w:jc w:val="center"/>
              <w:rPr>
                <w:rFonts w:ascii="Calibri" w:hAnsi="Calibri" w:cs="Calibri"/>
                <w:b/>
                <w:bCs/>
                <w:sz w:val="16"/>
                <w:szCs w:val="16"/>
              </w:rPr>
            </w:pPr>
            <w:r w:rsidRPr="00BD0E0F">
              <w:rPr>
                <w:rFonts w:ascii="Calibri" w:hAnsi="Calibri" w:cs="Calibri"/>
                <w:b/>
                <w:bCs/>
                <w:sz w:val="16"/>
                <w:szCs w:val="16"/>
              </w:rPr>
              <w:t>Independent Variables / Governance</w:t>
            </w:r>
          </w:p>
        </w:tc>
      </w:tr>
      <w:tr w:rsidR="00BD0E0F" w:rsidRPr="00BD0E0F" w14:paraId="00305C05" w14:textId="77777777" w:rsidTr="00CD76A7">
        <w:trPr>
          <w:jc w:val="center"/>
        </w:trPr>
        <w:tc>
          <w:tcPr>
            <w:tcW w:w="3058" w:type="dxa"/>
            <w:tcBorders>
              <w:top w:val="single" w:sz="4" w:space="0" w:color="auto"/>
            </w:tcBorders>
          </w:tcPr>
          <w:p w14:paraId="7D258DB2"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xml:space="preserve">**Governance quality systems    </w:t>
            </w:r>
          </w:p>
        </w:tc>
        <w:tc>
          <w:tcPr>
            <w:tcW w:w="1256" w:type="dxa"/>
            <w:tcBorders>
              <w:top w:val="single" w:sz="4" w:space="0" w:color="auto"/>
            </w:tcBorders>
          </w:tcPr>
          <w:p w14:paraId="24B9E485"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GQS</w:t>
            </w:r>
          </w:p>
        </w:tc>
        <w:tc>
          <w:tcPr>
            <w:tcW w:w="4991" w:type="dxa"/>
            <w:gridSpan w:val="2"/>
            <w:tcBorders>
              <w:top w:val="single" w:sz="4" w:space="0" w:color="auto"/>
            </w:tcBorders>
          </w:tcPr>
          <w:p w14:paraId="0A8089BA"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This measure is concerned with traditions, institutions, and processes whereby authority acts in a nation: more particularly, the capacity of government to design and implement effective policies and encourage citizen participation.</w:t>
            </w:r>
          </w:p>
        </w:tc>
      </w:tr>
      <w:tr w:rsidR="00BD0E0F" w:rsidRPr="00BD0E0F" w14:paraId="442D824C" w14:textId="77777777" w:rsidTr="00CD76A7">
        <w:trPr>
          <w:trHeight w:val="219"/>
          <w:jc w:val="center"/>
        </w:trPr>
        <w:tc>
          <w:tcPr>
            <w:tcW w:w="3058" w:type="dxa"/>
          </w:tcPr>
          <w:p w14:paraId="5A46EF2D"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Regulatory quality</w:t>
            </w:r>
          </w:p>
        </w:tc>
        <w:tc>
          <w:tcPr>
            <w:tcW w:w="1256" w:type="dxa"/>
          </w:tcPr>
          <w:p w14:paraId="6E527680"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RQ</w:t>
            </w:r>
          </w:p>
        </w:tc>
        <w:tc>
          <w:tcPr>
            <w:tcW w:w="4991" w:type="dxa"/>
            <w:gridSpan w:val="2"/>
          </w:tcPr>
          <w:p w14:paraId="6C98FCF7"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Government capability to formulate and implement suitable policies and regulations to address private sector development is, above all else, reflected in this measure. It will also reflect one's perceptions about regulation and the burden, as well as fairness.</w:t>
            </w:r>
          </w:p>
        </w:tc>
      </w:tr>
      <w:tr w:rsidR="00BD0E0F" w:rsidRPr="00BD0E0F" w14:paraId="48C32CDD" w14:textId="77777777" w:rsidTr="00CD76A7">
        <w:trPr>
          <w:trHeight w:val="219"/>
          <w:jc w:val="center"/>
        </w:trPr>
        <w:tc>
          <w:tcPr>
            <w:tcW w:w="3058" w:type="dxa"/>
          </w:tcPr>
          <w:p w14:paraId="20EC6D1C"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**Rule of Law</w:t>
            </w:r>
          </w:p>
        </w:tc>
        <w:tc>
          <w:tcPr>
            <w:tcW w:w="1256" w:type="dxa"/>
          </w:tcPr>
          <w:p w14:paraId="29229A4C"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RL</w:t>
            </w:r>
          </w:p>
        </w:tc>
        <w:tc>
          <w:tcPr>
            <w:tcW w:w="4991" w:type="dxa"/>
            <w:gridSpan w:val="2"/>
          </w:tcPr>
          <w:p w14:paraId="2F862842" w14:textId="32C23CE3" w:rsidR="00A902EA" w:rsidRPr="00BD0E0F" w:rsidRDefault="00A902EA" w:rsidP="0012285D">
            <w:pPr>
              <w:jc w:val="both"/>
              <w:rPr>
                <w:rFonts w:ascii="Calibri" w:hAnsi="Calibri" w:cs="Calibri"/>
                <w:sz w:val="16"/>
                <w:szCs w:val="16"/>
              </w:rPr>
            </w:pPr>
            <w:r w:rsidRPr="00BD0E0F">
              <w:rPr>
                <w:rFonts w:ascii="Calibri" w:hAnsi="Calibri" w:cs="Calibri"/>
                <w:sz w:val="16"/>
                <w:szCs w:val="16"/>
              </w:rPr>
              <w:t xml:space="preserve">Other agents have ideas and trust about how society </w:t>
            </w:r>
            <w:r w:rsidR="0012285D" w:rsidRPr="00BD0E0F">
              <w:rPr>
                <w:rFonts w:ascii="Calibri" w:hAnsi="Calibri" w:cs="Calibri"/>
                <w:sz w:val="16"/>
                <w:szCs w:val="16"/>
              </w:rPr>
              <w:t>operates, for</w:t>
            </w:r>
            <w:r w:rsidRPr="00BD0E0F">
              <w:rPr>
                <w:rFonts w:ascii="Calibri" w:hAnsi="Calibri" w:cs="Calibri"/>
                <w:sz w:val="16"/>
                <w:szCs w:val="16"/>
              </w:rPr>
              <w:t xml:space="preserve"> example, rule enforcement contracts, property rights, and justice systems of a country. Legal integrity and order, therefore, reflect on this.</w:t>
            </w:r>
          </w:p>
        </w:tc>
      </w:tr>
      <w:tr w:rsidR="00BD0E0F" w:rsidRPr="00BD0E0F" w14:paraId="343F5675" w14:textId="77777777" w:rsidTr="00CD76A7">
        <w:trPr>
          <w:trHeight w:val="219"/>
          <w:jc w:val="center"/>
        </w:trPr>
        <w:tc>
          <w:tcPr>
            <w:tcW w:w="3058" w:type="dxa"/>
            <w:tcBorders>
              <w:bottom w:val="single" w:sz="4" w:space="0" w:color="auto"/>
            </w:tcBorders>
          </w:tcPr>
          <w:p w14:paraId="029CFFAB"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**Government effectiveness</w:t>
            </w:r>
          </w:p>
        </w:tc>
        <w:tc>
          <w:tcPr>
            <w:tcW w:w="1256" w:type="dxa"/>
            <w:tcBorders>
              <w:bottom w:val="single" w:sz="4" w:space="0" w:color="auto"/>
            </w:tcBorders>
          </w:tcPr>
          <w:p w14:paraId="5C08ED61"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GE</w:t>
            </w:r>
          </w:p>
        </w:tc>
        <w:tc>
          <w:tcPr>
            <w:tcW w:w="4991" w:type="dxa"/>
            <w:gridSpan w:val="2"/>
            <w:tcBorders>
              <w:bottom w:val="single" w:sz="4" w:space="0" w:color="auto"/>
            </w:tcBorders>
          </w:tcPr>
          <w:p w14:paraId="5D878D29"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What is meant here is the evaluation of the quality of public service, civil services' competence, and the people's credibility in the government's commitment to its policies. This encompasses institutional capacity and the quality of bureaucracies.</w:t>
            </w:r>
          </w:p>
        </w:tc>
      </w:tr>
      <w:tr w:rsidR="00BD0E0F" w:rsidRPr="00BD0E0F" w14:paraId="65A6B2A7" w14:textId="77777777" w:rsidTr="00CD76A7">
        <w:trPr>
          <w:jc w:val="center"/>
        </w:trPr>
        <w:tc>
          <w:tcPr>
            <w:tcW w:w="9305" w:type="dxa"/>
            <w:gridSpan w:val="4"/>
            <w:tcBorders>
              <w:top w:val="single" w:sz="4" w:space="0" w:color="auto"/>
              <w:bottom w:val="single" w:sz="4" w:space="0" w:color="auto"/>
            </w:tcBorders>
          </w:tcPr>
          <w:p w14:paraId="7CE483F1" w14:textId="77777777" w:rsidR="00A902EA" w:rsidRPr="00BD0E0F" w:rsidRDefault="00A902EA" w:rsidP="00CD76A7">
            <w:pPr>
              <w:jc w:val="center"/>
              <w:rPr>
                <w:rFonts w:ascii="Calibri" w:hAnsi="Calibri" w:cs="Calibri"/>
                <w:b/>
                <w:bCs/>
                <w:sz w:val="16"/>
                <w:szCs w:val="16"/>
              </w:rPr>
            </w:pPr>
            <w:r w:rsidRPr="00BD0E0F">
              <w:rPr>
                <w:rFonts w:ascii="Calibri" w:hAnsi="Calibri" w:cs="Calibri"/>
                <w:b/>
                <w:bCs/>
                <w:sz w:val="16"/>
                <w:szCs w:val="16"/>
              </w:rPr>
              <w:t>Dependent Variable/ Smart cities development pillars</w:t>
            </w:r>
          </w:p>
        </w:tc>
      </w:tr>
      <w:tr w:rsidR="00BD0E0F" w:rsidRPr="00BD0E0F" w14:paraId="0A7C4924" w14:textId="77777777" w:rsidTr="00CD76A7">
        <w:trPr>
          <w:jc w:val="center"/>
        </w:trPr>
        <w:tc>
          <w:tcPr>
            <w:tcW w:w="3058" w:type="dxa"/>
            <w:tcBorders>
              <w:top w:val="single" w:sz="4" w:space="0" w:color="auto"/>
            </w:tcBorders>
          </w:tcPr>
          <w:p w14:paraId="4720A57B"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****operational of sustainable smart cities</w:t>
            </w:r>
          </w:p>
        </w:tc>
        <w:tc>
          <w:tcPr>
            <w:tcW w:w="1256" w:type="dxa"/>
            <w:tcBorders>
              <w:top w:val="single" w:sz="4" w:space="0" w:color="auto"/>
            </w:tcBorders>
          </w:tcPr>
          <w:p w14:paraId="4A794057"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OSCC</w:t>
            </w:r>
          </w:p>
        </w:tc>
        <w:tc>
          <w:tcPr>
            <w:tcW w:w="4991" w:type="dxa"/>
            <w:gridSpan w:val="2"/>
            <w:tcBorders>
              <w:top w:val="single" w:sz="4" w:space="0" w:color="auto"/>
            </w:tcBorders>
          </w:tcPr>
          <w:p w14:paraId="28A62F96" w14:textId="77777777" w:rsidR="00A902EA" w:rsidRPr="00BD0E0F" w:rsidRDefault="00A902EA" w:rsidP="00CD76A7">
            <w:pPr>
              <w:jc w:val="both"/>
              <w:rPr>
                <w:rFonts w:ascii="Calibri" w:hAnsi="Calibri" w:cs="Calibri"/>
                <w:sz w:val="16"/>
                <w:szCs w:val="16"/>
                <w:shd w:val="clear" w:color="auto" w:fill="FFFFFF"/>
              </w:rPr>
            </w:pPr>
            <w:r w:rsidRPr="00BD0E0F">
              <w:rPr>
                <w:rFonts w:ascii="Calibri" w:hAnsi="Calibri" w:cs="Calibri"/>
                <w:sz w:val="16"/>
                <w:szCs w:val="16"/>
                <w:shd w:val="clear" w:color="auto" w:fill="FFFFFF"/>
              </w:rPr>
              <w:t>The above-mentioned are the fundamental dimensions that need to be addressed in the context of the successful completion of a smart city program involving rating, structure, and technology of the smart city. These three pillars, therefore, serve as the building blocks for an environmentally sustainable, socially inclusive, and technologically integrated development of cities.</w:t>
            </w:r>
          </w:p>
        </w:tc>
      </w:tr>
      <w:tr w:rsidR="00BD0E0F" w:rsidRPr="00BD0E0F" w14:paraId="5B64D463" w14:textId="77777777" w:rsidTr="00CD76A7">
        <w:trPr>
          <w:jc w:val="center"/>
        </w:trPr>
        <w:tc>
          <w:tcPr>
            <w:tcW w:w="3058" w:type="dxa"/>
          </w:tcPr>
          <w:p w14:paraId="5D0E8DAB"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****Smart cities rating</w:t>
            </w:r>
          </w:p>
        </w:tc>
        <w:tc>
          <w:tcPr>
            <w:tcW w:w="1256" w:type="dxa"/>
          </w:tcPr>
          <w:p w14:paraId="125DBDAE"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SC</w:t>
            </w:r>
          </w:p>
        </w:tc>
        <w:tc>
          <w:tcPr>
            <w:tcW w:w="4991" w:type="dxa"/>
            <w:gridSpan w:val="2"/>
          </w:tcPr>
          <w:p w14:paraId="3142668C" w14:textId="77777777" w:rsidR="00A902EA" w:rsidRPr="00BD0E0F" w:rsidRDefault="00A902EA" w:rsidP="00CD76A7">
            <w:pPr>
              <w:jc w:val="both"/>
              <w:rPr>
                <w:rFonts w:ascii="Calibri" w:hAnsi="Calibri" w:cs="Calibri"/>
                <w:sz w:val="16"/>
                <w:szCs w:val="16"/>
                <w:shd w:val="clear" w:color="auto" w:fill="FFFFFF"/>
              </w:rPr>
            </w:pPr>
            <w:r w:rsidRPr="00BD0E0F">
              <w:rPr>
                <w:rFonts w:ascii="Calibri" w:hAnsi="Calibri" w:cs="Calibri"/>
                <w:sz w:val="16"/>
                <w:szCs w:val="16"/>
                <w:shd w:val="clear" w:color="auto" w:fill="FFFFFF"/>
              </w:rPr>
              <w:t>Evaluation refers mainly to cities' profitability measurements in strategic areas of development, such as digital infrastructure, sustainability, public services, and quality of life. Ultimately, the ratings serve as a basis for comparison of the innovation of cities.</w:t>
            </w:r>
          </w:p>
        </w:tc>
      </w:tr>
      <w:tr w:rsidR="00BD0E0F" w:rsidRPr="00BD0E0F" w14:paraId="5AC6B86E" w14:textId="77777777" w:rsidTr="00CD76A7">
        <w:trPr>
          <w:jc w:val="center"/>
        </w:trPr>
        <w:tc>
          <w:tcPr>
            <w:tcW w:w="3058" w:type="dxa"/>
          </w:tcPr>
          <w:p w14:paraId="4634B766"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xml:space="preserve">****Structure  </w:t>
            </w:r>
          </w:p>
        </w:tc>
        <w:tc>
          <w:tcPr>
            <w:tcW w:w="1256" w:type="dxa"/>
          </w:tcPr>
          <w:p w14:paraId="6F6CB14C"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ST</w:t>
            </w:r>
          </w:p>
        </w:tc>
        <w:tc>
          <w:tcPr>
            <w:tcW w:w="4991" w:type="dxa"/>
            <w:gridSpan w:val="2"/>
          </w:tcPr>
          <w:p w14:paraId="37DAAA5E" w14:textId="77777777" w:rsidR="00A902EA" w:rsidRPr="00BD0E0F" w:rsidRDefault="00A902EA" w:rsidP="00CD76A7">
            <w:pPr>
              <w:jc w:val="both"/>
              <w:rPr>
                <w:rFonts w:ascii="Calibri" w:hAnsi="Calibri" w:cs="Calibri"/>
                <w:sz w:val="16"/>
                <w:szCs w:val="16"/>
                <w:shd w:val="clear" w:color="auto" w:fill="FFFFFF"/>
              </w:rPr>
            </w:pPr>
            <w:r w:rsidRPr="00BD0E0F">
              <w:rPr>
                <w:rFonts w:ascii="Calibri" w:hAnsi="Calibri" w:cs="Calibri"/>
                <w:sz w:val="16"/>
                <w:szCs w:val="16"/>
                <w:shd w:val="clear" w:color="auto" w:fill="FFFFFF"/>
              </w:rPr>
              <w:t>A setting for infrastructural systems refers to a theoretical infrastructural arrangement encompassing physical and organisational infrastructure, transport systems, energy grids, housing, and public spaces necessary for effective and sustainable living in cities, which enable the true functioning of smart services.</w:t>
            </w:r>
          </w:p>
        </w:tc>
      </w:tr>
      <w:tr w:rsidR="00BD0E0F" w:rsidRPr="00BD0E0F" w14:paraId="5E50C2FB" w14:textId="77777777" w:rsidTr="00CD76A7">
        <w:trPr>
          <w:jc w:val="center"/>
        </w:trPr>
        <w:tc>
          <w:tcPr>
            <w:tcW w:w="3058" w:type="dxa"/>
            <w:tcBorders>
              <w:bottom w:val="single" w:sz="4" w:space="0" w:color="auto"/>
            </w:tcBorders>
          </w:tcPr>
          <w:p w14:paraId="149E3D77"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xml:space="preserve">****Technology </w:t>
            </w:r>
          </w:p>
        </w:tc>
        <w:tc>
          <w:tcPr>
            <w:tcW w:w="1256" w:type="dxa"/>
            <w:tcBorders>
              <w:bottom w:val="single" w:sz="4" w:space="0" w:color="auto"/>
            </w:tcBorders>
          </w:tcPr>
          <w:p w14:paraId="15A8A81E"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TE</w:t>
            </w:r>
          </w:p>
        </w:tc>
        <w:tc>
          <w:tcPr>
            <w:tcW w:w="4991" w:type="dxa"/>
            <w:gridSpan w:val="2"/>
            <w:tcBorders>
              <w:bottom w:val="single" w:sz="4" w:space="0" w:color="auto"/>
            </w:tcBorders>
          </w:tcPr>
          <w:p w14:paraId="02464EFC" w14:textId="77777777" w:rsidR="00A902EA" w:rsidRPr="00BD0E0F" w:rsidRDefault="00A902EA" w:rsidP="00CD76A7">
            <w:pPr>
              <w:jc w:val="both"/>
              <w:rPr>
                <w:rFonts w:ascii="Calibri" w:hAnsi="Calibri" w:cs="Calibri"/>
                <w:sz w:val="16"/>
                <w:szCs w:val="16"/>
                <w:shd w:val="clear" w:color="auto" w:fill="FFFFFF"/>
              </w:rPr>
            </w:pPr>
            <w:r w:rsidRPr="00BD0E0F">
              <w:rPr>
                <w:rFonts w:ascii="Calibri" w:hAnsi="Calibri" w:cs="Calibri"/>
                <w:sz w:val="16"/>
                <w:szCs w:val="16"/>
                <w:shd w:val="clear" w:color="auto" w:fill="FFFFFF"/>
              </w:rPr>
              <w:t xml:space="preserve">Technologies are called information technology and include </w:t>
            </w:r>
            <w:proofErr w:type="spellStart"/>
            <w:r w:rsidRPr="00BD0E0F">
              <w:rPr>
                <w:rFonts w:ascii="Calibri" w:hAnsi="Calibri" w:cs="Calibri"/>
                <w:sz w:val="16"/>
                <w:szCs w:val="16"/>
                <w:shd w:val="clear" w:color="auto" w:fill="FFFFFF"/>
              </w:rPr>
              <w:t>IoT</w:t>
            </w:r>
            <w:proofErr w:type="spellEnd"/>
            <w:r w:rsidRPr="00BD0E0F">
              <w:rPr>
                <w:rFonts w:ascii="Calibri" w:hAnsi="Calibri" w:cs="Calibri"/>
                <w:sz w:val="16"/>
                <w:szCs w:val="16"/>
                <w:shd w:val="clear" w:color="auto" w:fill="FFFFFF"/>
              </w:rPr>
              <w:t>, AI, big data, and cloud platforms that enhance service delivery, infrastructure, and citizen participation in a smart city environment. Such an environment allows an ecosystem of real-time data-driven governance and innovations.</w:t>
            </w:r>
          </w:p>
        </w:tc>
      </w:tr>
      <w:tr w:rsidR="00BD0E0F" w:rsidRPr="00BD0E0F" w14:paraId="67419E3D" w14:textId="77777777" w:rsidTr="00CD76A7">
        <w:trPr>
          <w:jc w:val="center"/>
        </w:trPr>
        <w:tc>
          <w:tcPr>
            <w:tcW w:w="9305" w:type="dxa"/>
            <w:gridSpan w:val="4"/>
            <w:tcBorders>
              <w:top w:val="single" w:sz="4" w:space="0" w:color="auto"/>
              <w:bottom w:val="single" w:sz="4" w:space="0" w:color="auto"/>
            </w:tcBorders>
          </w:tcPr>
          <w:p w14:paraId="5B55022F" w14:textId="77777777" w:rsidR="00A902EA" w:rsidRPr="00BD0E0F" w:rsidRDefault="00A902EA" w:rsidP="00CD76A7">
            <w:pPr>
              <w:jc w:val="center"/>
              <w:rPr>
                <w:rFonts w:ascii="Calibri" w:hAnsi="Calibri" w:cs="Calibri"/>
                <w:b/>
                <w:bCs/>
                <w:sz w:val="16"/>
                <w:szCs w:val="16"/>
              </w:rPr>
            </w:pPr>
            <w:r w:rsidRPr="00BD0E0F">
              <w:rPr>
                <w:rFonts w:ascii="Calibri" w:hAnsi="Calibri" w:cs="Calibri"/>
                <w:b/>
                <w:bCs/>
                <w:sz w:val="16"/>
                <w:szCs w:val="16"/>
              </w:rPr>
              <w:t>Control Variables</w:t>
            </w:r>
          </w:p>
        </w:tc>
      </w:tr>
      <w:tr w:rsidR="00BD0E0F" w:rsidRPr="00BD0E0F" w14:paraId="5A6F9F6A" w14:textId="77777777" w:rsidTr="00CD76A7">
        <w:trPr>
          <w:jc w:val="center"/>
        </w:trPr>
        <w:tc>
          <w:tcPr>
            <w:tcW w:w="3058" w:type="dxa"/>
            <w:tcBorders>
              <w:top w:val="single" w:sz="4" w:space="0" w:color="auto"/>
            </w:tcBorders>
          </w:tcPr>
          <w:p w14:paraId="5B6069D8"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xml:space="preserve">***Human Development Index </w:t>
            </w:r>
          </w:p>
        </w:tc>
        <w:tc>
          <w:tcPr>
            <w:tcW w:w="1256" w:type="dxa"/>
            <w:tcBorders>
              <w:top w:val="single" w:sz="4" w:space="0" w:color="auto"/>
            </w:tcBorders>
          </w:tcPr>
          <w:p w14:paraId="1CC95B96"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HDI</w:t>
            </w:r>
          </w:p>
        </w:tc>
        <w:tc>
          <w:tcPr>
            <w:tcW w:w="4991" w:type="dxa"/>
            <w:gridSpan w:val="2"/>
            <w:tcBorders>
              <w:top w:val="single" w:sz="4" w:space="0" w:color="auto"/>
            </w:tcBorders>
          </w:tcPr>
          <w:p w14:paraId="73CB5458"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Such composite indicators reflect the average performance of a country in health, as measured by life expectancy, education, as indicated by years of schooling, and standard of living as indicated by GNI per capita. It reflects overall human well-being beyond purely economic measures.</w:t>
            </w:r>
          </w:p>
        </w:tc>
      </w:tr>
      <w:tr w:rsidR="00BD0E0F" w:rsidRPr="00BD0E0F" w14:paraId="7D13B1CF" w14:textId="77777777" w:rsidTr="00CD76A7">
        <w:trPr>
          <w:trHeight w:val="194"/>
          <w:jc w:val="center"/>
        </w:trPr>
        <w:tc>
          <w:tcPr>
            <w:tcW w:w="3058" w:type="dxa"/>
          </w:tcPr>
          <w:p w14:paraId="074391A2"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xml:space="preserve">*Gross Domestic Product growth </w:t>
            </w:r>
          </w:p>
        </w:tc>
        <w:tc>
          <w:tcPr>
            <w:tcW w:w="1256" w:type="dxa"/>
          </w:tcPr>
          <w:p w14:paraId="4636AB73"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GDP</w:t>
            </w:r>
          </w:p>
        </w:tc>
        <w:tc>
          <w:tcPr>
            <w:tcW w:w="4991" w:type="dxa"/>
            <w:gridSpan w:val="2"/>
          </w:tcPr>
          <w:p w14:paraId="3A5C2C13" w14:textId="77777777" w:rsidR="00A902EA" w:rsidRPr="00BD0E0F" w:rsidRDefault="00A902EA" w:rsidP="00CD76A7">
            <w:pPr>
              <w:jc w:val="both"/>
              <w:rPr>
                <w:rFonts w:ascii="Calibri" w:hAnsi="Calibri" w:cs="Calibri"/>
                <w:sz w:val="16"/>
                <w:szCs w:val="16"/>
                <w:lang w:bidi="ar-OM"/>
              </w:rPr>
            </w:pPr>
            <w:r w:rsidRPr="00BD0E0F">
              <w:rPr>
                <w:rFonts w:ascii="Calibri" w:hAnsi="Calibri" w:cs="Calibri"/>
                <w:sz w:val="16"/>
                <w:szCs w:val="16"/>
              </w:rPr>
              <w:t>This considers everything that is a final good or service within a specified time frame that is produced within the national borders of a country. This is most often used to measure an economic performance and thus indicates the size and state of any economy.</w:t>
            </w:r>
          </w:p>
        </w:tc>
      </w:tr>
      <w:tr w:rsidR="00BD0E0F" w:rsidRPr="00BD0E0F" w14:paraId="2D8031B5" w14:textId="77777777" w:rsidTr="00CD76A7">
        <w:trPr>
          <w:jc w:val="center"/>
        </w:trPr>
        <w:tc>
          <w:tcPr>
            <w:tcW w:w="3058" w:type="dxa"/>
            <w:tcBorders>
              <w:bottom w:val="single" w:sz="4" w:space="0" w:color="auto"/>
            </w:tcBorders>
          </w:tcPr>
          <w:p w14:paraId="77995B64"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 xml:space="preserve">*Inflation rate measured by inflation, consumer prices (annual%) </w:t>
            </w:r>
          </w:p>
        </w:tc>
        <w:tc>
          <w:tcPr>
            <w:tcW w:w="1256" w:type="dxa"/>
            <w:tcBorders>
              <w:bottom w:val="single" w:sz="4" w:space="0" w:color="auto"/>
            </w:tcBorders>
          </w:tcPr>
          <w:p w14:paraId="5153FBA5"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CPI</w:t>
            </w:r>
          </w:p>
        </w:tc>
        <w:tc>
          <w:tcPr>
            <w:tcW w:w="4991" w:type="dxa"/>
            <w:gridSpan w:val="2"/>
            <w:tcBorders>
              <w:bottom w:val="single" w:sz="4" w:space="0" w:color="auto"/>
            </w:tcBorders>
          </w:tcPr>
          <w:p w14:paraId="1DE9CD93" w14:textId="77777777" w:rsidR="00A902EA" w:rsidRPr="00BD0E0F" w:rsidRDefault="00A902EA" w:rsidP="00CD76A7">
            <w:pPr>
              <w:jc w:val="both"/>
              <w:rPr>
                <w:rFonts w:ascii="Calibri" w:hAnsi="Calibri" w:cs="Calibri"/>
                <w:sz w:val="16"/>
                <w:szCs w:val="16"/>
              </w:rPr>
            </w:pPr>
            <w:r w:rsidRPr="00BD0E0F">
              <w:rPr>
                <w:rFonts w:ascii="Calibri" w:hAnsi="Calibri" w:cs="Calibri"/>
                <w:sz w:val="16"/>
                <w:szCs w:val="16"/>
              </w:rPr>
              <w:t>The average change in prices for a basket of goods and services purchased by consumers at different times is referred to as a measure. It is also regarded as an inflation or cost-of-living measure.</w:t>
            </w:r>
          </w:p>
        </w:tc>
      </w:tr>
      <w:tr w:rsidR="00AE1A6F" w:rsidRPr="00BD0E0F" w14:paraId="1F45CAB1" w14:textId="77777777" w:rsidTr="00CD76A7">
        <w:trPr>
          <w:gridAfter w:val="1"/>
          <w:wAfter w:w="64" w:type="dxa"/>
          <w:jc w:val="center"/>
        </w:trPr>
        <w:tc>
          <w:tcPr>
            <w:tcW w:w="9241" w:type="dxa"/>
            <w:gridSpan w:val="3"/>
          </w:tcPr>
          <w:p w14:paraId="29FFB42A" w14:textId="77777777" w:rsidR="00A902EA" w:rsidRPr="00BD0E0F" w:rsidRDefault="00A902EA" w:rsidP="00CD76A7">
            <w:pPr>
              <w:jc w:val="both"/>
              <w:rPr>
                <w:rFonts w:ascii="Calibri" w:hAnsi="Calibri" w:cs="Calibri"/>
                <w:sz w:val="16"/>
                <w:szCs w:val="16"/>
              </w:rPr>
            </w:pPr>
            <w:r w:rsidRPr="00BD0E0F">
              <w:rPr>
                <w:rFonts w:ascii="Calibri" w:hAnsi="Calibri" w:cs="Calibri"/>
                <w:b/>
                <w:bCs/>
                <w:sz w:val="16"/>
                <w:szCs w:val="16"/>
              </w:rPr>
              <w:t>Sources: *</w:t>
            </w:r>
            <w:r w:rsidRPr="00BD0E0F">
              <w:rPr>
                <w:rFonts w:ascii="Calibri" w:hAnsi="Calibri" w:cs="Calibri"/>
                <w:sz w:val="16"/>
                <w:szCs w:val="16"/>
              </w:rPr>
              <w:t xml:space="preserve">World Development Indicators (WDI, 2025), **Worldwide Governance Indicators (WGI, 2025, ***Human Development Reports (UNDP, 2025), and ****IMD Smart City Index from 2021-2025. </w:t>
            </w:r>
          </w:p>
          <w:p w14:paraId="51AF66B4" w14:textId="77777777" w:rsidR="00A902EA" w:rsidRPr="00BD0E0F" w:rsidRDefault="00A902EA" w:rsidP="00CD76A7">
            <w:pPr>
              <w:jc w:val="both"/>
              <w:rPr>
                <w:rFonts w:ascii="Calibri" w:hAnsi="Calibri" w:cs="Calibri"/>
                <w:sz w:val="16"/>
                <w:szCs w:val="16"/>
              </w:rPr>
            </w:pPr>
            <w:r w:rsidRPr="00BD0E0F">
              <w:rPr>
                <w:rFonts w:ascii="Calibri" w:hAnsi="Calibri" w:cs="Calibri"/>
                <w:b/>
                <w:bCs/>
                <w:sz w:val="16"/>
                <w:szCs w:val="16"/>
              </w:rPr>
              <w:t xml:space="preserve">Ranked top 20 smart cities in 2025 (In Order): </w:t>
            </w:r>
            <w:r w:rsidRPr="00BD0E0F">
              <w:rPr>
                <w:rFonts w:ascii="Calibri" w:hAnsi="Calibri" w:cs="Calibri"/>
                <w:sz w:val="16"/>
                <w:szCs w:val="16"/>
              </w:rPr>
              <w:t xml:space="preserve">Zurich, Oslo, Geneva, Dubai, Abu Dhabi, London, Copenhagen, Canberra, Singapore, Lausanne, Helsinki, Prague, Seoul, Beijing, Shanghai, Ljubljana, Amsterdam, Stockholm, Hong Kong, Hamburg. </w:t>
            </w:r>
          </w:p>
          <w:p w14:paraId="5103F11D" w14:textId="77777777" w:rsidR="00A902EA" w:rsidRPr="00BD0E0F" w:rsidRDefault="00A902EA" w:rsidP="00CD76A7">
            <w:pPr>
              <w:jc w:val="both"/>
              <w:rPr>
                <w:rFonts w:ascii="Calibri" w:hAnsi="Calibri" w:cs="Calibri"/>
                <w:sz w:val="16"/>
                <w:szCs w:val="16"/>
              </w:rPr>
            </w:pPr>
            <w:r w:rsidRPr="00BD0E0F">
              <w:rPr>
                <w:rFonts w:ascii="Calibri" w:hAnsi="Calibri" w:cs="Calibri"/>
                <w:b/>
                <w:bCs/>
                <w:sz w:val="16"/>
                <w:szCs w:val="16"/>
              </w:rPr>
              <w:t>Methodology Measures</w:t>
            </w:r>
            <w:r w:rsidRPr="00BD0E0F">
              <w:rPr>
                <w:rFonts w:ascii="Calibri" w:hAnsi="Calibri" w:cs="Calibri"/>
                <w:sz w:val="16"/>
                <w:szCs w:val="16"/>
              </w:rPr>
              <w:t xml:space="preserve">: Governance indicators are measured by a score between approximately -2.5 (weak governance) and +2.5 (strong governance).  Smart cities' pillars are measured by rating AAA, AA, A from score 1-3, then BBB, BB, B from score 4-6, CCC, CC, C from score 7-9, and D is the rating score 10. </w:t>
            </w:r>
          </w:p>
        </w:tc>
      </w:tr>
    </w:tbl>
    <w:p w14:paraId="1F1DBBBE" w14:textId="77777777" w:rsidR="00022F2A" w:rsidRPr="00BD0E0F" w:rsidRDefault="00022F2A" w:rsidP="00071936">
      <w:pPr>
        <w:widowControl w:val="0"/>
        <w:autoSpaceDE w:val="0"/>
        <w:autoSpaceDN w:val="0"/>
        <w:spacing w:after="0" w:line="240" w:lineRule="auto"/>
        <w:ind w:right="111"/>
        <w:jc w:val="both"/>
        <w:rPr>
          <w:rFonts w:eastAsia="Times New Roman" w:cstheme="minorHAnsi"/>
          <w:kern w:val="0"/>
          <w:sz w:val="20"/>
          <w:szCs w:val="20"/>
          <w:rtl/>
          <w:lang w:eastAsia="en-GB"/>
          <w14:ligatures w14:val="none"/>
        </w:rPr>
      </w:pPr>
    </w:p>
    <w:sectPr w:rsidR="00022F2A" w:rsidRPr="00BD0E0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F012D" w14:textId="77777777" w:rsidR="00F83CDB" w:rsidRDefault="00F83CDB" w:rsidP="009E3ADF">
      <w:pPr>
        <w:spacing w:after="0" w:line="240" w:lineRule="auto"/>
      </w:pPr>
      <w:r>
        <w:separator/>
      </w:r>
    </w:p>
  </w:endnote>
  <w:endnote w:type="continuationSeparator" w:id="0">
    <w:p w14:paraId="7B6C2036" w14:textId="77777777" w:rsidR="00F83CDB" w:rsidRDefault="00F83CDB" w:rsidP="009E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39104"/>
      <w:docPartObj>
        <w:docPartGallery w:val="Page Numbers (Bottom of Page)"/>
        <w:docPartUnique/>
      </w:docPartObj>
    </w:sdtPr>
    <w:sdtEndPr>
      <w:rPr>
        <w:noProof/>
      </w:rPr>
    </w:sdtEndPr>
    <w:sdtContent>
      <w:p w14:paraId="47CA8D9E" w14:textId="0A91DE03" w:rsidR="00BD0E0F" w:rsidRDefault="00BD0E0F">
        <w:pPr>
          <w:pStyle w:val="Footer"/>
          <w:jc w:val="center"/>
        </w:pPr>
        <w:r>
          <w:fldChar w:fldCharType="begin"/>
        </w:r>
        <w:r>
          <w:instrText xml:space="preserve"> PAGE   \* MERGEFORMAT </w:instrText>
        </w:r>
        <w:r>
          <w:fldChar w:fldCharType="separate"/>
        </w:r>
        <w:r w:rsidR="00CD4F63">
          <w:rPr>
            <w:noProof/>
          </w:rPr>
          <w:t>1</w:t>
        </w:r>
        <w:r>
          <w:rPr>
            <w:noProof/>
          </w:rPr>
          <w:fldChar w:fldCharType="end"/>
        </w:r>
      </w:p>
    </w:sdtContent>
  </w:sdt>
  <w:p w14:paraId="40A7B047" w14:textId="77777777" w:rsidR="00BD0E0F" w:rsidRDefault="00BD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7B12" w14:textId="77777777" w:rsidR="00F83CDB" w:rsidRDefault="00F83CDB" w:rsidP="009E3ADF">
      <w:pPr>
        <w:spacing w:after="0" w:line="240" w:lineRule="auto"/>
      </w:pPr>
      <w:r>
        <w:separator/>
      </w:r>
    </w:p>
  </w:footnote>
  <w:footnote w:type="continuationSeparator" w:id="0">
    <w:p w14:paraId="4559B675" w14:textId="77777777" w:rsidR="00F83CDB" w:rsidRDefault="00F83CDB" w:rsidP="009E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E383A"/>
    <w:multiLevelType w:val="hybridMultilevel"/>
    <w:tmpl w:val="41641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FC175D"/>
    <w:multiLevelType w:val="hybridMultilevel"/>
    <w:tmpl w:val="FF9A5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97012"/>
    <w:multiLevelType w:val="multilevel"/>
    <w:tmpl w:val="69C08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B9"/>
    <w:rsid w:val="00002BCC"/>
    <w:rsid w:val="00003201"/>
    <w:rsid w:val="00006524"/>
    <w:rsid w:val="0001438D"/>
    <w:rsid w:val="00022BD6"/>
    <w:rsid w:val="00022D4C"/>
    <w:rsid w:val="00022F2A"/>
    <w:rsid w:val="0002485B"/>
    <w:rsid w:val="00031F03"/>
    <w:rsid w:val="00047579"/>
    <w:rsid w:val="00050F5E"/>
    <w:rsid w:val="00071936"/>
    <w:rsid w:val="0007359D"/>
    <w:rsid w:val="0007560A"/>
    <w:rsid w:val="0007654A"/>
    <w:rsid w:val="00076A60"/>
    <w:rsid w:val="000803F9"/>
    <w:rsid w:val="0008185C"/>
    <w:rsid w:val="0009013F"/>
    <w:rsid w:val="000A7D50"/>
    <w:rsid w:val="000B5B3C"/>
    <w:rsid w:val="000D08C4"/>
    <w:rsid w:val="000D3D93"/>
    <w:rsid w:val="000D7858"/>
    <w:rsid w:val="000E2608"/>
    <w:rsid w:val="000E5CAA"/>
    <w:rsid w:val="000E5D3F"/>
    <w:rsid w:val="000E63AD"/>
    <w:rsid w:val="00100F63"/>
    <w:rsid w:val="00105645"/>
    <w:rsid w:val="0011092C"/>
    <w:rsid w:val="00115D70"/>
    <w:rsid w:val="0012285D"/>
    <w:rsid w:val="00125930"/>
    <w:rsid w:val="001360F8"/>
    <w:rsid w:val="00141DA0"/>
    <w:rsid w:val="00146F6F"/>
    <w:rsid w:val="00150A17"/>
    <w:rsid w:val="001558FB"/>
    <w:rsid w:val="0016483C"/>
    <w:rsid w:val="001668FB"/>
    <w:rsid w:val="00167923"/>
    <w:rsid w:val="00174D2E"/>
    <w:rsid w:val="001A70FF"/>
    <w:rsid w:val="001B1F9B"/>
    <w:rsid w:val="001B3774"/>
    <w:rsid w:val="001B7B14"/>
    <w:rsid w:val="001C582A"/>
    <w:rsid w:val="001C756B"/>
    <w:rsid w:val="001E1E15"/>
    <w:rsid w:val="001E5648"/>
    <w:rsid w:val="001F0946"/>
    <w:rsid w:val="001F28CC"/>
    <w:rsid w:val="00204309"/>
    <w:rsid w:val="00204EB4"/>
    <w:rsid w:val="002143DD"/>
    <w:rsid w:val="00215503"/>
    <w:rsid w:val="002228AE"/>
    <w:rsid w:val="00222C3C"/>
    <w:rsid w:val="00246960"/>
    <w:rsid w:val="00251222"/>
    <w:rsid w:val="00265E41"/>
    <w:rsid w:val="00266EE6"/>
    <w:rsid w:val="00267633"/>
    <w:rsid w:val="0028038B"/>
    <w:rsid w:val="002826C3"/>
    <w:rsid w:val="00292E2F"/>
    <w:rsid w:val="00296B22"/>
    <w:rsid w:val="002975D1"/>
    <w:rsid w:val="002A0FB5"/>
    <w:rsid w:val="002A653A"/>
    <w:rsid w:val="002B339F"/>
    <w:rsid w:val="002C303E"/>
    <w:rsid w:val="002C3875"/>
    <w:rsid w:val="002C4043"/>
    <w:rsid w:val="002C706B"/>
    <w:rsid w:val="002E0601"/>
    <w:rsid w:val="002E2E38"/>
    <w:rsid w:val="002F17E0"/>
    <w:rsid w:val="002F6640"/>
    <w:rsid w:val="002F72CB"/>
    <w:rsid w:val="0030441D"/>
    <w:rsid w:val="003075E8"/>
    <w:rsid w:val="00307D16"/>
    <w:rsid w:val="00311A9E"/>
    <w:rsid w:val="003150E4"/>
    <w:rsid w:val="00322F0E"/>
    <w:rsid w:val="00330B96"/>
    <w:rsid w:val="00334580"/>
    <w:rsid w:val="00342C69"/>
    <w:rsid w:val="003449B1"/>
    <w:rsid w:val="003504FC"/>
    <w:rsid w:val="0035367A"/>
    <w:rsid w:val="0035367F"/>
    <w:rsid w:val="003552FE"/>
    <w:rsid w:val="0035789A"/>
    <w:rsid w:val="003800EB"/>
    <w:rsid w:val="003803D9"/>
    <w:rsid w:val="0038230E"/>
    <w:rsid w:val="003864DC"/>
    <w:rsid w:val="003907A2"/>
    <w:rsid w:val="003A0B2A"/>
    <w:rsid w:val="003B0844"/>
    <w:rsid w:val="003B1776"/>
    <w:rsid w:val="003B336A"/>
    <w:rsid w:val="003B3D24"/>
    <w:rsid w:val="003D63E9"/>
    <w:rsid w:val="003E36F2"/>
    <w:rsid w:val="003E4E24"/>
    <w:rsid w:val="003E4E2C"/>
    <w:rsid w:val="003F28D2"/>
    <w:rsid w:val="00401CBD"/>
    <w:rsid w:val="004279C2"/>
    <w:rsid w:val="00432489"/>
    <w:rsid w:val="00436850"/>
    <w:rsid w:val="00476974"/>
    <w:rsid w:val="00483AF6"/>
    <w:rsid w:val="00491A1D"/>
    <w:rsid w:val="00496CAD"/>
    <w:rsid w:val="004A29FD"/>
    <w:rsid w:val="004A4C9A"/>
    <w:rsid w:val="004A5CC4"/>
    <w:rsid w:val="004A7D75"/>
    <w:rsid w:val="004B1ACE"/>
    <w:rsid w:val="004B4663"/>
    <w:rsid w:val="004C1EA5"/>
    <w:rsid w:val="004C6869"/>
    <w:rsid w:val="004C742E"/>
    <w:rsid w:val="004D19FC"/>
    <w:rsid w:val="004D1BCE"/>
    <w:rsid w:val="004D392B"/>
    <w:rsid w:val="004D7758"/>
    <w:rsid w:val="0050462E"/>
    <w:rsid w:val="00504EAD"/>
    <w:rsid w:val="00507904"/>
    <w:rsid w:val="00510F31"/>
    <w:rsid w:val="00514633"/>
    <w:rsid w:val="005225DB"/>
    <w:rsid w:val="0052412B"/>
    <w:rsid w:val="005324C5"/>
    <w:rsid w:val="00545081"/>
    <w:rsid w:val="00551943"/>
    <w:rsid w:val="00554F26"/>
    <w:rsid w:val="00573CD1"/>
    <w:rsid w:val="00580F0B"/>
    <w:rsid w:val="005863D0"/>
    <w:rsid w:val="005915F0"/>
    <w:rsid w:val="00593093"/>
    <w:rsid w:val="0059691E"/>
    <w:rsid w:val="005A0FA1"/>
    <w:rsid w:val="005C735B"/>
    <w:rsid w:val="005C77EB"/>
    <w:rsid w:val="005D1625"/>
    <w:rsid w:val="005D4412"/>
    <w:rsid w:val="005D4C06"/>
    <w:rsid w:val="005E0509"/>
    <w:rsid w:val="005E087C"/>
    <w:rsid w:val="005E4A1C"/>
    <w:rsid w:val="005E5B28"/>
    <w:rsid w:val="005E6AD0"/>
    <w:rsid w:val="005F050B"/>
    <w:rsid w:val="005F40A2"/>
    <w:rsid w:val="006225A1"/>
    <w:rsid w:val="006238D3"/>
    <w:rsid w:val="006370DE"/>
    <w:rsid w:val="006375AC"/>
    <w:rsid w:val="00647ACF"/>
    <w:rsid w:val="00653B5D"/>
    <w:rsid w:val="00655A4D"/>
    <w:rsid w:val="0067669D"/>
    <w:rsid w:val="00695806"/>
    <w:rsid w:val="006A2B63"/>
    <w:rsid w:val="006B018A"/>
    <w:rsid w:val="006B2D6A"/>
    <w:rsid w:val="006C1582"/>
    <w:rsid w:val="006C1BE0"/>
    <w:rsid w:val="006D1874"/>
    <w:rsid w:val="006D3DB9"/>
    <w:rsid w:val="006D5FF8"/>
    <w:rsid w:val="006F4083"/>
    <w:rsid w:val="006F6455"/>
    <w:rsid w:val="00703248"/>
    <w:rsid w:val="00705D4C"/>
    <w:rsid w:val="007119C5"/>
    <w:rsid w:val="007134C8"/>
    <w:rsid w:val="00716212"/>
    <w:rsid w:val="007220E8"/>
    <w:rsid w:val="00725276"/>
    <w:rsid w:val="007330EF"/>
    <w:rsid w:val="00740079"/>
    <w:rsid w:val="007411FC"/>
    <w:rsid w:val="00764FF1"/>
    <w:rsid w:val="00773B50"/>
    <w:rsid w:val="00773CF2"/>
    <w:rsid w:val="00785915"/>
    <w:rsid w:val="00790512"/>
    <w:rsid w:val="007A613E"/>
    <w:rsid w:val="007A69EA"/>
    <w:rsid w:val="007D2C46"/>
    <w:rsid w:val="007D6BBE"/>
    <w:rsid w:val="007E1D0D"/>
    <w:rsid w:val="00801A82"/>
    <w:rsid w:val="00806278"/>
    <w:rsid w:val="008063B3"/>
    <w:rsid w:val="00806950"/>
    <w:rsid w:val="0081077B"/>
    <w:rsid w:val="008151CD"/>
    <w:rsid w:val="00843A02"/>
    <w:rsid w:val="0084419D"/>
    <w:rsid w:val="0085671D"/>
    <w:rsid w:val="008569A7"/>
    <w:rsid w:val="00856F7C"/>
    <w:rsid w:val="00864735"/>
    <w:rsid w:val="0086546D"/>
    <w:rsid w:val="00867C73"/>
    <w:rsid w:val="00870D51"/>
    <w:rsid w:val="0089429B"/>
    <w:rsid w:val="00897051"/>
    <w:rsid w:val="008A1C22"/>
    <w:rsid w:val="008A7188"/>
    <w:rsid w:val="008B0201"/>
    <w:rsid w:val="008B0D44"/>
    <w:rsid w:val="008B5D77"/>
    <w:rsid w:val="008D11BD"/>
    <w:rsid w:val="008D271E"/>
    <w:rsid w:val="008D4010"/>
    <w:rsid w:val="0090494E"/>
    <w:rsid w:val="009058B1"/>
    <w:rsid w:val="009422D6"/>
    <w:rsid w:val="00954ED4"/>
    <w:rsid w:val="00976CFB"/>
    <w:rsid w:val="00982EDD"/>
    <w:rsid w:val="00983702"/>
    <w:rsid w:val="00993040"/>
    <w:rsid w:val="00993C0C"/>
    <w:rsid w:val="009B434E"/>
    <w:rsid w:val="009B48AA"/>
    <w:rsid w:val="009B7377"/>
    <w:rsid w:val="009C72C9"/>
    <w:rsid w:val="009C7702"/>
    <w:rsid w:val="009D0812"/>
    <w:rsid w:val="009D27CF"/>
    <w:rsid w:val="009D5250"/>
    <w:rsid w:val="009E3ADF"/>
    <w:rsid w:val="009E7740"/>
    <w:rsid w:val="009F069C"/>
    <w:rsid w:val="00A05260"/>
    <w:rsid w:val="00A20493"/>
    <w:rsid w:val="00A251A6"/>
    <w:rsid w:val="00A44D8B"/>
    <w:rsid w:val="00A60722"/>
    <w:rsid w:val="00A71A02"/>
    <w:rsid w:val="00A75E0E"/>
    <w:rsid w:val="00A902EA"/>
    <w:rsid w:val="00A919CE"/>
    <w:rsid w:val="00A932CF"/>
    <w:rsid w:val="00AA50BB"/>
    <w:rsid w:val="00AA65B0"/>
    <w:rsid w:val="00AB1CBD"/>
    <w:rsid w:val="00AB28B2"/>
    <w:rsid w:val="00AB36D6"/>
    <w:rsid w:val="00AB3F02"/>
    <w:rsid w:val="00AC0291"/>
    <w:rsid w:val="00AD07CC"/>
    <w:rsid w:val="00AD372F"/>
    <w:rsid w:val="00AD71CA"/>
    <w:rsid w:val="00AE1A6F"/>
    <w:rsid w:val="00AE6FA1"/>
    <w:rsid w:val="00AF778C"/>
    <w:rsid w:val="00B0292C"/>
    <w:rsid w:val="00B117AF"/>
    <w:rsid w:val="00B128D4"/>
    <w:rsid w:val="00B175A1"/>
    <w:rsid w:val="00B25611"/>
    <w:rsid w:val="00B273B8"/>
    <w:rsid w:val="00B30751"/>
    <w:rsid w:val="00B31922"/>
    <w:rsid w:val="00B373BF"/>
    <w:rsid w:val="00B45585"/>
    <w:rsid w:val="00B47FA3"/>
    <w:rsid w:val="00B5025D"/>
    <w:rsid w:val="00B5683D"/>
    <w:rsid w:val="00B60B5F"/>
    <w:rsid w:val="00B70EF0"/>
    <w:rsid w:val="00B75272"/>
    <w:rsid w:val="00B905BB"/>
    <w:rsid w:val="00B92DB8"/>
    <w:rsid w:val="00B94AEA"/>
    <w:rsid w:val="00BA1A2F"/>
    <w:rsid w:val="00BA5D50"/>
    <w:rsid w:val="00BA6778"/>
    <w:rsid w:val="00BB0598"/>
    <w:rsid w:val="00BB3C1F"/>
    <w:rsid w:val="00BB44E3"/>
    <w:rsid w:val="00BD0E0F"/>
    <w:rsid w:val="00C05A14"/>
    <w:rsid w:val="00C112D5"/>
    <w:rsid w:val="00C4208B"/>
    <w:rsid w:val="00C437F6"/>
    <w:rsid w:val="00C443E2"/>
    <w:rsid w:val="00C546FE"/>
    <w:rsid w:val="00C56E3D"/>
    <w:rsid w:val="00C6281C"/>
    <w:rsid w:val="00C671BA"/>
    <w:rsid w:val="00C70980"/>
    <w:rsid w:val="00C81ABF"/>
    <w:rsid w:val="00C9282C"/>
    <w:rsid w:val="00C97E57"/>
    <w:rsid w:val="00CB31D3"/>
    <w:rsid w:val="00CB55DE"/>
    <w:rsid w:val="00CB7188"/>
    <w:rsid w:val="00CD07A6"/>
    <w:rsid w:val="00CD2AB1"/>
    <w:rsid w:val="00CD4F63"/>
    <w:rsid w:val="00CD76A7"/>
    <w:rsid w:val="00CE0B9F"/>
    <w:rsid w:val="00CE3CF2"/>
    <w:rsid w:val="00D12BAD"/>
    <w:rsid w:val="00D141DE"/>
    <w:rsid w:val="00D27769"/>
    <w:rsid w:val="00D33664"/>
    <w:rsid w:val="00D407D7"/>
    <w:rsid w:val="00D43FB7"/>
    <w:rsid w:val="00D44885"/>
    <w:rsid w:val="00D50106"/>
    <w:rsid w:val="00D5020D"/>
    <w:rsid w:val="00D50E9E"/>
    <w:rsid w:val="00D54DBC"/>
    <w:rsid w:val="00D575E2"/>
    <w:rsid w:val="00D622F7"/>
    <w:rsid w:val="00D829C6"/>
    <w:rsid w:val="00D87D5E"/>
    <w:rsid w:val="00DA128D"/>
    <w:rsid w:val="00DC7DAB"/>
    <w:rsid w:val="00DD10B6"/>
    <w:rsid w:val="00DD2F8D"/>
    <w:rsid w:val="00DE0128"/>
    <w:rsid w:val="00DF00DE"/>
    <w:rsid w:val="00DF2FC1"/>
    <w:rsid w:val="00DF7A47"/>
    <w:rsid w:val="00E153BC"/>
    <w:rsid w:val="00E271CB"/>
    <w:rsid w:val="00E31AB2"/>
    <w:rsid w:val="00E31D36"/>
    <w:rsid w:val="00E416D8"/>
    <w:rsid w:val="00E45D00"/>
    <w:rsid w:val="00E55178"/>
    <w:rsid w:val="00E730ED"/>
    <w:rsid w:val="00E80185"/>
    <w:rsid w:val="00E822A8"/>
    <w:rsid w:val="00E907FE"/>
    <w:rsid w:val="00EA07AA"/>
    <w:rsid w:val="00EB061C"/>
    <w:rsid w:val="00EB60AD"/>
    <w:rsid w:val="00EC1B99"/>
    <w:rsid w:val="00EC454C"/>
    <w:rsid w:val="00EC49BC"/>
    <w:rsid w:val="00EC61FE"/>
    <w:rsid w:val="00ED2746"/>
    <w:rsid w:val="00EE0C6C"/>
    <w:rsid w:val="00EE3E15"/>
    <w:rsid w:val="00EE47A8"/>
    <w:rsid w:val="00EE48DE"/>
    <w:rsid w:val="00EE5F49"/>
    <w:rsid w:val="00EE67A0"/>
    <w:rsid w:val="00EF0F47"/>
    <w:rsid w:val="00EF221F"/>
    <w:rsid w:val="00F1087D"/>
    <w:rsid w:val="00F10A82"/>
    <w:rsid w:val="00F222E3"/>
    <w:rsid w:val="00F22C96"/>
    <w:rsid w:val="00F23CD5"/>
    <w:rsid w:val="00F26CFE"/>
    <w:rsid w:val="00F332B8"/>
    <w:rsid w:val="00F36B5A"/>
    <w:rsid w:val="00F44990"/>
    <w:rsid w:val="00F47512"/>
    <w:rsid w:val="00F511E9"/>
    <w:rsid w:val="00F559CC"/>
    <w:rsid w:val="00F63C29"/>
    <w:rsid w:val="00F83CDB"/>
    <w:rsid w:val="00F9259C"/>
    <w:rsid w:val="00F95D58"/>
    <w:rsid w:val="00FA0DAC"/>
    <w:rsid w:val="00FC2E25"/>
    <w:rsid w:val="00FD6685"/>
    <w:rsid w:val="00FD6A1F"/>
    <w:rsid w:val="00FE28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1ED99E7"/>
  <w15:chartTrackingRefBased/>
  <w15:docId w15:val="{82243530-6C33-4748-984F-091C33A3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083"/>
    <w:pPr>
      <w:ind w:left="720"/>
      <w:contextualSpacing/>
    </w:pPr>
  </w:style>
  <w:style w:type="paragraph" w:styleId="Header">
    <w:name w:val="header"/>
    <w:basedOn w:val="Normal"/>
    <w:link w:val="HeaderChar"/>
    <w:uiPriority w:val="99"/>
    <w:unhideWhenUsed/>
    <w:rsid w:val="009E3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ADF"/>
  </w:style>
  <w:style w:type="paragraph" w:styleId="Footer">
    <w:name w:val="footer"/>
    <w:basedOn w:val="Normal"/>
    <w:link w:val="FooterChar"/>
    <w:uiPriority w:val="99"/>
    <w:unhideWhenUsed/>
    <w:rsid w:val="009E3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ADF"/>
  </w:style>
  <w:style w:type="table" w:customStyle="1" w:styleId="TableGrid2">
    <w:name w:val="Table Grid2"/>
    <w:basedOn w:val="TableNormal"/>
    <w:next w:val="TableGrid"/>
    <w:uiPriority w:val="39"/>
    <w:rsid w:val="003504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50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504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3504F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3D24"/>
    <w:rPr>
      <w:color w:val="0563C1" w:themeColor="hyperlink"/>
      <w:u w:val="single"/>
    </w:rPr>
  </w:style>
  <w:style w:type="character" w:styleId="Strong">
    <w:name w:val="Strong"/>
    <w:basedOn w:val="DefaultParagraphFont"/>
    <w:uiPriority w:val="22"/>
    <w:qFormat/>
    <w:rsid w:val="00B30751"/>
    <w:rPr>
      <w:b/>
      <w:bCs/>
    </w:rPr>
  </w:style>
  <w:style w:type="character" w:styleId="Emphasis">
    <w:name w:val="Emphasis"/>
    <w:basedOn w:val="DefaultParagraphFont"/>
    <w:uiPriority w:val="20"/>
    <w:qFormat/>
    <w:rsid w:val="00B30751"/>
    <w:rPr>
      <w:i/>
      <w:iCs/>
    </w:rPr>
  </w:style>
  <w:style w:type="table" w:customStyle="1" w:styleId="TableGrid1">
    <w:name w:val="Table Grid1"/>
    <w:basedOn w:val="TableNormal"/>
    <w:uiPriority w:val="39"/>
    <w:rsid w:val="00A902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10271">
      <w:bodyDiv w:val="1"/>
      <w:marLeft w:val="0"/>
      <w:marRight w:val="0"/>
      <w:marTop w:val="0"/>
      <w:marBottom w:val="0"/>
      <w:divBdr>
        <w:top w:val="none" w:sz="0" w:space="0" w:color="auto"/>
        <w:left w:val="none" w:sz="0" w:space="0" w:color="auto"/>
        <w:bottom w:val="none" w:sz="0" w:space="0" w:color="auto"/>
        <w:right w:val="none" w:sz="0" w:space="0" w:color="auto"/>
      </w:divBdr>
      <w:divsChild>
        <w:div w:id="1658680861">
          <w:marLeft w:val="0"/>
          <w:marRight w:val="0"/>
          <w:marTop w:val="0"/>
          <w:marBottom w:val="0"/>
          <w:divBdr>
            <w:top w:val="none" w:sz="0" w:space="0" w:color="auto"/>
            <w:left w:val="none" w:sz="0" w:space="0" w:color="auto"/>
            <w:bottom w:val="none" w:sz="0" w:space="0" w:color="auto"/>
            <w:right w:val="none" w:sz="0" w:space="0" w:color="auto"/>
          </w:divBdr>
        </w:div>
        <w:div w:id="1639802996">
          <w:marLeft w:val="0"/>
          <w:marRight w:val="0"/>
          <w:marTop w:val="30"/>
          <w:marBottom w:val="0"/>
          <w:divBdr>
            <w:top w:val="single" w:sz="6" w:space="11" w:color="CCCCCC"/>
            <w:left w:val="single" w:sz="6" w:space="11" w:color="CCCCCC"/>
            <w:bottom w:val="single" w:sz="6" w:space="11" w:color="CCCCCC"/>
            <w:right w:val="single" w:sz="6" w:space="11" w:color="CCCCCC"/>
          </w:divBdr>
          <w:divsChild>
            <w:div w:id="1779372465">
              <w:marLeft w:val="0"/>
              <w:marRight w:val="0"/>
              <w:marTop w:val="0"/>
              <w:marBottom w:val="105"/>
              <w:divBdr>
                <w:top w:val="none" w:sz="0" w:space="0" w:color="auto"/>
                <w:left w:val="none" w:sz="0" w:space="0" w:color="auto"/>
                <w:bottom w:val="none" w:sz="0" w:space="0" w:color="auto"/>
                <w:right w:val="none" w:sz="0" w:space="0" w:color="auto"/>
              </w:divBdr>
              <w:divsChild>
                <w:div w:id="172569479">
                  <w:marLeft w:val="0"/>
                  <w:marRight w:val="0"/>
                  <w:marTop w:val="0"/>
                  <w:marBottom w:val="0"/>
                  <w:divBdr>
                    <w:top w:val="none" w:sz="0" w:space="0" w:color="auto"/>
                    <w:left w:val="none" w:sz="0" w:space="0" w:color="auto"/>
                    <w:bottom w:val="none" w:sz="0" w:space="0" w:color="auto"/>
                    <w:right w:val="none" w:sz="0" w:space="0" w:color="auto"/>
                  </w:divBdr>
                  <w:divsChild>
                    <w:div w:id="15994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4758">
              <w:marLeft w:val="0"/>
              <w:marRight w:val="0"/>
              <w:marTop w:val="0"/>
              <w:marBottom w:val="150"/>
              <w:divBdr>
                <w:top w:val="none" w:sz="0" w:space="0" w:color="auto"/>
                <w:left w:val="none" w:sz="0" w:space="0" w:color="auto"/>
                <w:bottom w:val="none" w:sz="0" w:space="0" w:color="auto"/>
                <w:right w:val="none" w:sz="0" w:space="0" w:color="auto"/>
              </w:divBdr>
            </w:div>
          </w:divsChild>
        </w:div>
        <w:div w:id="1566838300">
          <w:marLeft w:val="0"/>
          <w:marRight w:val="0"/>
          <w:marTop w:val="0"/>
          <w:marBottom w:val="0"/>
          <w:divBdr>
            <w:top w:val="none" w:sz="0" w:space="0" w:color="auto"/>
            <w:left w:val="none" w:sz="0" w:space="0" w:color="auto"/>
            <w:bottom w:val="none" w:sz="0" w:space="0" w:color="auto"/>
            <w:right w:val="none" w:sz="0" w:space="0" w:color="auto"/>
          </w:divBdr>
        </w:div>
        <w:div w:id="1271740047">
          <w:marLeft w:val="0"/>
          <w:marRight w:val="0"/>
          <w:marTop w:val="0"/>
          <w:marBottom w:val="0"/>
          <w:divBdr>
            <w:top w:val="none" w:sz="0" w:space="0" w:color="auto"/>
            <w:left w:val="none" w:sz="0" w:space="0" w:color="auto"/>
            <w:bottom w:val="none" w:sz="0" w:space="0" w:color="auto"/>
            <w:right w:val="none" w:sz="0" w:space="0" w:color="auto"/>
          </w:divBdr>
        </w:div>
        <w:div w:id="773020014">
          <w:marLeft w:val="0"/>
          <w:marRight w:val="0"/>
          <w:marTop w:val="0"/>
          <w:marBottom w:val="0"/>
          <w:divBdr>
            <w:top w:val="none" w:sz="0" w:space="0" w:color="auto"/>
            <w:left w:val="none" w:sz="0" w:space="0" w:color="auto"/>
            <w:bottom w:val="none" w:sz="0" w:space="0" w:color="auto"/>
            <w:right w:val="none" w:sz="0" w:space="0" w:color="auto"/>
          </w:divBdr>
        </w:div>
        <w:div w:id="34240060">
          <w:marLeft w:val="0"/>
          <w:marRight w:val="0"/>
          <w:marTop w:val="0"/>
          <w:marBottom w:val="0"/>
          <w:divBdr>
            <w:top w:val="none" w:sz="0" w:space="0" w:color="auto"/>
            <w:left w:val="none" w:sz="0" w:space="0" w:color="auto"/>
            <w:bottom w:val="none" w:sz="0" w:space="0" w:color="auto"/>
            <w:right w:val="none" w:sz="0" w:space="0" w:color="auto"/>
          </w:divBdr>
        </w:div>
        <w:div w:id="38753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Faris</dc:creator>
  <cp:keywords/>
  <dc:description/>
  <cp:lastModifiedBy>Eswari S.</cp:lastModifiedBy>
  <cp:revision>3</cp:revision>
  <dcterms:created xsi:type="dcterms:W3CDTF">2026-02-26T07:17:00Z</dcterms:created>
  <dcterms:modified xsi:type="dcterms:W3CDTF">2026-02-26T07:18:00Z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22541218-a4ae-4ca9-818e-635449af5570</vt:lpwstr>
  </property>
</Properties>
</file>