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19C79" w14:textId="2ED1EC61" w:rsidR="00C242DF" w:rsidRDefault="00C242DF" w:rsidP="008B753D">
      <w:p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Supplementary </w:t>
      </w:r>
      <w:r w:rsidR="008B753D">
        <w:rPr>
          <w:rFonts w:ascii="Times New Roman" w:hAnsi="Times New Roman" w:cs="Times New Roman"/>
          <w:b/>
          <w:bCs/>
          <w:sz w:val="24"/>
          <w:szCs w:val="24"/>
        </w:rPr>
        <w:t>Material</w:t>
      </w:r>
      <w:r>
        <w:rPr>
          <w:rFonts w:ascii="Times New Roman" w:hAnsi="Times New Roman" w:cs="Times New Roman"/>
          <w:b/>
          <w:bCs/>
          <w:sz w:val="24"/>
          <w:szCs w:val="24"/>
        </w:rPr>
        <w:t xml:space="preserve"> </w:t>
      </w:r>
      <w:r w:rsidR="00D03CD9">
        <w:rPr>
          <w:rFonts w:ascii="Times New Roman" w:hAnsi="Times New Roman" w:cs="Times New Roman"/>
          <w:b/>
          <w:bCs/>
          <w:sz w:val="24"/>
          <w:szCs w:val="24"/>
        </w:rPr>
        <w:t>5</w:t>
      </w:r>
      <w:r w:rsidR="008B753D">
        <w:rPr>
          <w:rFonts w:ascii="Times New Roman" w:hAnsi="Times New Roman" w:cs="Times New Roman"/>
          <w:b/>
          <w:bCs/>
          <w:sz w:val="24"/>
          <w:szCs w:val="24"/>
        </w:rPr>
        <w:t xml:space="preserve"> - Practical Experience</w:t>
      </w:r>
      <w:r w:rsidR="008B753D">
        <w:rPr>
          <w:rFonts w:ascii="Times New Roman" w:hAnsi="Times New Roman" w:cs="Times New Roman"/>
          <w:b/>
          <w:bCs/>
          <w:sz w:val="24"/>
          <w:szCs w:val="24"/>
        </w:rPr>
        <w:br/>
      </w:r>
      <w:r>
        <w:rPr>
          <w:rFonts w:ascii="Times New Roman" w:hAnsi="Times New Roman" w:cs="Times New Roman"/>
          <w:sz w:val="24"/>
          <w:szCs w:val="24"/>
        </w:rPr>
        <w:t>Comprehensive overview of review studies, categorized by reported Theory of Change elements and Level of Governance (Source: Author’s own work)</w:t>
      </w:r>
    </w:p>
    <w:tbl>
      <w:tblPr>
        <w:tblW w:w="0" w:type="auto"/>
        <w:tblCellMar>
          <w:left w:w="70" w:type="dxa"/>
          <w:right w:w="70" w:type="dxa"/>
        </w:tblCellMar>
        <w:tblLook w:val="04A0" w:firstRow="1" w:lastRow="0" w:firstColumn="1" w:lastColumn="0" w:noHBand="0" w:noVBand="1"/>
      </w:tblPr>
      <w:tblGrid>
        <w:gridCol w:w="1410"/>
        <w:gridCol w:w="2125"/>
        <w:gridCol w:w="1495"/>
        <w:gridCol w:w="2507"/>
        <w:gridCol w:w="1620"/>
        <w:gridCol w:w="2190"/>
        <w:gridCol w:w="2657"/>
      </w:tblGrid>
      <w:tr w:rsidR="008B753D" w:rsidRPr="00DE6D3C" w14:paraId="507574B3" w14:textId="77777777" w:rsidTr="00FE108B">
        <w:trPr>
          <w:trHeight w:val="360"/>
        </w:trPr>
        <w:tc>
          <w:tcPr>
            <w:tcW w:w="0" w:type="auto"/>
            <w:gridSpan w:val="2"/>
            <w:tcBorders>
              <w:top w:val="nil"/>
              <w:left w:val="nil"/>
              <w:bottom w:val="single" w:sz="4" w:space="0" w:color="000000"/>
              <w:right w:val="nil"/>
            </w:tcBorders>
            <w:shd w:val="clear" w:color="000000" w:fill="FFFFFF"/>
            <w:vAlign w:val="center"/>
            <w:hideMark/>
          </w:tcPr>
          <w:p w14:paraId="79B91040" w14:textId="77777777" w:rsidR="008B753D" w:rsidRPr="00C242DF"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Practical Experience</w:t>
            </w:r>
          </w:p>
        </w:tc>
        <w:tc>
          <w:tcPr>
            <w:tcW w:w="0" w:type="auto"/>
            <w:tcBorders>
              <w:top w:val="nil"/>
              <w:left w:val="nil"/>
              <w:bottom w:val="nil"/>
              <w:right w:val="nil"/>
            </w:tcBorders>
            <w:shd w:val="clear" w:color="000000" w:fill="FFFFFF"/>
            <w:vAlign w:val="center"/>
            <w:hideMark/>
          </w:tcPr>
          <w:p w14:paraId="4BB16BA6"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w:t>
            </w:r>
          </w:p>
        </w:tc>
        <w:tc>
          <w:tcPr>
            <w:tcW w:w="0" w:type="auto"/>
            <w:gridSpan w:val="4"/>
            <w:tcBorders>
              <w:top w:val="nil"/>
              <w:left w:val="nil"/>
              <w:bottom w:val="single" w:sz="4" w:space="0" w:color="000000"/>
              <w:right w:val="nil"/>
            </w:tcBorders>
            <w:shd w:val="clear" w:color="000000" w:fill="FFFFFF"/>
            <w:vAlign w:val="center"/>
            <w:hideMark/>
          </w:tcPr>
          <w:p w14:paraId="707B97A4" w14:textId="77777777" w:rsidR="008B753D" w:rsidRPr="00DE6D3C" w:rsidRDefault="008B753D" w:rsidP="00FE108B">
            <w:pPr>
              <w:spacing w:after="0" w:line="240" w:lineRule="auto"/>
              <w:jc w:val="center"/>
              <w:rPr>
                <w:rFonts w:ascii="Times New Roman" w:eastAsia="Times New Roman" w:hAnsi="Times New Roman" w:cs="Times New Roman"/>
                <w:i/>
                <w:iCs/>
                <w:color w:val="000000"/>
                <w:lang w:val="nl-NL" w:eastAsia="nl-NL"/>
              </w:rPr>
            </w:pPr>
            <w:r w:rsidRPr="00DE6D3C">
              <w:rPr>
                <w:rFonts w:ascii="Times New Roman" w:eastAsia="Times New Roman" w:hAnsi="Times New Roman" w:cs="Times New Roman"/>
                <w:i/>
                <w:iCs/>
                <w:color w:val="000000"/>
                <w:lang w:val="nl-NL" w:eastAsia="nl-NL"/>
              </w:rPr>
              <w:t>Theory of Change</w:t>
            </w:r>
          </w:p>
        </w:tc>
      </w:tr>
      <w:tr w:rsidR="008B753D" w:rsidRPr="00DE6D3C" w14:paraId="73B07427" w14:textId="77777777" w:rsidTr="00FE108B">
        <w:trPr>
          <w:trHeight w:val="642"/>
        </w:trPr>
        <w:tc>
          <w:tcPr>
            <w:tcW w:w="0" w:type="auto"/>
            <w:tcBorders>
              <w:top w:val="nil"/>
              <w:left w:val="nil"/>
              <w:bottom w:val="single" w:sz="8" w:space="0" w:color="000000"/>
              <w:right w:val="nil"/>
            </w:tcBorders>
            <w:shd w:val="clear" w:color="000000" w:fill="FFFFFF"/>
            <w:vAlign w:val="center"/>
            <w:hideMark/>
          </w:tcPr>
          <w:p w14:paraId="450AD643"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 xml:space="preserve">Study </w:t>
            </w:r>
          </w:p>
        </w:tc>
        <w:tc>
          <w:tcPr>
            <w:tcW w:w="0" w:type="auto"/>
            <w:tcBorders>
              <w:top w:val="single" w:sz="4" w:space="0" w:color="000000"/>
              <w:left w:val="nil"/>
              <w:bottom w:val="single" w:sz="8" w:space="0" w:color="000000"/>
              <w:right w:val="nil"/>
            </w:tcBorders>
            <w:shd w:val="clear" w:color="000000" w:fill="FFFFFF"/>
            <w:vAlign w:val="center"/>
            <w:hideMark/>
          </w:tcPr>
          <w:p w14:paraId="4BCA9D02"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Study Population and Design</w:t>
            </w:r>
          </w:p>
        </w:tc>
        <w:tc>
          <w:tcPr>
            <w:tcW w:w="0" w:type="auto"/>
            <w:tcBorders>
              <w:top w:val="nil"/>
              <w:left w:val="nil"/>
              <w:bottom w:val="single" w:sz="8" w:space="0" w:color="000000"/>
              <w:right w:val="nil"/>
            </w:tcBorders>
            <w:shd w:val="clear" w:color="000000" w:fill="FFFFFF"/>
            <w:vAlign w:val="center"/>
            <w:hideMark/>
          </w:tcPr>
          <w:p w14:paraId="36F6394F"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Level of Governance</w:t>
            </w:r>
          </w:p>
        </w:tc>
        <w:tc>
          <w:tcPr>
            <w:tcW w:w="0" w:type="auto"/>
            <w:tcBorders>
              <w:top w:val="nil"/>
              <w:left w:val="nil"/>
              <w:bottom w:val="single" w:sz="8" w:space="0" w:color="000000"/>
              <w:right w:val="nil"/>
            </w:tcBorders>
            <w:shd w:val="clear" w:color="000000" w:fill="FFFFFF"/>
            <w:vAlign w:val="center"/>
            <w:hideMark/>
          </w:tcPr>
          <w:p w14:paraId="1F014E8A"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 xml:space="preserve">Intervention Content </w:t>
            </w:r>
          </w:p>
        </w:tc>
        <w:tc>
          <w:tcPr>
            <w:tcW w:w="0" w:type="auto"/>
            <w:tcBorders>
              <w:top w:val="nil"/>
              <w:left w:val="nil"/>
              <w:bottom w:val="single" w:sz="8" w:space="0" w:color="000000"/>
              <w:right w:val="nil"/>
            </w:tcBorders>
            <w:shd w:val="clear" w:color="000000" w:fill="FFFFFF"/>
            <w:vAlign w:val="center"/>
            <w:hideMark/>
          </w:tcPr>
          <w:p w14:paraId="102EB883"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Intended Outcome</w:t>
            </w:r>
          </w:p>
        </w:tc>
        <w:tc>
          <w:tcPr>
            <w:tcW w:w="0" w:type="auto"/>
            <w:tcBorders>
              <w:top w:val="nil"/>
              <w:left w:val="nil"/>
              <w:bottom w:val="single" w:sz="8" w:space="0" w:color="000000"/>
              <w:right w:val="nil"/>
            </w:tcBorders>
            <w:shd w:val="clear" w:color="000000" w:fill="FFFFFF"/>
            <w:vAlign w:val="center"/>
            <w:hideMark/>
          </w:tcPr>
          <w:p w14:paraId="6B692BCA"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Outcome Measure</w:t>
            </w:r>
          </w:p>
        </w:tc>
        <w:tc>
          <w:tcPr>
            <w:tcW w:w="0" w:type="auto"/>
            <w:tcBorders>
              <w:top w:val="nil"/>
              <w:left w:val="nil"/>
              <w:bottom w:val="single" w:sz="8" w:space="0" w:color="000000"/>
              <w:right w:val="nil"/>
            </w:tcBorders>
            <w:shd w:val="clear" w:color="000000" w:fill="FFFFFF"/>
            <w:vAlign w:val="center"/>
            <w:hideMark/>
          </w:tcPr>
          <w:p w14:paraId="3CC1D90C"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 xml:space="preserve">Results as Reported </w:t>
            </w:r>
          </w:p>
        </w:tc>
      </w:tr>
      <w:tr w:rsidR="008B753D" w:rsidRPr="00DE6D3C" w14:paraId="2799E681" w14:textId="77777777" w:rsidTr="00FE108B">
        <w:trPr>
          <w:trHeight w:val="2224"/>
        </w:trPr>
        <w:tc>
          <w:tcPr>
            <w:tcW w:w="0" w:type="auto"/>
            <w:tcBorders>
              <w:top w:val="nil"/>
              <w:left w:val="nil"/>
              <w:bottom w:val="single" w:sz="4" w:space="0" w:color="000000"/>
              <w:right w:val="nil"/>
            </w:tcBorders>
            <w:shd w:val="clear" w:color="000000" w:fill="FFFFFF"/>
            <w:vAlign w:val="center"/>
            <w:hideMark/>
          </w:tcPr>
          <w:p w14:paraId="5364F15B"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Bennett and Low, 2021</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(7/18)</w:t>
            </w:r>
          </w:p>
        </w:tc>
        <w:tc>
          <w:tcPr>
            <w:tcW w:w="0" w:type="auto"/>
            <w:tcBorders>
              <w:top w:val="single" w:sz="8" w:space="0" w:color="000000"/>
              <w:left w:val="nil"/>
              <w:bottom w:val="single" w:sz="4" w:space="0" w:color="000000"/>
              <w:right w:val="nil"/>
            </w:tcBorders>
            <w:shd w:val="clear" w:color="000000" w:fill="FFFFFF"/>
            <w:vAlign w:val="center"/>
            <w:hideMark/>
          </w:tcPr>
          <w:p w14:paraId="628C0D31"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eastAsia="nl-NL"/>
              </w:rPr>
              <w:t>Case study of (</w:t>
            </w:r>
            <w:r w:rsidRPr="00DE6D3C">
              <w:rPr>
                <w:rFonts w:ascii="Times New Roman" w:eastAsia="Times New Roman" w:hAnsi="Times New Roman" w:cs="Times New Roman"/>
                <w:i/>
                <w:iCs/>
                <w:color w:val="000000"/>
                <w:lang w:eastAsia="nl-NL"/>
              </w:rPr>
              <w:t xml:space="preserve">n </w:t>
            </w:r>
            <w:r w:rsidRPr="00DE6D3C">
              <w:rPr>
                <w:rFonts w:ascii="Times New Roman" w:eastAsia="Times New Roman" w:hAnsi="Times New Roman" w:cs="Times New Roman"/>
                <w:color w:val="000000"/>
                <w:lang w:eastAsia="nl-NL"/>
              </w:rPr>
              <w:t xml:space="preserve">= nm)  agricultural science undergraduates in Australia. </w:t>
            </w:r>
            <w:r w:rsidRPr="00DE6D3C">
              <w:rPr>
                <w:rFonts w:ascii="Times New Roman" w:eastAsia="Times New Roman" w:hAnsi="Times New Roman" w:cs="Times New Roman"/>
                <w:color w:val="000000"/>
                <w:lang w:val="nl-NL" w:eastAsia="nl-NL"/>
              </w:rPr>
              <w:t xml:space="preserve">Data from participatory reports and supervisor evaluations </w:t>
            </w:r>
          </w:p>
        </w:tc>
        <w:tc>
          <w:tcPr>
            <w:tcW w:w="0" w:type="auto"/>
            <w:tcBorders>
              <w:top w:val="nil"/>
              <w:left w:val="nil"/>
              <w:bottom w:val="single" w:sz="4" w:space="0" w:color="000000"/>
              <w:right w:val="nil"/>
            </w:tcBorders>
            <w:shd w:val="clear" w:color="000000" w:fill="FFFFFF"/>
            <w:vAlign w:val="center"/>
            <w:hideMark/>
          </w:tcPr>
          <w:p w14:paraId="31E3088A"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6DCB53A5"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WIL for Agronomic Industry Training, developing ‘soft skills’ as well as a multi-contextualised core of discipline knowledge ‘hard skills’, which fosters increased employability, a faster and smoother transition from student to employee, and less additional training on commencing employment </w:t>
            </w:r>
          </w:p>
        </w:tc>
        <w:tc>
          <w:tcPr>
            <w:tcW w:w="0" w:type="auto"/>
            <w:tcBorders>
              <w:top w:val="nil"/>
              <w:left w:val="nil"/>
              <w:bottom w:val="single" w:sz="4" w:space="0" w:color="000000"/>
              <w:right w:val="nil"/>
            </w:tcBorders>
            <w:shd w:val="clear" w:color="000000" w:fill="FFFFFF"/>
            <w:vAlign w:val="center"/>
            <w:hideMark/>
          </w:tcPr>
          <w:p w14:paraId="2C54E60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Problem Solving Skills </w:t>
            </w:r>
            <w:r w:rsidRPr="00DE6D3C">
              <w:rPr>
                <w:rFonts w:ascii="Times New Roman" w:eastAsia="Times New Roman" w:hAnsi="Times New Roman" w:cs="Times New Roman"/>
                <w:color w:val="000000"/>
                <w:lang w:eastAsia="nl-NL"/>
              </w:rPr>
              <w:br/>
            </w:r>
            <w:r w:rsidRPr="00DE6D3C">
              <w:rPr>
                <w:rFonts w:ascii="Times New Roman" w:eastAsia="Times New Roman" w:hAnsi="Times New Roman" w:cs="Times New Roman"/>
                <w:color w:val="000000"/>
                <w:lang w:eastAsia="nl-NL"/>
              </w:rPr>
              <w:br/>
              <w:t xml:space="preserve">Critical Thinking Skills </w:t>
            </w:r>
          </w:p>
        </w:tc>
        <w:tc>
          <w:tcPr>
            <w:tcW w:w="0" w:type="auto"/>
            <w:tcBorders>
              <w:top w:val="nil"/>
              <w:left w:val="nil"/>
              <w:bottom w:val="single" w:sz="4" w:space="0" w:color="000000"/>
              <w:right w:val="nil"/>
            </w:tcBorders>
            <w:shd w:val="clear" w:color="000000" w:fill="FFFFFF"/>
            <w:vAlign w:val="center"/>
            <w:hideMark/>
          </w:tcPr>
          <w:p w14:paraId="5008F1B5"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Exposure to agricultural industry through field trials</w:t>
            </w:r>
          </w:p>
        </w:tc>
        <w:tc>
          <w:tcPr>
            <w:tcW w:w="0" w:type="auto"/>
            <w:tcBorders>
              <w:top w:val="nil"/>
              <w:left w:val="nil"/>
              <w:bottom w:val="single" w:sz="4" w:space="0" w:color="000000"/>
              <w:right w:val="nil"/>
            </w:tcBorders>
            <w:shd w:val="clear" w:color="000000" w:fill="FFFFFF"/>
            <w:vAlign w:val="center"/>
            <w:hideMark/>
          </w:tcPr>
          <w:p w14:paraId="022D86D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br/>
              <w:t>The semester-long research project effectively introduces students to research through small-scale field trials, allowing them to gain experience in trial design, ongoing plant recording, data analysis, and result presentation.</w:t>
            </w:r>
          </w:p>
        </w:tc>
      </w:tr>
      <w:tr w:rsidR="008B753D" w:rsidRPr="00DE6D3C" w14:paraId="4C878BA1" w14:textId="77777777" w:rsidTr="00FE108B">
        <w:trPr>
          <w:trHeight w:val="3252"/>
        </w:trPr>
        <w:tc>
          <w:tcPr>
            <w:tcW w:w="0" w:type="auto"/>
            <w:tcBorders>
              <w:top w:val="nil"/>
              <w:left w:val="nil"/>
              <w:bottom w:val="single" w:sz="4" w:space="0" w:color="000000"/>
              <w:right w:val="nil"/>
            </w:tcBorders>
            <w:shd w:val="clear" w:color="000000" w:fill="FFFFFF"/>
            <w:vAlign w:val="center"/>
            <w:hideMark/>
          </w:tcPr>
          <w:p w14:paraId="562CAFE4"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Chen and Gosling, 2018</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(10.5/18)</w:t>
            </w:r>
          </w:p>
        </w:tc>
        <w:tc>
          <w:tcPr>
            <w:tcW w:w="0" w:type="auto"/>
            <w:tcBorders>
              <w:top w:val="single" w:sz="4" w:space="0" w:color="000000"/>
              <w:left w:val="nil"/>
              <w:bottom w:val="single" w:sz="4" w:space="0" w:color="000000"/>
              <w:right w:val="nil"/>
            </w:tcBorders>
            <w:shd w:val="clear" w:color="000000" w:fill="FFFFFF"/>
            <w:vAlign w:val="center"/>
            <w:hideMark/>
          </w:tcPr>
          <w:p w14:paraId="0B64A42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Ex post facto research of n = 459 Undergraduates at a public hospitality and tourism university in China during the first month after completion of their internships</w:t>
            </w:r>
          </w:p>
        </w:tc>
        <w:tc>
          <w:tcPr>
            <w:tcW w:w="0" w:type="auto"/>
            <w:tcBorders>
              <w:top w:val="nil"/>
              <w:left w:val="nil"/>
              <w:bottom w:val="single" w:sz="4" w:space="0" w:color="000000"/>
              <w:right w:val="nil"/>
            </w:tcBorders>
            <w:shd w:val="clear" w:color="000000" w:fill="FFFFFF"/>
            <w:vAlign w:val="center"/>
            <w:hideMark/>
          </w:tcPr>
          <w:p w14:paraId="2EFB5732"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Policy Issued Intervention</w:t>
            </w:r>
          </w:p>
        </w:tc>
        <w:tc>
          <w:tcPr>
            <w:tcW w:w="0" w:type="auto"/>
            <w:tcBorders>
              <w:top w:val="nil"/>
              <w:left w:val="nil"/>
              <w:bottom w:val="single" w:sz="4" w:space="0" w:color="000000"/>
              <w:right w:val="nil"/>
            </w:tcBorders>
            <w:shd w:val="clear" w:color="000000" w:fill="FFFFFF"/>
            <w:vAlign w:val="center"/>
            <w:hideMark/>
          </w:tcPr>
          <w:p w14:paraId="7B4CF4D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Internship participation to develop adaptability and emotional competence, as students’ satisfaction with the school/ company/ self-achievements during an internship program will positively inffuence internship satisfaction and employability</w:t>
            </w:r>
          </w:p>
        </w:tc>
        <w:tc>
          <w:tcPr>
            <w:tcW w:w="0" w:type="auto"/>
            <w:tcBorders>
              <w:top w:val="nil"/>
              <w:left w:val="nil"/>
              <w:bottom w:val="single" w:sz="4" w:space="0" w:color="000000"/>
              <w:right w:val="nil"/>
            </w:tcBorders>
            <w:shd w:val="clear" w:color="000000" w:fill="FFFFFF"/>
            <w:vAlign w:val="center"/>
            <w:hideMark/>
          </w:tcPr>
          <w:p w14:paraId="525B1BCD"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Emotional Competence </w:t>
            </w:r>
            <w:r w:rsidRPr="00DE6D3C">
              <w:rPr>
                <w:rFonts w:ascii="Times New Roman" w:eastAsia="Times New Roman" w:hAnsi="Times New Roman" w:cs="Times New Roman"/>
                <w:color w:val="000000"/>
                <w:lang w:val="nl-NL" w:eastAsia="nl-NL"/>
              </w:rPr>
              <w:br/>
              <w:t>Adaptability</w:t>
            </w:r>
          </w:p>
        </w:tc>
        <w:tc>
          <w:tcPr>
            <w:tcW w:w="0" w:type="auto"/>
            <w:tcBorders>
              <w:top w:val="nil"/>
              <w:left w:val="nil"/>
              <w:bottom w:val="single" w:sz="4" w:space="0" w:color="000000"/>
              <w:right w:val="nil"/>
            </w:tcBorders>
            <w:shd w:val="clear" w:color="000000" w:fill="FFFFFF"/>
            <w:vAlign w:val="center"/>
            <w:hideMark/>
          </w:tcPr>
          <w:p w14:paraId="0C466D0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correlation between internship satisfaction and employment outcomes</w:t>
            </w:r>
          </w:p>
        </w:tc>
        <w:tc>
          <w:tcPr>
            <w:tcW w:w="0" w:type="auto"/>
            <w:tcBorders>
              <w:top w:val="nil"/>
              <w:left w:val="nil"/>
              <w:bottom w:val="single" w:sz="4" w:space="0" w:color="000000"/>
              <w:right w:val="nil"/>
            </w:tcBorders>
            <w:shd w:val="clear" w:color="000000" w:fill="FFFFFF"/>
            <w:vAlign w:val="center"/>
            <w:hideMark/>
          </w:tcPr>
          <w:p w14:paraId="04D07790"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 Inconclusive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Employability significantly influenced overall satisfaction with the internship, with student satisfaction regarding the school program and personal commitment impacting employability. However, satisfaction with the company did not correlate with </w:t>
            </w:r>
            <w:r w:rsidRPr="00DE6D3C">
              <w:rPr>
                <w:rFonts w:ascii="Times New Roman" w:eastAsia="Times New Roman" w:hAnsi="Times New Roman" w:cs="Times New Roman"/>
                <w:color w:val="000000"/>
                <w:lang w:eastAsia="nl-NL"/>
              </w:rPr>
              <w:lastRenderedPageBreak/>
              <w:t>employability, possibly highlighting issues with the company's role in the program, such as insufficient training or job rotation opportunities.</w:t>
            </w:r>
          </w:p>
        </w:tc>
      </w:tr>
      <w:tr w:rsidR="008B753D" w:rsidRPr="00DE6D3C" w14:paraId="11F6B1D0" w14:textId="77777777" w:rsidTr="00FE108B">
        <w:trPr>
          <w:trHeight w:val="2292"/>
        </w:trPr>
        <w:tc>
          <w:tcPr>
            <w:tcW w:w="0" w:type="auto"/>
            <w:tcBorders>
              <w:top w:val="nil"/>
              <w:left w:val="nil"/>
              <w:bottom w:val="single" w:sz="4" w:space="0" w:color="000000"/>
              <w:right w:val="nil"/>
            </w:tcBorders>
            <w:shd w:val="clear" w:color="000000" w:fill="FFFFFF"/>
            <w:vAlign w:val="center"/>
            <w:hideMark/>
          </w:tcPr>
          <w:p w14:paraId="070481CC"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lastRenderedPageBreak/>
              <w:t>Chen, 2022</w:t>
            </w:r>
            <w:r w:rsidRPr="00DE6D3C">
              <w:rPr>
                <w:rFonts w:ascii="Times New Roman" w:eastAsia="Times New Roman" w:hAnsi="Times New Roman" w:cs="Times New Roman"/>
                <w:b/>
                <w:bCs/>
                <w:color w:val="000000"/>
                <w:lang w:val="nl-NL" w:eastAsia="nl-NL"/>
              </w:rPr>
              <w:br/>
            </w:r>
            <w:r w:rsidRPr="00DE6D3C">
              <w:rPr>
                <w:rFonts w:ascii="Times New Roman" w:eastAsia="Times New Roman" w:hAnsi="Times New Roman" w:cs="Times New Roman"/>
                <w:b/>
                <w:bCs/>
                <w:color w:val="000000"/>
                <w:lang w:val="nl-NL" w:eastAsia="nl-NL"/>
              </w:rPr>
              <w:br/>
              <w:t>moderate overall quality (10/18)</w:t>
            </w:r>
          </w:p>
        </w:tc>
        <w:tc>
          <w:tcPr>
            <w:tcW w:w="0" w:type="auto"/>
            <w:tcBorders>
              <w:top w:val="single" w:sz="4" w:space="0" w:color="000000"/>
              <w:left w:val="nil"/>
              <w:bottom w:val="single" w:sz="4" w:space="0" w:color="000000"/>
              <w:right w:val="nil"/>
            </w:tcBorders>
            <w:shd w:val="clear" w:color="000000" w:fill="FFFFFF"/>
            <w:vAlign w:val="center"/>
            <w:hideMark/>
          </w:tcPr>
          <w:p w14:paraId="52F42E9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Evaluation of n = 257 alumni of different graduation years of a Taiwanese university, employed in construction.  </w:t>
            </w:r>
          </w:p>
        </w:tc>
        <w:tc>
          <w:tcPr>
            <w:tcW w:w="0" w:type="auto"/>
            <w:tcBorders>
              <w:top w:val="nil"/>
              <w:left w:val="nil"/>
              <w:bottom w:val="single" w:sz="4" w:space="0" w:color="000000"/>
              <w:right w:val="nil"/>
            </w:tcBorders>
            <w:shd w:val="clear" w:color="000000" w:fill="FFFFFF"/>
            <w:vAlign w:val="center"/>
            <w:hideMark/>
          </w:tcPr>
          <w:p w14:paraId="7CAB9178"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5CF8A12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Industrial training through the </w:t>
            </w:r>
            <w:r w:rsidRPr="00DE6D3C">
              <w:rPr>
                <w:rFonts w:ascii="Times New Roman" w:eastAsia="Times New Roman" w:hAnsi="Times New Roman" w:cs="Times New Roman"/>
                <w:i/>
                <w:iCs/>
                <w:color w:val="000000"/>
                <w:lang w:eastAsia="nl-NL"/>
              </w:rPr>
              <w:t xml:space="preserve">Whole Process Management  (WPM) </w:t>
            </w:r>
            <w:r w:rsidRPr="00DE6D3C">
              <w:rPr>
                <w:rFonts w:ascii="Times New Roman" w:eastAsia="Times New Roman" w:hAnsi="Times New Roman" w:cs="Times New Roman"/>
                <w:color w:val="000000"/>
                <w:lang w:eastAsia="nl-NL"/>
              </w:rPr>
              <w:t>model coupled with Employment Guidance Courses (EGC) carried out by the school, which will help students to engage in construction industry-related work after graduation</w:t>
            </w:r>
          </w:p>
        </w:tc>
        <w:tc>
          <w:tcPr>
            <w:tcW w:w="0" w:type="auto"/>
            <w:tcBorders>
              <w:top w:val="nil"/>
              <w:left w:val="nil"/>
              <w:bottom w:val="single" w:sz="4" w:space="0" w:color="000000"/>
              <w:right w:val="nil"/>
            </w:tcBorders>
            <w:shd w:val="clear" w:color="000000" w:fill="FFFFFF"/>
            <w:vAlign w:val="center"/>
            <w:hideMark/>
          </w:tcPr>
          <w:p w14:paraId="494B390C"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Practical Ability in the Industry</w:t>
            </w:r>
          </w:p>
        </w:tc>
        <w:tc>
          <w:tcPr>
            <w:tcW w:w="0" w:type="auto"/>
            <w:tcBorders>
              <w:top w:val="nil"/>
              <w:left w:val="nil"/>
              <w:bottom w:val="single" w:sz="4" w:space="0" w:color="000000"/>
              <w:right w:val="nil"/>
            </w:tcBorders>
            <w:shd w:val="clear" w:color="000000" w:fill="FFFFFF"/>
            <w:vAlign w:val="center"/>
            <w:hideMark/>
          </w:tcPr>
          <w:p w14:paraId="65D8601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Self evaluation and supervisor evaluation of acquired professional kowledge and skill through tested through survey </w:t>
            </w:r>
          </w:p>
        </w:tc>
        <w:tc>
          <w:tcPr>
            <w:tcW w:w="0" w:type="auto"/>
            <w:tcBorders>
              <w:top w:val="nil"/>
              <w:left w:val="nil"/>
              <w:bottom w:val="single" w:sz="4" w:space="0" w:color="000000"/>
              <w:right w:val="nil"/>
            </w:tcBorders>
            <w:shd w:val="clear" w:color="000000" w:fill="FFFFFF"/>
            <w:vAlign w:val="center"/>
            <w:hideMark/>
          </w:tcPr>
          <w:p w14:paraId="38EA5CC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Inconclusive Intervention Outcomes</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br/>
              <w:t>The experimental results reveal that construction companies rated the four structural elements of Engineering Adaptability (EA) higher than students' self-evaluations, indicating a gap between students' EA and industry needs, which can guide targeted training improvements.</w:t>
            </w:r>
          </w:p>
        </w:tc>
      </w:tr>
      <w:tr w:rsidR="008B753D" w:rsidRPr="00DE6D3C" w14:paraId="1043B528" w14:textId="77777777" w:rsidTr="00FE108B">
        <w:trPr>
          <w:trHeight w:val="2052"/>
        </w:trPr>
        <w:tc>
          <w:tcPr>
            <w:tcW w:w="0" w:type="auto"/>
            <w:tcBorders>
              <w:top w:val="nil"/>
              <w:left w:val="nil"/>
              <w:bottom w:val="single" w:sz="4" w:space="0" w:color="000000"/>
              <w:right w:val="nil"/>
            </w:tcBorders>
            <w:shd w:val="clear" w:color="000000" w:fill="FFFFFF"/>
            <w:vAlign w:val="center"/>
            <w:hideMark/>
          </w:tcPr>
          <w:p w14:paraId="401038C7"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Clausen and Andersson, 2019</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weak overall quality (6/18)</w:t>
            </w:r>
          </w:p>
        </w:tc>
        <w:tc>
          <w:tcPr>
            <w:tcW w:w="0" w:type="auto"/>
            <w:tcBorders>
              <w:top w:val="single" w:sz="4" w:space="0" w:color="000000"/>
              <w:left w:val="nil"/>
              <w:bottom w:val="single" w:sz="4" w:space="0" w:color="000000"/>
              <w:right w:val="nil"/>
            </w:tcBorders>
            <w:shd w:val="clear" w:color="000000" w:fill="FFFFFF"/>
            <w:vAlign w:val="center"/>
            <w:hideMark/>
          </w:tcPr>
          <w:p w14:paraId="495EF75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Case study of n = 17 graduate students from Aalborg University, Denmark,</w:t>
            </w:r>
          </w:p>
        </w:tc>
        <w:tc>
          <w:tcPr>
            <w:tcW w:w="0" w:type="auto"/>
            <w:tcBorders>
              <w:top w:val="nil"/>
              <w:left w:val="nil"/>
              <w:bottom w:val="single" w:sz="4" w:space="0" w:color="000000"/>
              <w:right w:val="nil"/>
            </w:tcBorders>
            <w:shd w:val="clear" w:color="000000" w:fill="FFFFFF"/>
            <w:vAlign w:val="center"/>
            <w:hideMark/>
          </w:tcPr>
          <w:p w14:paraId="5B42D42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2DD12A4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Use of</w:t>
            </w:r>
            <w:r w:rsidRPr="00DE6D3C">
              <w:rPr>
                <w:rFonts w:ascii="Times New Roman" w:eastAsia="Times New Roman" w:hAnsi="Times New Roman" w:cs="Times New Roman"/>
                <w:i/>
                <w:iCs/>
                <w:color w:val="000000"/>
                <w:lang w:eastAsia="nl-NL"/>
              </w:rPr>
              <w:t xml:space="preserve"> Problem Based Learning </w:t>
            </w:r>
            <w:r w:rsidRPr="00DE6D3C">
              <w:rPr>
                <w:rFonts w:ascii="Times New Roman" w:eastAsia="Times New Roman" w:hAnsi="Times New Roman" w:cs="Times New Roman"/>
                <w:color w:val="000000"/>
                <w:lang w:eastAsia="nl-NL"/>
              </w:rPr>
              <w:t>(PBL) as a catalyst to enhance work-readiness and employability skills through participating in excursion to Cuba in March 2017 to solve real-</w:t>
            </w:r>
            <w:r w:rsidRPr="00DE6D3C">
              <w:rPr>
                <w:rFonts w:ascii="Times New Roman" w:eastAsia="Times New Roman" w:hAnsi="Times New Roman" w:cs="Times New Roman"/>
                <w:color w:val="000000"/>
                <w:lang w:eastAsia="nl-NL"/>
              </w:rPr>
              <w:lastRenderedPageBreak/>
              <w:t>life tasks related to tourism issues</w:t>
            </w:r>
          </w:p>
        </w:tc>
        <w:tc>
          <w:tcPr>
            <w:tcW w:w="0" w:type="auto"/>
            <w:tcBorders>
              <w:top w:val="nil"/>
              <w:left w:val="nil"/>
              <w:bottom w:val="single" w:sz="4" w:space="0" w:color="000000"/>
              <w:right w:val="nil"/>
            </w:tcBorders>
            <w:shd w:val="clear" w:color="000000" w:fill="FFFFFF"/>
            <w:vAlign w:val="center"/>
            <w:hideMark/>
          </w:tcPr>
          <w:p w14:paraId="4C4F4D9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lastRenderedPageBreak/>
              <w:t>Practical Ability in the Industry</w:t>
            </w:r>
          </w:p>
        </w:tc>
        <w:tc>
          <w:tcPr>
            <w:tcW w:w="0" w:type="auto"/>
            <w:tcBorders>
              <w:top w:val="nil"/>
              <w:left w:val="nil"/>
              <w:bottom w:val="single" w:sz="4" w:space="0" w:color="000000"/>
              <w:right w:val="nil"/>
            </w:tcBorders>
            <w:shd w:val="clear" w:color="000000" w:fill="FFFFFF"/>
            <w:vAlign w:val="center"/>
            <w:hideMark/>
          </w:tcPr>
          <w:p w14:paraId="1960805C"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Interviews with participants about experience</w:t>
            </w:r>
          </w:p>
        </w:tc>
        <w:tc>
          <w:tcPr>
            <w:tcW w:w="0" w:type="auto"/>
            <w:tcBorders>
              <w:top w:val="nil"/>
              <w:left w:val="nil"/>
              <w:bottom w:val="single" w:sz="4" w:space="0" w:color="000000"/>
              <w:right w:val="nil"/>
            </w:tcBorders>
            <w:shd w:val="clear" w:color="000000" w:fill="FFFFFF"/>
            <w:vAlign w:val="center"/>
            <w:hideMark/>
          </w:tcPr>
          <w:p w14:paraId="26290F7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The results indicate that students benefit from learning through experience and reflection, but also need motivation through </w:t>
            </w:r>
            <w:r w:rsidRPr="00DE6D3C">
              <w:rPr>
                <w:rFonts w:ascii="Times New Roman" w:eastAsia="Times New Roman" w:hAnsi="Times New Roman" w:cs="Times New Roman"/>
                <w:color w:val="000000"/>
                <w:lang w:eastAsia="nl-NL"/>
              </w:rPr>
              <w:lastRenderedPageBreak/>
              <w:t>meaningful events or situations to take ownership of their learning, thereby enhancing knowledge, employability approaches, and skills.</w:t>
            </w:r>
          </w:p>
        </w:tc>
      </w:tr>
      <w:tr w:rsidR="008B753D" w:rsidRPr="00DE6D3C" w14:paraId="239A76E2"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10898059"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 xml:space="preserve">Feijoo </w:t>
            </w:r>
            <w:r w:rsidRPr="00DE6D3C">
              <w:rPr>
                <w:rFonts w:ascii="Times New Roman" w:eastAsia="Times New Roman" w:hAnsi="Times New Roman" w:cs="Times New Roman"/>
                <w:b/>
                <w:bCs/>
                <w:i/>
                <w:iCs/>
                <w:color w:val="000000"/>
                <w:lang w:eastAsia="nl-NL"/>
              </w:rPr>
              <w:t xml:space="preserve">et al., </w:t>
            </w:r>
            <w:r w:rsidRPr="00DE6D3C">
              <w:rPr>
                <w:rFonts w:ascii="Times New Roman" w:eastAsia="Times New Roman" w:hAnsi="Times New Roman" w:cs="Times New Roman"/>
                <w:b/>
                <w:bCs/>
                <w:color w:val="000000"/>
                <w:lang w:eastAsia="nl-NL"/>
              </w:rPr>
              <w:t>2019</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(9/18)</w:t>
            </w:r>
          </w:p>
        </w:tc>
        <w:tc>
          <w:tcPr>
            <w:tcW w:w="0" w:type="auto"/>
            <w:tcBorders>
              <w:top w:val="single" w:sz="4" w:space="0" w:color="000000"/>
              <w:left w:val="nil"/>
              <w:bottom w:val="single" w:sz="4" w:space="0" w:color="000000"/>
              <w:right w:val="nil"/>
            </w:tcBorders>
            <w:shd w:val="clear" w:color="000000" w:fill="FFFFFF"/>
            <w:vAlign w:val="center"/>
            <w:hideMark/>
          </w:tcPr>
          <w:p w14:paraId="060D8E6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Longitudinal study of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245 third- and fourth year Chemical Engineering students at Universidade de Santiago</w:t>
            </w:r>
          </w:p>
        </w:tc>
        <w:tc>
          <w:tcPr>
            <w:tcW w:w="0" w:type="auto"/>
            <w:tcBorders>
              <w:top w:val="nil"/>
              <w:left w:val="nil"/>
              <w:bottom w:val="single" w:sz="4" w:space="0" w:color="000000"/>
              <w:right w:val="nil"/>
            </w:tcBorders>
            <w:shd w:val="clear" w:color="000000" w:fill="FFFFFF"/>
            <w:vAlign w:val="center"/>
            <w:hideMark/>
          </w:tcPr>
          <w:p w14:paraId="511BF3F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386BCEB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i/>
                <w:iCs/>
                <w:color w:val="000000"/>
                <w:lang w:eastAsia="nl-NL"/>
              </w:rPr>
              <w:t>Industrial Internship Program of the department of chemical engineering at Universidad de Santiago</w:t>
            </w:r>
            <w:r w:rsidRPr="00DE6D3C">
              <w:rPr>
                <w:rFonts w:ascii="Times New Roman" w:eastAsia="Times New Roman" w:hAnsi="Times New Roman" w:cs="Times New Roman"/>
                <w:i/>
                <w:iCs/>
                <w:color w:val="000000"/>
                <w:lang w:eastAsia="nl-NL"/>
              </w:rPr>
              <w:br/>
              <w:t xml:space="preserve">aimed at developing work readiness in students </w:t>
            </w:r>
          </w:p>
        </w:tc>
        <w:tc>
          <w:tcPr>
            <w:tcW w:w="0" w:type="auto"/>
            <w:tcBorders>
              <w:top w:val="nil"/>
              <w:left w:val="nil"/>
              <w:bottom w:val="single" w:sz="4" w:space="0" w:color="000000"/>
              <w:right w:val="nil"/>
            </w:tcBorders>
            <w:shd w:val="clear" w:color="000000" w:fill="FFFFFF"/>
            <w:vAlign w:val="center"/>
            <w:hideMark/>
          </w:tcPr>
          <w:p w14:paraId="1AE6C10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Practical Ability in Industry</w:t>
            </w:r>
            <w:r w:rsidRPr="00DE6D3C">
              <w:rPr>
                <w:rFonts w:ascii="Times New Roman" w:eastAsia="Times New Roman" w:hAnsi="Times New Roman" w:cs="Times New Roman"/>
                <w:color w:val="000000"/>
                <w:lang w:eastAsia="nl-NL"/>
              </w:rPr>
              <w:br/>
            </w:r>
            <w:r w:rsidRPr="00DE6D3C">
              <w:rPr>
                <w:rFonts w:ascii="Times New Roman" w:eastAsia="Times New Roman" w:hAnsi="Times New Roman" w:cs="Times New Roman"/>
                <w:color w:val="000000"/>
                <w:lang w:eastAsia="nl-NL"/>
              </w:rPr>
              <w:br/>
              <w:t>Work Readiness</w:t>
            </w:r>
          </w:p>
        </w:tc>
        <w:tc>
          <w:tcPr>
            <w:tcW w:w="0" w:type="auto"/>
            <w:tcBorders>
              <w:top w:val="nil"/>
              <w:left w:val="nil"/>
              <w:bottom w:val="single" w:sz="4" w:space="0" w:color="000000"/>
              <w:right w:val="nil"/>
            </w:tcBorders>
            <w:shd w:val="clear" w:color="000000" w:fill="FFFFFF"/>
            <w:vAlign w:val="center"/>
            <w:hideMark/>
          </w:tcPr>
          <w:p w14:paraId="21876B3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Opinion surveys of participating students, academic tutors and company mentors</w:t>
            </w:r>
          </w:p>
        </w:tc>
        <w:tc>
          <w:tcPr>
            <w:tcW w:w="0" w:type="auto"/>
            <w:tcBorders>
              <w:top w:val="nil"/>
              <w:left w:val="nil"/>
              <w:bottom w:val="single" w:sz="4" w:space="0" w:color="000000"/>
              <w:right w:val="nil"/>
            </w:tcBorders>
            <w:shd w:val="clear" w:color="000000" w:fill="FFFFFF"/>
            <w:vAlign w:val="center"/>
            <w:hideMark/>
          </w:tcPr>
          <w:p w14:paraId="63287EE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 Inconclusive Labor Market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The data show that 63% of companies are willing to hire students as new staff, while only 19% are not interested. Although quantifying skill improvement from internships is challenging, satisfaction surveys reveal a high level of contentment with the curriculum's objectives.</w:t>
            </w:r>
          </w:p>
        </w:tc>
      </w:tr>
      <w:tr w:rsidR="008B753D" w:rsidRPr="00DE6D3C" w14:paraId="4F1747DF"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77CF90B1"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 xml:space="preserve">Ferreras-Garcia </w:t>
            </w:r>
            <w:r w:rsidRPr="00DE6D3C">
              <w:rPr>
                <w:rFonts w:ascii="Times New Roman" w:eastAsia="Times New Roman" w:hAnsi="Times New Roman" w:cs="Times New Roman"/>
                <w:b/>
                <w:bCs/>
                <w:i/>
                <w:iCs/>
                <w:color w:val="000000"/>
                <w:lang w:eastAsia="nl-NL"/>
              </w:rPr>
              <w:t>et al.,</w:t>
            </w:r>
            <w:r w:rsidRPr="00DE6D3C">
              <w:rPr>
                <w:rFonts w:ascii="Times New Roman" w:eastAsia="Times New Roman" w:hAnsi="Times New Roman" w:cs="Times New Roman"/>
                <w:b/>
                <w:bCs/>
                <w:color w:val="000000"/>
                <w:lang w:eastAsia="nl-NL"/>
              </w:rPr>
              <w:t xml:space="preserve"> 2019</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(10/18)</w:t>
            </w:r>
          </w:p>
        </w:tc>
        <w:tc>
          <w:tcPr>
            <w:tcW w:w="0" w:type="auto"/>
            <w:tcBorders>
              <w:top w:val="single" w:sz="4" w:space="0" w:color="000000"/>
              <w:left w:val="nil"/>
              <w:bottom w:val="single" w:sz="4" w:space="0" w:color="000000"/>
              <w:right w:val="nil"/>
            </w:tcBorders>
            <w:shd w:val="clear" w:color="000000" w:fill="FFFFFF"/>
            <w:vAlign w:val="center"/>
            <w:hideMark/>
          </w:tcPr>
          <w:p w14:paraId="70EED946"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Case study of n = 300 students participating in mandatory Internships in the bachelor degree in Tourism and Hospitality Management at the School of Tourism and  Hospitality </w:t>
            </w:r>
            <w:r w:rsidRPr="00DE6D3C">
              <w:rPr>
                <w:rFonts w:ascii="Times New Roman" w:eastAsia="Times New Roman" w:hAnsi="Times New Roman" w:cs="Times New Roman"/>
                <w:color w:val="000000"/>
                <w:lang w:eastAsia="nl-NL"/>
              </w:rPr>
              <w:lastRenderedPageBreak/>
              <w:t>Management Sant Ignasi</w:t>
            </w:r>
          </w:p>
        </w:tc>
        <w:tc>
          <w:tcPr>
            <w:tcW w:w="0" w:type="auto"/>
            <w:tcBorders>
              <w:top w:val="nil"/>
              <w:left w:val="nil"/>
              <w:bottom w:val="single" w:sz="4" w:space="0" w:color="000000"/>
              <w:right w:val="nil"/>
            </w:tcBorders>
            <w:shd w:val="clear" w:color="000000" w:fill="FFFFFF"/>
            <w:vAlign w:val="center"/>
            <w:hideMark/>
          </w:tcPr>
          <w:p w14:paraId="16123FC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lastRenderedPageBreak/>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55248330"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Internship placements during studies aimed at cultivating work-readiness in students </w:t>
            </w:r>
          </w:p>
        </w:tc>
        <w:tc>
          <w:tcPr>
            <w:tcW w:w="0" w:type="auto"/>
            <w:tcBorders>
              <w:top w:val="nil"/>
              <w:left w:val="nil"/>
              <w:bottom w:val="single" w:sz="4" w:space="0" w:color="000000"/>
              <w:right w:val="nil"/>
            </w:tcBorders>
            <w:shd w:val="clear" w:color="000000" w:fill="FFFFFF"/>
            <w:vAlign w:val="center"/>
            <w:hideMark/>
          </w:tcPr>
          <w:p w14:paraId="74C9AB7D"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Work Readiness </w:t>
            </w:r>
          </w:p>
        </w:tc>
        <w:tc>
          <w:tcPr>
            <w:tcW w:w="0" w:type="auto"/>
            <w:tcBorders>
              <w:top w:val="nil"/>
              <w:left w:val="nil"/>
              <w:bottom w:val="single" w:sz="4" w:space="0" w:color="000000"/>
              <w:right w:val="nil"/>
            </w:tcBorders>
            <w:shd w:val="clear" w:color="000000" w:fill="FFFFFF"/>
            <w:vAlign w:val="center"/>
            <w:hideMark/>
          </w:tcPr>
          <w:p w14:paraId="77C4DF8E"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Supervisor's evaluations of students through questionnaire </w:t>
            </w:r>
          </w:p>
        </w:tc>
        <w:tc>
          <w:tcPr>
            <w:tcW w:w="0" w:type="auto"/>
            <w:tcBorders>
              <w:top w:val="nil"/>
              <w:left w:val="nil"/>
              <w:bottom w:val="single" w:sz="4" w:space="0" w:color="000000"/>
              <w:right w:val="nil"/>
            </w:tcBorders>
            <w:shd w:val="clear" w:color="000000" w:fill="FFFFFF"/>
            <w:vAlign w:val="center"/>
            <w:hideMark/>
          </w:tcPr>
          <w:p w14:paraId="56C1423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Students achieved high scores in all competences, with the highest being in cross-disciplinary competence G1 (commitment to ethics) at 3.8. The HTSI’s strategies for aligning student </w:t>
            </w:r>
            <w:r w:rsidRPr="00DE6D3C">
              <w:rPr>
                <w:rFonts w:ascii="Times New Roman" w:eastAsia="Times New Roman" w:hAnsi="Times New Roman" w:cs="Times New Roman"/>
                <w:color w:val="000000"/>
                <w:lang w:eastAsia="nl-NL"/>
              </w:rPr>
              <w:lastRenderedPageBreak/>
              <w:t>competences with job market demands in the hospitality and tourism sector have been successful, as companies report significant development in these competences.</w:t>
            </w:r>
          </w:p>
        </w:tc>
      </w:tr>
      <w:tr w:rsidR="008B753D" w:rsidRPr="00DE6D3C" w14:paraId="3ADDF130" w14:textId="77777777" w:rsidTr="00FE108B">
        <w:trPr>
          <w:trHeight w:val="2052"/>
        </w:trPr>
        <w:tc>
          <w:tcPr>
            <w:tcW w:w="0" w:type="auto"/>
            <w:tcBorders>
              <w:top w:val="nil"/>
              <w:left w:val="nil"/>
              <w:bottom w:val="single" w:sz="4" w:space="0" w:color="000000"/>
              <w:right w:val="nil"/>
            </w:tcBorders>
            <w:shd w:val="clear" w:color="000000" w:fill="FFFFFF"/>
            <w:vAlign w:val="center"/>
            <w:hideMark/>
          </w:tcPr>
          <w:p w14:paraId="4B2D1FCF"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 xml:space="preserve">Goodenough </w:t>
            </w:r>
            <w:r w:rsidRPr="00DE6D3C">
              <w:rPr>
                <w:rFonts w:ascii="Times New Roman" w:eastAsia="Times New Roman" w:hAnsi="Times New Roman" w:cs="Times New Roman"/>
                <w:b/>
                <w:bCs/>
                <w:i/>
                <w:iCs/>
                <w:color w:val="000000"/>
                <w:lang w:eastAsia="nl-NL"/>
              </w:rPr>
              <w:t>et al.,</w:t>
            </w:r>
            <w:r w:rsidRPr="00DE6D3C">
              <w:rPr>
                <w:rFonts w:ascii="Times New Roman" w:eastAsia="Times New Roman" w:hAnsi="Times New Roman" w:cs="Times New Roman"/>
                <w:b/>
                <w:bCs/>
                <w:color w:val="000000"/>
                <w:lang w:eastAsia="nl-NL"/>
              </w:rPr>
              <w:t xml:space="preserve"> 2020</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strong overall quality (13/18)</w:t>
            </w:r>
          </w:p>
        </w:tc>
        <w:tc>
          <w:tcPr>
            <w:tcW w:w="0" w:type="auto"/>
            <w:tcBorders>
              <w:top w:val="single" w:sz="4" w:space="0" w:color="000000"/>
              <w:left w:val="nil"/>
              <w:bottom w:val="single" w:sz="4" w:space="0" w:color="000000"/>
              <w:right w:val="nil"/>
            </w:tcBorders>
            <w:shd w:val="clear" w:color="000000" w:fill="FFFFFF"/>
            <w:vAlign w:val="center"/>
            <w:hideMark/>
          </w:tcPr>
          <w:p w14:paraId="1D2A345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Cohort study of n = 26 interns and non-interns (split equally) enrolled in various second year Bachelor programs at University of Gloucestershire </w:t>
            </w:r>
          </w:p>
        </w:tc>
        <w:tc>
          <w:tcPr>
            <w:tcW w:w="0" w:type="auto"/>
            <w:tcBorders>
              <w:top w:val="nil"/>
              <w:left w:val="nil"/>
              <w:bottom w:val="single" w:sz="4" w:space="0" w:color="000000"/>
              <w:right w:val="nil"/>
            </w:tcBorders>
            <w:shd w:val="clear" w:color="000000" w:fill="FFFFFF"/>
            <w:vAlign w:val="center"/>
            <w:hideMark/>
          </w:tcPr>
          <w:p w14:paraId="77260BB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099D960D"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Internships to train Resilience in Students</w:t>
            </w:r>
          </w:p>
        </w:tc>
        <w:tc>
          <w:tcPr>
            <w:tcW w:w="0" w:type="auto"/>
            <w:tcBorders>
              <w:top w:val="nil"/>
              <w:left w:val="nil"/>
              <w:bottom w:val="single" w:sz="4" w:space="0" w:color="000000"/>
              <w:right w:val="nil"/>
            </w:tcBorders>
            <w:shd w:val="clear" w:color="000000" w:fill="FFFFFF"/>
            <w:vAlign w:val="center"/>
            <w:hideMark/>
          </w:tcPr>
          <w:p w14:paraId="7D922758"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Resilience Training </w:t>
            </w:r>
          </w:p>
        </w:tc>
        <w:tc>
          <w:tcPr>
            <w:tcW w:w="0" w:type="auto"/>
            <w:tcBorders>
              <w:top w:val="nil"/>
              <w:left w:val="nil"/>
              <w:bottom w:val="single" w:sz="4" w:space="0" w:color="000000"/>
              <w:right w:val="nil"/>
            </w:tcBorders>
            <w:shd w:val="clear" w:color="000000" w:fill="FFFFFF"/>
            <w:vAlign w:val="center"/>
            <w:hideMark/>
          </w:tcPr>
          <w:p w14:paraId="6AFC44C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The Resilience Questionnaire (TM) </w:t>
            </w:r>
            <w:r w:rsidRPr="00DE6D3C">
              <w:rPr>
                <w:rFonts w:ascii="Times New Roman" w:eastAsia="Times New Roman" w:hAnsi="Times New Roman" w:cs="Times New Roman"/>
                <w:color w:val="000000"/>
                <w:lang w:eastAsia="nl-NL"/>
              </w:rPr>
              <w:br/>
            </w:r>
            <w:r w:rsidRPr="00DE6D3C">
              <w:rPr>
                <w:rFonts w:ascii="Times New Roman" w:eastAsia="Times New Roman" w:hAnsi="Times New Roman" w:cs="Times New Roman"/>
                <w:color w:val="000000"/>
                <w:lang w:eastAsia="nl-NL"/>
              </w:rPr>
              <w:br/>
              <w:t xml:space="preserve">Focus Group with attendants </w:t>
            </w:r>
          </w:p>
        </w:tc>
        <w:tc>
          <w:tcPr>
            <w:tcW w:w="0" w:type="auto"/>
            <w:tcBorders>
              <w:top w:val="nil"/>
              <w:left w:val="nil"/>
              <w:bottom w:val="single" w:sz="4" w:space="0" w:color="000000"/>
              <w:right w:val="nil"/>
            </w:tcBorders>
            <w:shd w:val="clear" w:color="000000" w:fill="FFFFFF"/>
            <w:vAlign w:val="center"/>
            <w:hideMark/>
          </w:tcPr>
          <w:p w14:paraId="6AE6FF5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Participants in the internship module scored significantly higher in challenge orientation but lower in adaptability compared to those not in the module. No significant differences were found in other resilience components or by course and gender.</w:t>
            </w:r>
          </w:p>
        </w:tc>
      </w:tr>
      <w:tr w:rsidR="008B753D" w:rsidRPr="00DE6D3C" w14:paraId="0A0F97A9" w14:textId="77777777" w:rsidTr="00FE108B">
        <w:trPr>
          <w:trHeight w:val="2292"/>
        </w:trPr>
        <w:tc>
          <w:tcPr>
            <w:tcW w:w="0" w:type="auto"/>
            <w:tcBorders>
              <w:top w:val="nil"/>
              <w:left w:val="nil"/>
              <w:bottom w:val="single" w:sz="4" w:space="0" w:color="000000"/>
              <w:right w:val="nil"/>
            </w:tcBorders>
            <w:shd w:val="clear" w:color="000000" w:fill="FFFFFF"/>
            <w:vAlign w:val="center"/>
            <w:hideMark/>
          </w:tcPr>
          <w:p w14:paraId="6F7A96C6"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 xml:space="preserve">Lloyd </w:t>
            </w:r>
            <w:r w:rsidRPr="00DE6D3C">
              <w:rPr>
                <w:rFonts w:ascii="Times New Roman" w:eastAsia="Times New Roman" w:hAnsi="Times New Roman" w:cs="Times New Roman"/>
                <w:b/>
                <w:bCs/>
                <w:i/>
                <w:iCs/>
                <w:color w:val="000000"/>
                <w:lang w:eastAsia="nl-NL"/>
              </w:rPr>
              <w:t>et al.,</w:t>
            </w:r>
            <w:r w:rsidRPr="00DE6D3C">
              <w:rPr>
                <w:rFonts w:ascii="Times New Roman" w:eastAsia="Times New Roman" w:hAnsi="Times New Roman" w:cs="Times New Roman"/>
                <w:b/>
                <w:bCs/>
                <w:color w:val="000000"/>
                <w:lang w:eastAsia="nl-NL"/>
              </w:rPr>
              <w:t xml:space="preserve"> 2019</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(6.5/18)</w:t>
            </w:r>
          </w:p>
        </w:tc>
        <w:tc>
          <w:tcPr>
            <w:tcW w:w="0" w:type="auto"/>
            <w:tcBorders>
              <w:top w:val="single" w:sz="4" w:space="0" w:color="000000"/>
              <w:left w:val="nil"/>
              <w:bottom w:val="single" w:sz="4" w:space="0" w:color="000000"/>
              <w:right w:val="nil"/>
            </w:tcBorders>
            <w:shd w:val="clear" w:color="000000" w:fill="FFFFFF"/>
            <w:vAlign w:val="center"/>
            <w:hideMark/>
          </w:tcPr>
          <w:p w14:paraId="4CF7300D"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Case study of n = 11 students enrolled in a strategic sales course in a small, liberal arts college, USA</w:t>
            </w:r>
          </w:p>
        </w:tc>
        <w:tc>
          <w:tcPr>
            <w:tcW w:w="0" w:type="auto"/>
            <w:tcBorders>
              <w:top w:val="nil"/>
              <w:left w:val="nil"/>
              <w:bottom w:val="single" w:sz="4" w:space="0" w:color="000000"/>
              <w:right w:val="nil"/>
            </w:tcBorders>
            <w:shd w:val="clear" w:color="000000" w:fill="FFFFFF"/>
            <w:vAlign w:val="center"/>
            <w:hideMark/>
          </w:tcPr>
          <w:p w14:paraId="41FB41F5"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5F1E28AC"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Cold Calling as an Experiential Learning Exercise to prepare students for real-world experience of sales </w:t>
            </w:r>
          </w:p>
        </w:tc>
        <w:tc>
          <w:tcPr>
            <w:tcW w:w="0" w:type="auto"/>
            <w:tcBorders>
              <w:top w:val="nil"/>
              <w:left w:val="nil"/>
              <w:bottom w:val="single" w:sz="4" w:space="0" w:color="000000"/>
              <w:right w:val="nil"/>
            </w:tcBorders>
            <w:shd w:val="clear" w:color="000000" w:fill="FFFFFF"/>
            <w:vAlign w:val="center"/>
            <w:hideMark/>
          </w:tcPr>
          <w:p w14:paraId="230B321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Emotional Competence</w:t>
            </w:r>
            <w:r w:rsidRPr="00DE6D3C">
              <w:rPr>
                <w:rFonts w:ascii="Times New Roman" w:eastAsia="Times New Roman" w:hAnsi="Times New Roman" w:cs="Times New Roman"/>
                <w:color w:val="000000"/>
                <w:lang w:eastAsia="nl-NL"/>
              </w:rPr>
              <w:br/>
              <w:t xml:space="preserve">Interpersonal Skill </w:t>
            </w:r>
            <w:r w:rsidRPr="00DE6D3C">
              <w:rPr>
                <w:rFonts w:ascii="Times New Roman" w:eastAsia="Times New Roman" w:hAnsi="Times New Roman" w:cs="Times New Roman"/>
                <w:color w:val="000000"/>
                <w:lang w:eastAsia="nl-NL"/>
              </w:rPr>
              <w:br/>
              <w:t xml:space="preserve">Teamwork Skill </w:t>
            </w:r>
            <w:r w:rsidRPr="00DE6D3C">
              <w:rPr>
                <w:rFonts w:ascii="Times New Roman" w:eastAsia="Times New Roman" w:hAnsi="Times New Roman" w:cs="Times New Roman"/>
                <w:color w:val="000000"/>
                <w:lang w:eastAsia="nl-NL"/>
              </w:rPr>
              <w:br/>
              <w:t xml:space="preserve">Problem Solving Skills </w:t>
            </w:r>
          </w:p>
        </w:tc>
        <w:tc>
          <w:tcPr>
            <w:tcW w:w="0" w:type="auto"/>
            <w:tcBorders>
              <w:top w:val="nil"/>
              <w:left w:val="nil"/>
              <w:bottom w:val="single" w:sz="4" w:space="0" w:color="000000"/>
              <w:right w:val="nil"/>
            </w:tcBorders>
            <w:shd w:val="clear" w:color="000000" w:fill="FFFFFF"/>
            <w:vAlign w:val="center"/>
            <w:hideMark/>
          </w:tcPr>
          <w:p w14:paraId="7F8C790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Final scores based on parameters of the cold-calling exercise </w:t>
            </w:r>
          </w:p>
        </w:tc>
        <w:tc>
          <w:tcPr>
            <w:tcW w:w="0" w:type="auto"/>
            <w:tcBorders>
              <w:top w:val="nil"/>
              <w:left w:val="nil"/>
              <w:bottom w:val="single" w:sz="4" w:space="0" w:color="000000"/>
              <w:right w:val="nil"/>
            </w:tcBorders>
            <w:shd w:val="clear" w:color="000000" w:fill="FFFFFF"/>
            <w:vAlign w:val="center"/>
            <w:hideMark/>
          </w:tcPr>
          <w:p w14:paraId="4B0B42D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By the end of the Fall semester, 8 of the 11 students achieved at least 75 points. The case demonstrates that students can adopt the key behaviors and practices of successful professional cold-callers, which also positively </w:t>
            </w:r>
            <w:r w:rsidRPr="00DE6D3C">
              <w:rPr>
                <w:rFonts w:ascii="Times New Roman" w:eastAsia="Times New Roman" w:hAnsi="Times New Roman" w:cs="Times New Roman"/>
                <w:color w:val="000000"/>
                <w:lang w:eastAsia="nl-NL"/>
              </w:rPr>
              <w:lastRenderedPageBreak/>
              <w:t>impacted the university's recruiting efforts and increased matriculation numbers.</w:t>
            </w:r>
          </w:p>
        </w:tc>
      </w:tr>
      <w:tr w:rsidR="008B753D" w:rsidRPr="00DE6D3C" w14:paraId="0E275165" w14:textId="77777777" w:rsidTr="00FE108B">
        <w:trPr>
          <w:trHeight w:val="2052"/>
        </w:trPr>
        <w:tc>
          <w:tcPr>
            <w:tcW w:w="0" w:type="auto"/>
            <w:tcBorders>
              <w:top w:val="nil"/>
              <w:left w:val="nil"/>
              <w:bottom w:val="single" w:sz="4" w:space="0" w:color="000000"/>
              <w:right w:val="nil"/>
            </w:tcBorders>
            <w:shd w:val="clear" w:color="000000" w:fill="FFFFFF"/>
            <w:vAlign w:val="center"/>
            <w:hideMark/>
          </w:tcPr>
          <w:p w14:paraId="1339DD4D"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lastRenderedPageBreak/>
              <w:t xml:space="preserve">Purdie </w:t>
            </w:r>
            <w:r w:rsidRPr="00DE6D3C">
              <w:rPr>
                <w:rFonts w:ascii="Times New Roman" w:eastAsia="Times New Roman" w:hAnsi="Times New Roman" w:cs="Times New Roman"/>
                <w:b/>
                <w:bCs/>
                <w:i/>
                <w:iCs/>
                <w:color w:val="000000"/>
                <w:lang w:val="nl-NL" w:eastAsia="nl-NL"/>
              </w:rPr>
              <w:t>et al.,</w:t>
            </w:r>
            <w:r w:rsidRPr="00DE6D3C">
              <w:rPr>
                <w:rFonts w:ascii="Times New Roman" w:eastAsia="Times New Roman" w:hAnsi="Times New Roman" w:cs="Times New Roman"/>
                <w:b/>
                <w:bCs/>
                <w:color w:val="000000"/>
                <w:lang w:val="nl-NL" w:eastAsia="nl-NL"/>
              </w:rPr>
              <w:t xml:space="preserve"> 2013</w:t>
            </w:r>
            <w:r w:rsidRPr="00DE6D3C">
              <w:rPr>
                <w:rFonts w:ascii="Times New Roman" w:eastAsia="Times New Roman" w:hAnsi="Times New Roman" w:cs="Times New Roman"/>
                <w:b/>
                <w:bCs/>
                <w:color w:val="000000"/>
                <w:lang w:val="nl-NL" w:eastAsia="nl-NL"/>
              </w:rPr>
              <w:br/>
            </w:r>
            <w:r w:rsidRPr="00DE6D3C">
              <w:rPr>
                <w:rFonts w:ascii="Times New Roman" w:eastAsia="Times New Roman" w:hAnsi="Times New Roman" w:cs="Times New Roman"/>
                <w:b/>
                <w:bCs/>
                <w:color w:val="000000"/>
                <w:lang w:val="nl-NL" w:eastAsia="nl-NL"/>
              </w:rPr>
              <w:br/>
              <w:t>moderate overall quality (12/18)</w:t>
            </w:r>
          </w:p>
        </w:tc>
        <w:tc>
          <w:tcPr>
            <w:tcW w:w="0" w:type="auto"/>
            <w:tcBorders>
              <w:top w:val="single" w:sz="4" w:space="0" w:color="000000"/>
              <w:left w:val="nil"/>
              <w:bottom w:val="single" w:sz="4" w:space="0" w:color="000000"/>
              <w:right w:val="nil"/>
            </w:tcBorders>
            <w:shd w:val="clear" w:color="000000" w:fill="FFFFFF"/>
            <w:vAlign w:val="center"/>
            <w:hideMark/>
          </w:tcPr>
          <w:p w14:paraId="2DEBA19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Cross-sectional study of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716) self-selected undergraduate students of University of Huddersfield, UK </w:t>
            </w:r>
          </w:p>
        </w:tc>
        <w:tc>
          <w:tcPr>
            <w:tcW w:w="0" w:type="auto"/>
            <w:tcBorders>
              <w:top w:val="nil"/>
              <w:left w:val="nil"/>
              <w:bottom w:val="single" w:sz="4" w:space="0" w:color="000000"/>
              <w:right w:val="nil"/>
            </w:tcBorders>
            <w:shd w:val="clear" w:color="000000" w:fill="FFFFFF"/>
            <w:vAlign w:val="center"/>
            <w:hideMark/>
          </w:tcPr>
          <w:p w14:paraId="43A24CA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4462C096"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Work Integrated Learning within various disciplines to enhance skills, knowledge, competence, and experience that increase employability</w:t>
            </w:r>
          </w:p>
        </w:tc>
        <w:tc>
          <w:tcPr>
            <w:tcW w:w="0" w:type="auto"/>
            <w:tcBorders>
              <w:top w:val="nil"/>
              <w:left w:val="nil"/>
              <w:bottom w:val="single" w:sz="4" w:space="0" w:color="000000"/>
              <w:right w:val="nil"/>
            </w:tcBorders>
            <w:shd w:val="clear" w:color="000000" w:fill="FFFFFF"/>
            <w:vAlign w:val="center"/>
            <w:hideMark/>
          </w:tcPr>
          <w:p w14:paraId="1B831D40"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Increased Self Esteem </w:t>
            </w:r>
          </w:p>
        </w:tc>
        <w:tc>
          <w:tcPr>
            <w:tcW w:w="0" w:type="auto"/>
            <w:tcBorders>
              <w:top w:val="nil"/>
              <w:left w:val="nil"/>
              <w:bottom w:val="single" w:sz="4" w:space="0" w:color="000000"/>
              <w:right w:val="nil"/>
            </w:tcBorders>
            <w:shd w:val="clear" w:color="000000" w:fill="FFFFFF"/>
            <w:vAlign w:val="center"/>
            <w:hideMark/>
          </w:tcPr>
          <w:p w14:paraId="1005E32A"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Five different instruments measuring psychological attributes: Trait-hope scale; procrastination assessment scale; self-description questionnaire; college academic self-efficacy scale; motivation strategies of learning questionnaire</w:t>
            </w:r>
          </w:p>
        </w:tc>
        <w:tc>
          <w:tcPr>
            <w:tcW w:w="0" w:type="auto"/>
            <w:tcBorders>
              <w:top w:val="nil"/>
              <w:left w:val="nil"/>
              <w:bottom w:val="single" w:sz="4" w:space="0" w:color="000000"/>
              <w:right w:val="nil"/>
            </w:tcBorders>
            <w:shd w:val="clear" w:color="000000" w:fill="FFFFFF"/>
            <w:vAlign w:val="center"/>
            <w:hideMark/>
          </w:tcPr>
          <w:p w14:paraId="4CE87D9A"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The results indicate psychological differences between students who participated in Work Integrated Learning (WIL) and those who did not, with WIL participants showing greater hope and confidence in achieving their goals compared to their non-WIL peers.</w:t>
            </w:r>
          </w:p>
        </w:tc>
      </w:tr>
      <w:tr w:rsidR="008B753D" w:rsidRPr="00DE6D3C" w14:paraId="2EC24F64"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156A3801"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Rodzala and Saat, 2018</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(10.5/18)</w:t>
            </w:r>
          </w:p>
        </w:tc>
        <w:tc>
          <w:tcPr>
            <w:tcW w:w="0" w:type="auto"/>
            <w:tcBorders>
              <w:top w:val="single" w:sz="4" w:space="0" w:color="000000"/>
              <w:left w:val="nil"/>
              <w:bottom w:val="single" w:sz="4" w:space="0" w:color="000000"/>
              <w:right w:val="nil"/>
            </w:tcBorders>
            <w:shd w:val="clear" w:color="000000" w:fill="FFFFFF"/>
            <w:vAlign w:val="center"/>
            <w:hideMark/>
          </w:tcPr>
          <w:p w14:paraId="26F34D90"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Cohort study of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1.227 (pre-test) and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485 (post-test)</w:t>
            </w:r>
            <w:r w:rsidRPr="00DE6D3C">
              <w:rPr>
                <w:rFonts w:ascii="Times New Roman" w:eastAsia="Times New Roman" w:hAnsi="Times New Roman" w:cs="Times New Roman"/>
                <w:color w:val="000000"/>
                <w:lang w:eastAsia="nl-NL"/>
              </w:rPr>
              <w:br/>
              <w:t xml:space="preserve">students from six different public Malaysian universities </w:t>
            </w:r>
          </w:p>
        </w:tc>
        <w:tc>
          <w:tcPr>
            <w:tcW w:w="0" w:type="auto"/>
            <w:tcBorders>
              <w:top w:val="nil"/>
              <w:left w:val="nil"/>
              <w:bottom w:val="single" w:sz="4" w:space="0" w:color="000000"/>
              <w:right w:val="nil"/>
            </w:tcBorders>
            <w:shd w:val="clear" w:color="000000" w:fill="FFFFFF"/>
            <w:vAlign w:val="center"/>
            <w:hideMark/>
          </w:tcPr>
          <w:p w14:paraId="5EF366ED"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Governmental Demand</w:t>
            </w:r>
          </w:p>
        </w:tc>
        <w:tc>
          <w:tcPr>
            <w:tcW w:w="0" w:type="auto"/>
            <w:tcBorders>
              <w:top w:val="nil"/>
              <w:left w:val="nil"/>
              <w:bottom w:val="single" w:sz="4" w:space="0" w:color="000000"/>
              <w:right w:val="nil"/>
            </w:tcBorders>
            <w:shd w:val="clear" w:color="000000" w:fill="FFFFFF"/>
            <w:vAlign w:val="center"/>
            <w:hideMark/>
          </w:tcPr>
          <w:p w14:paraId="3AC0753A"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Industrial Training program for communication skill enhancement. By undergoing industrial training, students are expected to be able to speak fluently, with confidence and be knowledgeable to attract future employer‟s attention</w:t>
            </w:r>
          </w:p>
        </w:tc>
        <w:tc>
          <w:tcPr>
            <w:tcW w:w="0" w:type="auto"/>
            <w:tcBorders>
              <w:top w:val="nil"/>
              <w:left w:val="nil"/>
              <w:bottom w:val="single" w:sz="4" w:space="0" w:color="000000"/>
              <w:right w:val="nil"/>
            </w:tcBorders>
            <w:shd w:val="clear" w:color="000000" w:fill="FFFFFF"/>
            <w:vAlign w:val="center"/>
            <w:hideMark/>
          </w:tcPr>
          <w:p w14:paraId="045E17D4"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Communication Skills </w:t>
            </w:r>
          </w:p>
        </w:tc>
        <w:tc>
          <w:tcPr>
            <w:tcW w:w="0" w:type="auto"/>
            <w:tcBorders>
              <w:top w:val="nil"/>
              <w:left w:val="nil"/>
              <w:bottom w:val="single" w:sz="4" w:space="0" w:color="000000"/>
              <w:right w:val="nil"/>
            </w:tcBorders>
            <w:shd w:val="clear" w:color="000000" w:fill="FFFFFF"/>
            <w:vAlign w:val="center"/>
            <w:hideMark/>
          </w:tcPr>
          <w:p w14:paraId="28C4C6C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Survey self-assessed communication skills distributed to students completing industrial training</w:t>
            </w:r>
          </w:p>
        </w:tc>
        <w:tc>
          <w:tcPr>
            <w:tcW w:w="0" w:type="auto"/>
            <w:tcBorders>
              <w:top w:val="nil"/>
              <w:left w:val="nil"/>
              <w:bottom w:val="single" w:sz="4" w:space="0" w:color="000000"/>
              <w:right w:val="nil"/>
            </w:tcBorders>
            <w:shd w:val="clear" w:color="000000" w:fill="FFFFFF"/>
            <w:vAlign w:val="center"/>
            <w:hideMark/>
          </w:tcPr>
          <w:p w14:paraId="2009B06F"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The findings indicate that students benefitted from their industrial training, with the overall mean score rising from 4.68 to 4.83. While this aligns with Mat and Nabi (2013) who reported improved communication skills, it </w:t>
            </w:r>
            <w:r w:rsidRPr="00DE6D3C">
              <w:rPr>
                <w:rFonts w:ascii="Times New Roman" w:eastAsia="Times New Roman" w:hAnsi="Times New Roman" w:cs="Times New Roman"/>
                <w:color w:val="000000"/>
                <w:lang w:eastAsia="nl-NL"/>
              </w:rPr>
              <w:lastRenderedPageBreak/>
              <w:t xml:space="preserve">contradicts Omar M. K. et al. </w:t>
            </w:r>
            <w:r w:rsidRPr="00DE6D3C">
              <w:rPr>
                <w:rFonts w:ascii="Times New Roman" w:eastAsia="Times New Roman" w:hAnsi="Times New Roman" w:cs="Times New Roman"/>
                <w:color w:val="000000"/>
                <w:lang w:val="nl-NL" w:eastAsia="nl-NL"/>
              </w:rPr>
              <w:t>(2012), who found that industrial training primarily increased technical skills.</w:t>
            </w:r>
          </w:p>
        </w:tc>
      </w:tr>
      <w:tr w:rsidR="008B753D" w:rsidRPr="00DE6D3C" w14:paraId="4F418B1F" w14:textId="77777777" w:rsidTr="00FE108B">
        <w:trPr>
          <w:trHeight w:val="2213"/>
        </w:trPr>
        <w:tc>
          <w:tcPr>
            <w:tcW w:w="0" w:type="auto"/>
            <w:tcBorders>
              <w:top w:val="nil"/>
              <w:left w:val="nil"/>
              <w:bottom w:val="single" w:sz="4" w:space="0" w:color="000000"/>
              <w:right w:val="nil"/>
            </w:tcBorders>
            <w:shd w:val="clear" w:color="000000" w:fill="FFFFFF"/>
            <w:vAlign w:val="center"/>
            <w:hideMark/>
          </w:tcPr>
          <w:p w14:paraId="6F6C8A97"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 xml:space="preserve">Alwi </w:t>
            </w:r>
            <w:r w:rsidRPr="00DE6D3C">
              <w:rPr>
                <w:rFonts w:ascii="Times New Roman" w:eastAsia="Times New Roman" w:hAnsi="Times New Roman" w:cs="Times New Roman"/>
                <w:b/>
                <w:bCs/>
                <w:i/>
                <w:iCs/>
                <w:color w:val="000000"/>
                <w:lang w:eastAsia="nl-NL"/>
              </w:rPr>
              <w:t>et al.,</w:t>
            </w:r>
            <w:r w:rsidRPr="00DE6D3C">
              <w:rPr>
                <w:rFonts w:ascii="Times New Roman" w:eastAsia="Times New Roman" w:hAnsi="Times New Roman" w:cs="Times New Roman"/>
                <w:b/>
                <w:bCs/>
                <w:color w:val="000000"/>
                <w:lang w:eastAsia="nl-NL"/>
              </w:rPr>
              <w:t xml:space="preserve"> 2020</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(8/18)</w:t>
            </w:r>
          </w:p>
        </w:tc>
        <w:tc>
          <w:tcPr>
            <w:tcW w:w="0" w:type="auto"/>
            <w:tcBorders>
              <w:top w:val="single" w:sz="4" w:space="0" w:color="000000"/>
              <w:left w:val="nil"/>
              <w:bottom w:val="single" w:sz="4" w:space="0" w:color="000000"/>
              <w:right w:val="nil"/>
            </w:tcBorders>
            <w:shd w:val="clear" w:color="000000" w:fill="FFFFFF"/>
            <w:vAlign w:val="center"/>
            <w:hideMark/>
          </w:tcPr>
          <w:p w14:paraId="320DA5D6"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br/>
              <w:t>Ex post facto research Interviews with n= 12 graduates with low GPA at a university in Malaysia</w:t>
            </w:r>
          </w:p>
        </w:tc>
        <w:tc>
          <w:tcPr>
            <w:tcW w:w="0" w:type="auto"/>
            <w:tcBorders>
              <w:top w:val="nil"/>
              <w:left w:val="nil"/>
              <w:bottom w:val="single" w:sz="4" w:space="0" w:color="000000"/>
              <w:right w:val="nil"/>
            </w:tcBorders>
            <w:shd w:val="clear" w:color="000000" w:fill="FFFFFF"/>
            <w:vAlign w:val="center"/>
            <w:hideMark/>
          </w:tcPr>
          <w:p w14:paraId="509FDAA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1F93552A"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Specialized training (Work Integrated Learning through Industry Placement and Workshops) for low-performing students to train them in applying all the theories learnt at the university to the actual tasks in the real world, further increasing their competency and confidence level to enter the workforce</w:t>
            </w:r>
          </w:p>
        </w:tc>
        <w:tc>
          <w:tcPr>
            <w:tcW w:w="0" w:type="auto"/>
            <w:tcBorders>
              <w:top w:val="nil"/>
              <w:left w:val="nil"/>
              <w:bottom w:val="single" w:sz="4" w:space="0" w:color="000000"/>
              <w:right w:val="nil"/>
            </w:tcBorders>
            <w:shd w:val="clear" w:color="000000" w:fill="FFFFFF"/>
            <w:vAlign w:val="center"/>
            <w:hideMark/>
          </w:tcPr>
          <w:p w14:paraId="7236FDB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Self Efficacy </w:t>
            </w:r>
            <w:r w:rsidRPr="00DE6D3C">
              <w:rPr>
                <w:rFonts w:ascii="Times New Roman" w:eastAsia="Times New Roman" w:hAnsi="Times New Roman" w:cs="Times New Roman"/>
                <w:color w:val="000000"/>
                <w:lang w:eastAsia="nl-NL"/>
              </w:rPr>
              <w:br/>
              <w:t xml:space="preserve">Teamwork Skills </w:t>
            </w:r>
            <w:r w:rsidRPr="00DE6D3C">
              <w:rPr>
                <w:rFonts w:ascii="Times New Roman" w:eastAsia="Times New Roman" w:hAnsi="Times New Roman" w:cs="Times New Roman"/>
                <w:color w:val="000000"/>
                <w:lang w:eastAsia="nl-NL"/>
              </w:rPr>
              <w:br/>
              <w:t>Problem Solving Skills</w:t>
            </w:r>
          </w:p>
        </w:tc>
        <w:tc>
          <w:tcPr>
            <w:tcW w:w="0" w:type="auto"/>
            <w:tcBorders>
              <w:top w:val="nil"/>
              <w:left w:val="nil"/>
              <w:bottom w:val="single" w:sz="4" w:space="0" w:color="000000"/>
              <w:right w:val="nil"/>
            </w:tcBorders>
            <w:shd w:val="clear" w:color="000000" w:fill="FFFFFF"/>
            <w:vAlign w:val="center"/>
            <w:hideMark/>
          </w:tcPr>
          <w:p w14:paraId="42AFCD3D"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Reports of students about their placement uptake (i.e. work activity following graduation)</w:t>
            </w:r>
          </w:p>
        </w:tc>
        <w:tc>
          <w:tcPr>
            <w:tcW w:w="0" w:type="auto"/>
            <w:tcBorders>
              <w:top w:val="nil"/>
              <w:left w:val="nil"/>
              <w:bottom w:val="single" w:sz="4" w:space="0" w:color="000000"/>
              <w:right w:val="nil"/>
            </w:tcBorders>
            <w:shd w:val="clear" w:color="000000" w:fill="FFFFFF"/>
            <w:vAlign w:val="center"/>
            <w:hideMark/>
          </w:tcPr>
          <w:p w14:paraId="6D6177E5"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Intervention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All participants in the GST specialized training program were employed at the time of the interview. The program enhanced their technical expertise in GST, as well as their verbal and written communication skills, and increased their self-esteem.</w:t>
            </w:r>
          </w:p>
        </w:tc>
      </w:tr>
      <w:tr w:rsidR="008B753D" w:rsidRPr="00DE6D3C" w14:paraId="18839B7E" w14:textId="77777777" w:rsidTr="00FE108B">
        <w:trPr>
          <w:trHeight w:val="3012"/>
        </w:trPr>
        <w:tc>
          <w:tcPr>
            <w:tcW w:w="0" w:type="auto"/>
            <w:tcBorders>
              <w:top w:val="nil"/>
              <w:left w:val="nil"/>
              <w:bottom w:val="single" w:sz="4" w:space="0" w:color="000000"/>
              <w:right w:val="nil"/>
            </w:tcBorders>
            <w:shd w:val="clear" w:color="000000" w:fill="FFFFFF"/>
            <w:vAlign w:val="center"/>
            <w:hideMark/>
          </w:tcPr>
          <w:p w14:paraId="2082F2B7"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 xml:space="preserve">Bates </w:t>
            </w:r>
            <w:r w:rsidRPr="00DE6D3C">
              <w:rPr>
                <w:rFonts w:ascii="Times New Roman" w:eastAsia="Times New Roman" w:hAnsi="Times New Roman" w:cs="Times New Roman"/>
                <w:b/>
                <w:bCs/>
                <w:i/>
                <w:iCs/>
                <w:color w:val="000000"/>
                <w:lang w:eastAsia="nl-NL"/>
              </w:rPr>
              <w:t>et al.,</w:t>
            </w:r>
            <w:r w:rsidRPr="00DE6D3C">
              <w:rPr>
                <w:rFonts w:ascii="Times New Roman" w:eastAsia="Times New Roman" w:hAnsi="Times New Roman" w:cs="Times New Roman"/>
                <w:b/>
                <w:bCs/>
                <w:color w:val="000000"/>
                <w:lang w:eastAsia="nl-NL"/>
              </w:rPr>
              <w:t xml:space="preserve"> 2018</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moderate overall quality (11.5/18)</w:t>
            </w:r>
          </w:p>
        </w:tc>
        <w:tc>
          <w:tcPr>
            <w:tcW w:w="0" w:type="auto"/>
            <w:tcBorders>
              <w:top w:val="single" w:sz="4" w:space="0" w:color="000000"/>
              <w:left w:val="nil"/>
              <w:bottom w:val="single" w:sz="4" w:space="0" w:color="000000"/>
              <w:right w:val="nil"/>
            </w:tcBorders>
            <w:shd w:val="clear" w:color="000000" w:fill="FFFFFF"/>
            <w:vAlign w:val="center"/>
            <w:hideMark/>
          </w:tcPr>
          <w:p w14:paraId="5AA610C6"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Case study of n = 403 Australian alumni. Data from Australian graduate surveys between 2012-2015</w:t>
            </w:r>
          </w:p>
        </w:tc>
        <w:tc>
          <w:tcPr>
            <w:tcW w:w="0" w:type="auto"/>
            <w:tcBorders>
              <w:top w:val="nil"/>
              <w:left w:val="nil"/>
              <w:bottom w:val="single" w:sz="4" w:space="0" w:color="000000"/>
              <w:right w:val="nil"/>
            </w:tcBorders>
            <w:shd w:val="clear" w:color="000000" w:fill="FFFFFF"/>
            <w:vAlign w:val="center"/>
            <w:hideMark/>
          </w:tcPr>
          <w:p w14:paraId="2FDE61E9"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015EE34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Work Integrated Learning (WIL) in an industry placement during study to develop self-efficacy and career decision making self-efficacy, appropriate career selection, and development of professional identity </w:t>
            </w:r>
          </w:p>
        </w:tc>
        <w:tc>
          <w:tcPr>
            <w:tcW w:w="0" w:type="auto"/>
            <w:tcBorders>
              <w:top w:val="nil"/>
              <w:left w:val="nil"/>
              <w:bottom w:val="single" w:sz="4" w:space="0" w:color="000000"/>
              <w:right w:val="nil"/>
            </w:tcBorders>
            <w:shd w:val="clear" w:color="000000" w:fill="FFFFFF"/>
            <w:vAlign w:val="center"/>
            <w:hideMark/>
          </w:tcPr>
          <w:p w14:paraId="304257D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Career Management Skill</w:t>
            </w:r>
            <w:r w:rsidRPr="00DE6D3C">
              <w:rPr>
                <w:rFonts w:ascii="Times New Roman" w:eastAsia="Times New Roman" w:hAnsi="Times New Roman" w:cs="Times New Roman"/>
                <w:color w:val="000000"/>
                <w:lang w:eastAsia="nl-NL"/>
              </w:rPr>
              <w:br/>
              <w:t xml:space="preserve">Self Efficacy </w:t>
            </w:r>
          </w:p>
        </w:tc>
        <w:tc>
          <w:tcPr>
            <w:tcW w:w="0" w:type="auto"/>
            <w:tcBorders>
              <w:top w:val="nil"/>
              <w:left w:val="nil"/>
              <w:bottom w:val="single" w:sz="4" w:space="0" w:color="000000"/>
              <w:right w:val="nil"/>
            </w:tcBorders>
            <w:shd w:val="clear" w:color="000000" w:fill="FFFFFF"/>
            <w:vAlign w:val="center"/>
            <w:hideMark/>
          </w:tcPr>
          <w:p w14:paraId="7C30914B"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Placement Uptake</w:t>
            </w:r>
          </w:p>
        </w:tc>
        <w:tc>
          <w:tcPr>
            <w:tcW w:w="0" w:type="auto"/>
            <w:tcBorders>
              <w:top w:val="nil"/>
              <w:left w:val="nil"/>
              <w:bottom w:val="single" w:sz="4" w:space="0" w:color="000000"/>
              <w:right w:val="nil"/>
            </w:tcBorders>
            <w:shd w:val="clear" w:color="000000" w:fill="FFFFFF"/>
            <w:vAlign w:val="center"/>
            <w:hideMark/>
          </w:tcPr>
          <w:p w14:paraId="6E42ECCE"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 xml:space="preserve">Positive Labor Market Outcome </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br/>
              <w:t>The study revealed that 80.1% of students undertook paid work in their final year, and 51.6% were still job searching four months post-graduation. Those who completed the Developing Professionally and Professional Practice courses at Griffith University were more likely to use diverse job search strategies and secure employment in justice-related fields compared to those who did not take the course.</w:t>
            </w:r>
          </w:p>
        </w:tc>
      </w:tr>
      <w:tr w:rsidR="008B753D" w:rsidRPr="00DE6D3C" w14:paraId="5D56C56C" w14:textId="77777777" w:rsidTr="00FE108B">
        <w:trPr>
          <w:trHeight w:val="3012"/>
        </w:trPr>
        <w:tc>
          <w:tcPr>
            <w:tcW w:w="0" w:type="auto"/>
            <w:tcBorders>
              <w:top w:val="nil"/>
              <w:left w:val="nil"/>
              <w:bottom w:val="single" w:sz="4" w:space="0" w:color="000000"/>
              <w:right w:val="nil"/>
            </w:tcBorders>
            <w:shd w:val="clear" w:color="000000" w:fill="FFFFFF"/>
            <w:vAlign w:val="center"/>
            <w:hideMark/>
          </w:tcPr>
          <w:p w14:paraId="0BF0DF9B" w14:textId="77777777" w:rsidR="008B753D" w:rsidRPr="00DE6D3C" w:rsidRDefault="008B753D" w:rsidP="00FE108B">
            <w:pPr>
              <w:spacing w:after="0" w:line="240" w:lineRule="auto"/>
              <w:rPr>
                <w:rFonts w:ascii="Times New Roman" w:eastAsia="Times New Roman" w:hAnsi="Times New Roman" w:cs="Times New Roman"/>
                <w:b/>
                <w:bCs/>
                <w:color w:val="000000"/>
                <w:lang w:val="nl-NL" w:eastAsia="nl-NL"/>
              </w:rPr>
            </w:pPr>
            <w:r w:rsidRPr="00DE6D3C">
              <w:rPr>
                <w:rFonts w:ascii="Times New Roman" w:eastAsia="Times New Roman" w:hAnsi="Times New Roman" w:cs="Times New Roman"/>
                <w:b/>
                <w:bCs/>
                <w:color w:val="000000"/>
                <w:lang w:val="nl-NL" w:eastAsia="nl-NL"/>
              </w:rPr>
              <w:t>Garwe, 2020</w:t>
            </w:r>
            <w:r w:rsidRPr="00DE6D3C">
              <w:rPr>
                <w:rFonts w:ascii="Times New Roman" w:eastAsia="Times New Roman" w:hAnsi="Times New Roman" w:cs="Times New Roman"/>
                <w:b/>
                <w:bCs/>
                <w:color w:val="000000"/>
                <w:lang w:val="nl-NL" w:eastAsia="nl-NL"/>
              </w:rPr>
              <w:br/>
            </w:r>
            <w:r w:rsidRPr="00DE6D3C">
              <w:rPr>
                <w:rFonts w:ascii="Times New Roman" w:eastAsia="Times New Roman" w:hAnsi="Times New Roman" w:cs="Times New Roman"/>
                <w:b/>
                <w:bCs/>
                <w:color w:val="000000"/>
                <w:lang w:val="nl-NL" w:eastAsia="nl-NL"/>
              </w:rPr>
              <w:br/>
              <w:t>strong overall quality (12.5/18)</w:t>
            </w:r>
          </w:p>
        </w:tc>
        <w:tc>
          <w:tcPr>
            <w:tcW w:w="0" w:type="auto"/>
            <w:tcBorders>
              <w:top w:val="single" w:sz="4" w:space="0" w:color="000000"/>
              <w:left w:val="nil"/>
              <w:bottom w:val="single" w:sz="4" w:space="0" w:color="000000"/>
              <w:right w:val="nil"/>
            </w:tcBorders>
            <w:shd w:val="clear" w:color="000000" w:fill="FFFFFF"/>
            <w:vAlign w:val="center"/>
            <w:hideMark/>
          </w:tcPr>
          <w:p w14:paraId="32BF04F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Longitudinal study of n = 90 agricultural graduates from three different Universities in Zimbabwe  </w:t>
            </w:r>
          </w:p>
        </w:tc>
        <w:tc>
          <w:tcPr>
            <w:tcW w:w="0" w:type="auto"/>
            <w:tcBorders>
              <w:top w:val="nil"/>
              <w:left w:val="nil"/>
              <w:bottom w:val="single" w:sz="4" w:space="0" w:color="000000"/>
              <w:right w:val="nil"/>
            </w:tcBorders>
            <w:shd w:val="clear" w:color="000000" w:fill="FFFFFF"/>
            <w:vAlign w:val="center"/>
            <w:hideMark/>
          </w:tcPr>
          <w:p w14:paraId="652D5DE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18784448"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Work Integrated Learning (WIL)  at different times during study, assessing whether timing of WIL has an effect on employability outcomes </w:t>
            </w:r>
          </w:p>
        </w:tc>
        <w:tc>
          <w:tcPr>
            <w:tcW w:w="0" w:type="auto"/>
            <w:tcBorders>
              <w:top w:val="nil"/>
              <w:left w:val="nil"/>
              <w:bottom w:val="single" w:sz="4" w:space="0" w:color="000000"/>
              <w:right w:val="nil"/>
            </w:tcBorders>
            <w:shd w:val="clear" w:color="000000" w:fill="FFFFFF"/>
            <w:vAlign w:val="center"/>
            <w:hideMark/>
          </w:tcPr>
          <w:p w14:paraId="58E03E1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Practical Ability in Industry</w:t>
            </w:r>
            <w:r w:rsidRPr="00DE6D3C">
              <w:rPr>
                <w:rFonts w:ascii="Times New Roman" w:eastAsia="Times New Roman" w:hAnsi="Times New Roman" w:cs="Times New Roman"/>
                <w:color w:val="000000"/>
                <w:lang w:eastAsia="nl-NL"/>
              </w:rPr>
              <w:br/>
              <w:t>Signalling Capacity</w:t>
            </w:r>
          </w:p>
        </w:tc>
        <w:tc>
          <w:tcPr>
            <w:tcW w:w="0" w:type="auto"/>
            <w:tcBorders>
              <w:top w:val="nil"/>
              <w:left w:val="nil"/>
              <w:bottom w:val="single" w:sz="4" w:space="0" w:color="000000"/>
              <w:right w:val="nil"/>
            </w:tcBorders>
            <w:shd w:val="clear" w:color="000000" w:fill="FFFFFF"/>
            <w:vAlign w:val="center"/>
            <w:hideMark/>
          </w:tcPr>
          <w:p w14:paraId="2DBA100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Employment outcomes of participants assessed through graduate employability status questionnaires (GESQs)</w:t>
            </w:r>
          </w:p>
        </w:tc>
        <w:tc>
          <w:tcPr>
            <w:tcW w:w="0" w:type="auto"/>
            <w:tcBorders>
              <w:top w:val="nil"/>
              <w:left w:val="nil"/>
              <w:bottom w:val="single" w:sz="4" w:space="0" w:color="000000"/>
              <w:right w:val="nil"/>
            </w:tcBorders>
            <w:shd w:val="clear" w:color="000000" w:fill="FFFFFF"/>
            <w:vAlign w:val="center"/>
            <w:hideMark/>
          </w:tcPr>
          <w:p w14:paraId="5606C8E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 xml:space="preserve">Positive Labor Market Outcome </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The study found that all groups were employed, with Group B having started their own enterprises, and most members from all groups were in full-time formal employment. The timing of Work-Integrated Learning (WIL) did not impact the employability of agricultural graduates in Zimbabwe, though WIL is </w:t>
            </w:r>
            <w:r w:rsidRPr="00DE6D3C">
              <w:rPr>
                <w:rFonts w:ascii="Times New Roman" w:eastAsia="Times New Roman" w:hAnsi="Times New Roman" w:cs="Times New Roman"/>
                <w:color w:val="000000"/>
                <w:lang w:eastAsia="nl-NL"/>
              </w:rPr>
              <w:lastRenderedPageBreak/>
              <w:t>acknowledged to enhance performance character and employability when performance is held constant.</w:t>
            </w:r>
          </w:p>
        </w:tc>
      </w:tr>
      <w:tr w:rsidR="008B753D" w:rsidRPr="00DE6D3C" w14:paraId="3EC7206F" w14:textId="77777777" w:rsidTr="00FE108B">
        <w:trPr>
          <w:trHeight w:val="2052"/>
        </w:trPr>
        <w:tc>
          <w:tcPr>
            <w:tcW w:w="0" w:type="auto"/>
            <w:tcBorders>
              <w:top w:val="nil"/>
              <w:left w:val="nil"/>
              <w:bottom w:val="single" w:sz="4" w:space="0" w:color="000000"/>
              <w:right w:val="nil"/>
            </w:tcBorders>
            <w:shd w:val="clear" w:color="000000" w:fill="FFFFFF"/>
            <w:vAlign w:val="center"/>
            <w:hideMark/>
          </w:tcPr>
          <w:p w14:paraId="64E0A935"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 xml:space="preserve">Morgan </w:t>
            </w:r>
            <w:r w:rsidRPr="00DE6D3C">
              <w:rPr>
                <w:rFonts w:ascii="Times New Roman" w:eastAsia="Times New Roman" w:hAnsi="Times New Roman" w:cs="Times New Roman"/>
                <w:b/>
                <w:bCs/>
                <w:i/>
                <w:iCs/>
                <w:color w:val="000000"/>
                <w:lang w:eastAsia="nl-NL"/>
              </w:rPr>
              <w:t>et al.,</w:t>
            </w:r>
            <w:r w:rsidRPr="00DE6D3C">
              <w:rPr>
                <w:rFonts w:ascii="Times New Roman" w:eastAsia="Times New Roman" w:hAnsi="Times New Roman" w:cs="Times New Roman"/>
                <w:b/>
                <w:bCs/>
                <w:color w:val="000000"/>
                <w:lang w:eastAsia="nl-NL"/>
              </w:rPr>
              <w:t xml:space="preserve"> 2018</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 xml:space="preserve">moderate overall quality (9.5/18) </w:t>
            </w:r>
          </w:p>
        </w:tc>
        <w:tc>
          <w:tcPr>
            <w:tcW w:w="0" w:type="auto"/>
            <w:tcBorders>
              <w:top w:val="single" w:sz="4" w:space="0" w:color="000000"/>
              <w:left w:val="nil"/>
              <w:bottom w:val="single" w:sz="4" w:space="0" w:color="000000"/>
              <w:right w:val="nil"/>
            </w:tcBorders>
            <w:shd w:val="clear" w:color="000000" w:fill="FFFFFF"/>
            <w:vAlign w:val="center"/>
            <w:hideMark/>
          </w:tcPr>
          <w:p w14:paraId="19C84274"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Cohort study of n = 195 Undergraduates from a private business school in the USA </w:t>
            </w:r>
          </w:p>
        </w:tc>
        <w:tc>
          <w:tcPr>
            <w:tcW w:w="0" w:type="auto"/>
            <w:tcBorders>
              <w:top w:val="nil"/>
              <w:left w:val="nil"/>
              <w:bottom w:val="single" w:sz="4" w:space="0" w:color="000000"/>
              <w:right w:val="nil"/>
            </w:tcBorders>
            <w:shd w:val="clear" w:color="000000" w:fill="FFFFFF"/>
            <w:vAlign w:val="center"/>
            <w:hideMark/>
          </w:tcPr>
          <w:p w14:paraId="32AA1AB5"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Governmental Demand </w:t>
            </w:r>
          </w:p>
        </w:tc>
        <w:tc>
          <w:tcPr>
            <w:tcW w:w="0" w:type="auto"/>
            <w:tcBorders>
              <w:top w:val="nil"/>
              <w:left w:val="nil"/>
              <w:bottom w:val="single" w:sz="4" w:space="0" w:color="000000"/>
              <w:right w:val="nil"/>
            </w:tcBorders>
            <w:shd w:val="clear" w:color="000000" w:fill="FFFFFF"/>
            <w:vAlign w:val="center"/>
            <w:hideMark/>
          </w:tcPr>
          <w:p w14:paraId="42CF5EEE"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Reengineered Career Services Programme, Including  Wor Integrated Learning, </w:t>
            </w:r>
            <w:r w:rsidRPr="00DE6D3C">
              <w:rPr>
                <w:rFonts w:ascii="Times New Roman" w:eastAsia="Times New Roman" w:hAnsi="Times New Roman" w:cs="Times New Roman"/>
                <w:color w:val="000000"/>
                <w:lang w:eastAsia="nl-NL"/>
              </w:rPr>
              <w:br/>
              <w:t>Internships, Field work, and Job Shadowing to foster employability skills and academic performance, as well as motivation</w:t>
            </w:r>
          </w:p>
        </w:tc>
        <w:tc>
          <w:tcPr>
            <w:tcW w:w="0" w:type="auto"/>
            <w:tcBorders>
              <w:top w:val="nil"/>
              <w:left w:val="nil"/>
              <w:bottom w:val="single" w:sz="4" w:space="0" w:color="000000"/>
              <w:right w:val="nil"/>
            </w:tcBorders>
            <w:shd w:val="clear" w:color="000000" w:fill="FFFFFF"/>
            <w:vAlign w:val="center"/>
            <w:hideMark/>
          </w:tcPr>
          <w:p w14:paraId="2879ADC0"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Practical Ability in Industry </w:t>
            </w:r>
            <w:r w:rsidRPr="00DE6D3C">
              <w:rPr>
                <w:rFonts w:ascii="Times New Roman" w:eastAsia="Times New Roman" w:hAnsi="Times New Roman" w:cs="Times New Roman"/>
                <w:color w:val="000000"/>
                <w:lang w:eastAsia="nl-NL"/>
              </w:rPr>
              <w:br/>
              <w:t xml:space="preserve">Problem Solving Skills </w:t>
            </w:r>
            <w:r w:rsidRPr="00DE6D3C">
              <w:rPr>
                <w:rFonts w:ascii="Times New Roman" w:eastAsia="Times New Roman" w:hAnsi="Times New Roman" w:cs="Times New Roman"/>
                <w:color w:val="000000"/>
                <w:lang w:eastAsia="nl-NL"/>
              </w:rPr>
              <w:br/>
              <w:t xml:space="preserve">Enhanced Communication Skills </w:t>
            </w:r>
            <w:r w:rsidRPr="00DE6D3C">
              <w:rPr>
                <w:rFonts w:ascii="Times New Roman" w:eastAsia="Times New Roman" w:hAnsi="Times New Roman" w:cs="Times New Roman"/>
                <w:color w:val="000000"/>
                <w:lang w:eastAsia="nl-NL"/>
              </w:rPr>
              <w:br/>
              <w:t xml:space="preserve">Team Work Skills </w:t>
            </w:r>
          </w:p>
        </w:tc>
        <w:tc>
          <w:tcPr>
            <w:tcW w:w="0" w:type="auto"/>
            <w:tcBorders>
              <w:top w:val="nil"/>
              <w:left w:val="nil"/>
              <w:bottom w:val="single" w:sz="4" w:space="0" w:color="000000"/>
              <w:right w:val="nil"/>
            </w:tcBorders>
            <w:shd w:val="clear" w:color="000000" w:fill="FFFFFF"/>
            <w:vAlign w:val="center"/>
            <w:hideMark/>
          </w:tcPr>
          <w:p w14:paraId="5F0B57B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Internship evaluations;</w:t>
            </w:r>
            <w:r w:rsidRPr="00DE6D3C">
              <w:rPr>
                <w:rFonts w:ascii="Times New Roman" w:eastAsia="Times New Roman" w:hAnsi="Times New Roman" w:cs="Times New Roman"/>
                <w:color w:val="000000"/>
                <w:lang w:eastAsia="nl-NL"/>
              </w:rPr>
              <w:br/>
              <w:t>Student satisfaction;</w:t>
            </w:r>
            <w:r w:rsidRPr="00DE6D3C">
              <w:rPr>
                <w:rFonts w:ascii="Times New Roman" w:eastAsia="Times New Roman" w:hAnsi="Times New Roman" w:cs="Times New Roman"/>
                <w:color w:val="000000"/>
                <w:lang w:eastAsia="nl-NL"/>
              </w:rPr>
              <w:br/>
              <w:t>Mean starting salary;</w:t>
            </w:r>
            <w:r w:rsidRPr="00DE6D3C">
              <w:rPr>
                <w:rFonts w:ascii="Times New Roman" w:eastAsia="Times New Roman" w:hAnsi="Times New Roman" w:cs="Times New Roman"/>
                <w:color w:val="000000"/>
                <w:lang w:eastAsia="nl-NL"/>
              </w:rPr>
              <w:br/>
              <w:t>Placement rate</w:t>
            </w:r>
          </w:p>
        </w:tc>
        <w:tc>
          <w:tcPr>
            <w:tcW w:w="0" w:type="auto"/>
            <w:tcBorders>
              <w:top w:val="nil"/>
              <w:left w:val="nil"/>
              <w:bottom w:val="single" w:sz="4" w:space="0" w:color="000000"/>
              <w:right w:val="nil"/>
            </w:tcBorders>
            <w:shd w:val="clear" w:color="000000" w:fill="FFFFFF"/>
            <w:vAlign w:val="center"/>
            <w:hideMark/>
          </w:tcPr>
          <w:p w14:paraId="5130234D"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 xml:space="preserve">Positive Labor Market Outcome </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Since implementing strategic career support changes, Schroeder School of Business has maintained a 98% placement rate, up from the previous 75–80%. Additionally, wages and job satisfaction have consistently increased over the study period.</w:t>
            </w:r>
          </w:p>
        </w:tc>
      </w:tr>
      <w:tr w:rsidR="008B753D" w:rsidRPr="00DE6D3C" w14:paraId="175C5B64"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78340588"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Thune and Storen, 2015</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strong overall quality (13.5/18)</w:t>
            </w:r>
          </w:p>
        </w:tc>
        <w:tc>
          <w:tcPr>
            <w:tcW w:w="0" w:type="auto"/>
            <w:tcBorders>
              <w:top w:val="single" w:sz="4" w:space="0" w:color="000000"/>
              <w:left w:val="nil"/>
              <w:bottom w:val="single" w:sz="4" w:space="0" w:color="000000"/>
              <w:right w:val="nil"/>
            </w:tcBorders>
            <w:shd w:val="clear" w:color="000000" w:fill="FFFFFF"/>
            <w:vAlign w:val="center"/>
            <w:hideMark/>
          </w:tcPr>
          <w:p w14:paraId="7EC52FFC"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Ex post facto research on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2.232 Norwegian master's degree graduates (divided into experiment- and control groups)</w:t>
            </w:r>
          </w:p>
        </w:tc>
        <w:tc>
          <w:tcPr>
            <w:tcW w:w="0" w:type="auto"/>
            <w:tcBorders>
              <w:top w:val="nil"/>
              <w:left w:val="nil"/>
              <w:bottom w:val="single" w:sz="4" w:space="0" w:color="000000"/>
              <w:right w:val="nil"/>
            </w:tcBorders>
            <w:shd w:val="clear" w:color="000000" w:fill="FFFFFF"/>
            <w:vAlign w:val="center"/>
            <w:hideMark/>
          </w:tcPr>
          <w:p w14:paraId="6DCEC0DE"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Governmental Demand </w:t>
            </w:r>
          </w:p>
        </w:tc>
        <w:tc>
          <w:tcPr>
            <w:tcW w:w="0" w:type="auto"/>
            <w:tcBorders>
              <w:top w:val="nil"/>
              <w:left w:val="nil"/>
              <w:bottom w:val="single" w:sz="4" w:space="0" w:color="000000"/>
              <w:right w:val="nil"/>
            </w:tcBorders>
            <w:shd w:val="clear" w:color="000000" w:fill="FFFFFF"/>
            <w:vAlign w:val="center"/>
            <w:hideMark/>
          </w:tcPr>
          <w:p w14:paraId="2FC9FB4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 Work-Integrated Learning in an industry placement during study, strengthening the development of skills and knowledge and increasing the motivation to complete study </w:t>
            </w:r>
          </w:p>
        </w:tc>
        <w:tc>
          <w:tcPr>
            <w:tcW w:w="0" w:type="auto"/>
            <w:tcBorders>
              <w:top w:val="nil"/>
              <w:left w:val="nil"/>
              <w:bottom w:val="single" w:sz="4" w:space="0" w:color="000000"/>
              <w:right w:val="nil"/>
            </w:tcBorders>
            <w:shd w:val="clear" w:color="000000" w:fill="FFFFFF"/>
            <w:vAlign w:val="center"/>
            <w:hideMark/>
          </w:tcPr>
          <w:p w14:paraId="72B9017E"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(IO7) Work Readiness </w:t>
            </w:r>
            <w:r w:rsidRPr="00DE6D3C">
              <w:rPr>
                <w:rFonts w:ascii="Times New Roman" w:eastAsia="Times New Roman" w:hAnsi="Times New Roman" w:cs="Times New Roman"/>
                <w:color w:val="000000"/>
                <w:lang w:eastAsia="nl-NL"/>
              </w:rPr>
              <w:br/>
            </w:r>
            <w:r w:rsidRPr="00DE6D3C">
              <w:rPr>
                <w:rFonts w:ascii="Times New Roman" w:eastAsia="Times New Roman" w:hAnsi="Times New Roman" w:cs="Times New Roman"/>
                <w:color w:val="000000"/>
                <w:lang w:eastAsia="nl-NL"/>
              </w:rPr>
              <w:br/>
              <w:t xml:space="preserve">(IO15) Practical Ability in Industry </w:t>
            </w:r>
          </w:p>
        </w:tc>
        <w:tc>
          <w:tcPr>
            <w:tcW w:w="0" w:type="auto"/>
            <w:tcBorders>
              <w:top w:val="nil"/>
              <w:left w:val="nil"/>
              <w:bottom w:val="single" w:sz="4" w:space="0" w:color="000000"/>
              <w:right w:val="nil"/>
            </w:tcBorders>
            <w:shd w:val="clear" w:color="000000" w:fill="FFFFFF"/>
            <w:vAlign w:val="center"/>
            <w:hideMark/>
          </w:tcPr>
          <w:p w14:paraId="3E7B3BE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Biennial graduate surveys six months after graduation conducted by Nordic Institute for Studies in Innovation, Research and Education (NIFU)</w:t>
            </w:r>
          </w:p>
        </w:tc>
        <w:tc>
          <w:tcPr>
            <w:tcW w:w="0" w:type="auto"/>
            <w:tcBorders>
              <w:top w:val="nil"/>
              <w:left w:val="nil"/>
              <w:bottom w:val="single" w:sz="4" w:space="0" w:color="000000"/>
              <w:right w:val="nil"/>
            </w:tcBorders>
            <w:shd w:val="clear" w:color="000000" w:fill="FFFFFF"/>
            <w:vAlign w:val="center"/>
            <w:hideMark/>
          </w:tcPr>
          <w:p w14:paraId="18B5F3F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 xml:space="preserve">Positive Labor Market Outcome </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Project-based WO collaboration reduces the risk of labor market mal-adaptation. Additionally, different independent variables related to "completion on time" and </w:t>
            </w:r>
            <w:r w:rsidRPr="00DE6D3C">
              <w:rPr>
                <w:rFonts w:ascii="Times New Roman" w:eastAsia="Times New Roman" w:hAnsi="Times New Roman" w:cs="Times New Roman"/>
                <w:color w:val="000000"/>
                <w:lang w:eastAsia="nl-NL"/>
              </w:rPr>
              <w:lastRenderedPageBreak/>
              <w:t>"labor market mal-adaptation" are often complementary, with WO interaction positively affecting the likelihood of timely completion.</w:t>
            </w:r>
          </w:p>
        </w:tc>
      </w:tr>
      <w:tr w:rsidR="008B753D" w:rsidRPr="00DE6D3C" w14:paraId="1ED8AC77" w14:textId="77777777" w:rsidTr="00FE108B">
        <w:trPr>
          <w:trHeight w:val="2292"/>
        </w:trPr>
        <w:tc>
          <w:tcPr>
            <w:tcW w:w="0" w:type="auto"/>
            <w:tcBorders>
              <w:top w:val="nil"/>
              <w:left w:val="nil"/>
              <w:bottom w:val="single" w:sz="4" w:space="0" w:color="000000"/>
              <w:right w:val="nil"/>
            </w:tcBorders>
            <w:shd w:val="clear" w:color="000000" w:fill="FFFFFF"/>
            <w:vAlign w:val="center"/>
            <w:hideMark/>
          </w:tcPr>
          <w:p w14:paraId="4D2AC1F3"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Vamsi Krishna and Babu, 2021</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strong overall quality (16/18)</w:t>
            </w:r>
          </w:p>
        </w:tc>
        <w:tc>
          <w:tcPr>
            <w:tcW w:w="0" w:type="auto"/>
            <w:tcBorders>
              <w:top w:val="single" w:sz="4" w:space="0" w:color="000000"/>
              <w:left w:val="nil"/>
              <w:bottom w:val="single" w:sz="4" w:space="0" w:color="000000"/>
              <w:right w:val="nil"/>
            </w:tcBorders>
            <w:shd w:val="clear" w:color="000000" w:fill="FFFFFF"/>
            <w:vAlign w:val="center"/>
            <w:hideMark/>
          </w:tcPr>
          <w:p w14:paraId="7C5F7113"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Case study of undergraduates  (experiment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534; control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248)  at the department of civil engineering, Malla Reddy Engineering College, India  </w:t>
            </w:r>
          </w:p>
        </w:tc>
        <w:tc>
          <w:tcPr>
            <w:tcW w:w="0" w:type="auto"/>
            <w:tcBorders>
              <w:top w:val="nil"/>
              <w:left w:val="nil"/>
              <w:bottom w:val="single" w:sz="4" w:space="0" w:color="000000"/>
              <w:right w:val="nil"/>
            </w:tcBorders>
            <w:shd w:val="clear" w:color="000000" w:fill="FFFFFF"/>
            <w:vAlign w:val="center"/>
            <w:hideMark/>
          </w:tcPr>
          <w:p w14:paraId="7481D205"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Policy Issued Intervention</w:t>
            </w:r>
          </w:p>
        </w:tc>
        <w:tc>
          <w:tcPr>
            <w:tcW w:w="0" w:type="auto"/>
            <w:tcBorders>
              <w:top w:val="nil"/>
              <w:left w:val="nil"/>
              <w:bottom w:val="single" w:sz="4" w:space="0" w:color="000000"/>
              <w:right w:val="nil"/>
            </w:tcBorders>
            <w:shd w:val="clear" w:color="000000" w:fill="FFFFFF"/>
            <w:vAlign w:val="center"/>
            <w:hideMark/>
          </w:tcPr>
          <w:p w14:paraId="33630E3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Industry Internships during Study supporting domain knowledge and getting exposure to practical solutions of real-life problems. It furthermore enhances interpersonal- and communications skills, as well as leadership qualities of future graduates</w:t>
            </w:r>
          </w:p>
        </w:tc>
        <w:tc>
          <w:tcPr>
            <w:tcW w:w="0" w:type="auto"/>
            <w:tcBorders>
              <w:top w:val="nil"/>
              <w:left w:val="nil"/>
              <w:bottom w:val="single" w:sz="4" w:space="0" w:color="000000"/>
              <w:right w:val="nil"/>
            </w:tcBorders>
            <w:shd w:val="clear" w:color="000000" w:fill="FFFFFF"/>
            <w:vAlign w:val="center"/>
            <w:hideMark/>
          </w:tcPr>
          <w:p w14:paraId="7A252C5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Interpersonal Skill Competence </w:t>
            </w:r>
            <w:r w:rsidRPr="00DE6D3C">
              <w:rPr>
                <w:rFonts w:ascii="Times New Roman" w:eastAsia="Times New Roman" w:hAnsi="Times New Roman" w:cs="Times New Roman"/>
                <w:color w:val="000000"/>
                <w:lang w:eastAsia="nl-NL"/>
              </w:rPr>
              <w:br/>
              <w:t xml:space="preserve">Team Work Skills </w:t>
            </w:r>
            <w:r w:rsidRPr="00DE6D3C">
              <w:rPr>
                <w:rFonts w:ascii="Times New Roman" w:eastAsia="Times New Roman" w:hAnsi="Times New Roman" w:cs="Times New Roman"/>
                <w:color w:val="000000"/>
                <w:lang w:eastAsia="nl-NL"/>
              </w:rPr>
              <w:br/>
              <w:t xml:space="preserve">Enhanced Communication Skills </w:t>
            </w:r>
          </w:p>
        </w:tc>
        <w:tc>
          <w:tcPr>
            <w:tcW w:w="0" w:type="auto"/>
            <w:tcBorders>
              <w:top w:val="nil"/>
              <w:left w:val="nil"/>
              <w:bottom w:val="single" w:sz="4" w:space="0" w:color="000000"/>
              <w:right w:val="nil"/>
            </w:tcBorders>
            <w:shd w:val="clear" w:color="000000" w:fill="FFFFFF"/>
            <w:vAlign w:val="center"/>
            <w:hideMark/>
          </w:tcPr>
          <w:p w14:paraId="7F22258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Employer survey inquiring student's performance </w:t>
            </w:r>
            <w:r w:rsidRPr="00DE6D3C">
              <w:rPr>
                <w:rFonts w:ascii="Times New Roman" w:eastAsia="Times New Roman" w:hAnsi="Times New Roman" w:cs="Times New Roman"/>
                <w:color w:val="000000"/>
                <w:lang w:eastAsia="nl-NL"/>
              </w:rPr>
              <w:br/>
            </w:r>
            <w:r w:rsidRPr="00DE6D3C">
              <w:rPr>
                <w:rFonts w:ascii="Times New Roman" w:eastAsia="Times New Roman" w:hAnsi="Times New Roman" w:cs="Times New Roman"/>
                <w:color w:val="000000"/>
                <w:lang w:eastAsia="nl-NL"/>
              </w:rPr>
              <w:br/>
              <w:t>Placement Uptake</w:t>
            </w:r>
          </w:p>
        </w:tc>
        <w:tc>
          <w:tcPr>
            <w:tcW w:w="0" w:type="auto"/>
            <w:tcBorders>
              <w:top w:val="nil"/>
              <w:left w:val="nil"/>
              <w:bottom w:val="single" w:sz="4" w:space="0" w:color="000000"/>
              <w:right w:val="nil"/>
            </w:tcBorders>
            <w:shd w:val="clear" w:color="000000" w:fill="FFFFFF"/>
            <w:vAlign w:val="center"/>
            <w:hideMark/>
          </w:tcPr>
          <w:p w14:paraId="5C074B18"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 xml:space="preserve">Positive Labor Market Outcome </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Over the past five years, the average employability rate for internship students is 53%, while the average percentage of students undertaking internships is 67%. Internships are evaluated at different levels, with an average success score of 82% for students' performance in the industry.</w:t>
            </w:r>
          </w:p>
        </w:tc>
      </w:tr>
      <w:tr w:rsidR="008B753D" w:rsidRPr="00DE6D3C" w14:paraId="7A177E42" w14:textId="77777777" w:rsidTr="00FE108B">
        <w:trPr>
          <w:trHeight w:val="2520"/>
        </w:trPr>
        <w:tc>
          <w:tcPr>
            <w:tcW w:w="0" w:type="auto"/>
            <w:tcBorders>
              <w:top w:val="nil"/>
              <w:left w:val="nil"/>
              <w:bottom w:val="nil"/>
              <w:right w:val="nil"/>
            </w:tcBorders>
            <w:shd w:val="clear" w:color="000000" w:fill="FFFFFF"/>
            <w:vAlign w:val="center"/>
            <w:hideMark/>
          </w:tcPr>
          <w:p w14:paraId="795D1569"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Setor and Joseph, 2021</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t>strong overall quality (16/18)</w:t>
            </w:r>
          </w:p>
        </w:tc>
        <w:tc>
          <w:tcPr>
            <w:tcW w:w="0" w:type="auto"/>
            <w:tcBorders>
              <w:top w:val="single" w:sz="4" w:space="0" w:color="000000"/>
              <w:left w:val="nil"/>
              <w:bottom w:val="nil"/>
              <w:right w:val="nil"/>
            </w:tcBorders>
            <w:shd w:val="clear" w:color="000000" w:fill="FFFFFF"/>
            <w:vAlign w:val="center"/>
            <w:hideMark/>
          </w:tcPr>
          <w:p w14:paraId="030B689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Ex post facto research of </w:t>
            </w:r>
            <w:r w:rsidRPr="00DE6D3C">
              <w:rPr>
                <w:rFonts w:ascii="Times New Roman" w:eastAsia="Times New Roman" w:hAnsi="Times New Roman" w:cs="Times New Roman"/>
                <w:i/>
                <w:iCs/>
                <w:color w:val="000000"/>
                <w:lang w:eastAsia="nl-NL"/>
              </w:rPr>
              <w:t>n</w:t>
            </w:r>
            <w:r w:rsidRPr="00DE6D3C">
              <w:rPr>
                <w:rFonts w:ascii="Times New Roman" w:eastAsia="Times New Roman" w:hAnsi="Times New Roman" w:cs="Times New Roman"/>
                <w:color w:val="000000"/>
                <w:lang w:eastAsia="nl-NL"/>
              </w:rPr>
              <w:t xml:space="preserve"> = 7.141 graduates from different U.S. universities, assessing the utility of different HEI interventions to increase employability</w:t>
            </w:r>
          </w:p>
        </w:tc>
        <w:tc>
          <w:tcPr>
            <w:tcW w:w="0" w:type="auto"/>
            <w:tcBorders>
              <w:top w:val="nil"/>
              <w:left w:val="nil"/>
              <w:bottom w:val="nil"/>
              <w:right w:val="nil"/>
            </w:tcBorders>
            <w:shd w:val="clear" w:color="000000" w:fill="FFFFFF"/>
            <w:vAlign w:val="center"/>
            <w:hideMark/>
          </w:tcPr>
          <w:p w14:paraId="67B81DAE" w14:textId="77777777" w:rsidR="008B753D" w:rsidRPr="00DE6D3C" w:rsidRDefault="008B753D" w:rsidP="00FE108B">
            <w:pPr>
              <w:spacing w:after="0" w:line="240" w:lineRule="auto"/>
              <w:rPr>
                <w:rFonts w:ascii="Times New Roman" w:eastAsia="Times New Roman" w:hAnsi="Times New Roman" w:cs="Times New Roman"/>
                <w:color w:val="000000"/>
                <w:lang w:val="nl-NL" w:eastAsia="nl-NL"/>
              </w:rPr>
            </w:pPr>
            <w:r w:rsidRPr="00DE6D3C">
              <w:rPr>
                <w:rFonts w:ascii="Times New Roman" w:eastAsia="Times New Roman" w:hAnsi="Times New Roman" w:cs="Times New Roman"/>
                <w:color w:val="000000"/>
                <w:lang w:val="nl-NL" w:eastAsia="nl-NL"/>
              </w:rPr>
              <w:t xml:space="preserve">Governmental Demand </w:t>
            </w:r>
          </w:p>
        </w:tc>
        <w:tc>
          <w:tcPr>
            <w:tcW w:w="0" w:type="auto"/>
            <w:tcBorders>
              <w:top w:val="nil"/>
              <w:left w:val="nil"/>
              <w:bottom w:val="nil"/>
              <w:right w:val="nil"/>
            </w:tcBorders>
            <w:shd w:val="clear" w:color="000000" w:fill="FFFFFF"/>
            <w:vAlign w:val="center"/>
            <w:hideMark/>
          </w:tcPr>
          <w:p w14:paraId="1D57783A"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xml:space="preserve">Implementation of various practical experiences during study - i.e. Job Shadowing; Internships and Work Integrated Learning - postulating that vicarious experience gained from college-based career interventions aids IT graduates to form pragmatic mental models </w:t>
            </w:r>
            <w:r w:rsidRPr="00DE6D3C">
              <w:rPr>
                <w:rFonts w:ascii="Times New Roman" w:eastAsia="Times New Roman" w:hAnsi="Times New Roman" w:cs="Times New Roman"/>
                <w:color w:val="000000"/>
                <w:lang w:eastAsia="nl-NL"/>
              </w:rPr>
              <w:lastRenderedPageBreak/>
              <w:t>of how to execute IT roles.</w:t>
            </w:r>
          </w:p>
        </w:tc>
        <w:tc>
          <w:tcPr>
            <w:tcW w:w="0" w:type="auto"/>
            <w:tcBorders>
              <w:top w:val="nil"/>
              <w:left w:val="nil"/>
              <w:bottom w:val="nil"/>
              <w:right w:val="nil"/>
            </w:tcBorders>
            <w:shd w:val="clear" w:color="000000" w:fill="FFFFFF"/>
            <w:vAlign w:val="center"/>
            <w:hideMark/>
          </w:tcPr>
          <w:p w14:paraId="3FAC15A6"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lastRenderedPageBreak/>
              <w:t xml:space="preserve">Problem Solving Skills </w:t>
            </w:r>
            <w:r w:rsidRPr="00DE6D3C">
              <w:rPr>
                <w:rFonts w:ascii="Times New Roman" w:eastAsia="Times New Roman" w:hAnsi="Times New Roman" w:cs="Times New Roman"/>
                <w:color w:val="000000"/>
                <w:lang w:eastAsia="nl-NL"/>
              </w:rPr>
              <w:br/>
              <w:t>Practical Ability in Industry</w:t>
            </w:r>
          </w:p>
        </w:tc>
        <w:tc>
          <w:tcPr>
            <w:tcW w:w="0" w:type="auto"/>
            <w:tcBorders>
              <w:top w:val="nil"/>
              <w:left w:val="nil"/>
              <w:bottom w:val="nil"/>
              <w:right w:val="nil"/>
            </w:tcBorders>
            <w:shd w:val="clear" w:color="000000" w:fill="FFFFFF"/>
            <w:vAlign w:val="center"/>
            <w:hideMark/>
          </w:tcPr>
          <w:p w14:paraId="47C74D35"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NLSY97 Data by the Bureau of Labor Statistics USA, collecting information about educational experiences, demography, employment and labor market activities</w:t>
            </w:r>
          </w:p>
        </w:tc>
        <w:tc>
          <w:tcPr>
            <w:tcW w:w="0" w:type="auto"/>
            <w:tcBorders>
              <w:top w:val="nil"/>
              <w:left w:val="nil"/>
              <w:bottom w:val="nil"/>
              <w:right w:val="nil"/>
            </w:tcBorders>
            <w:shd w:val="clear" w:color="000000" w:fill="FFFFFF"/>
            <w:vAlign w:val="center"/>
            <w:hideMark/>
          </w:tcPr>
          <w:p w14:paraId="43E9C42B"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b/>
                <w:bCs/>
                <w:color w:val="000000"/>
                <w:lang w:eastAsia="nl-NL"/>
              </w:rPr>
              <w:t>Positive Labor Market Outcome / Negative Labor Market Outcome</w:t>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b/>
                <w:bCs/>
                <w:color w:val="000000"/>
                <w:lang w:eastAsia="nl-NL"/>
              </w:rPr>
              <w:br/>
            </w:r>
            <w:r w:rsidRPr="00DE6D3C">
              <w:rPr>
                <w:rFonts w:ascii="Times New Roman" w:eastAsia="Times New Roman" w:hAnsi="Times New Roman" w:cs="Times New Roman"/>
                <w:color w:val="000000"/>
                <w:lang w:eastAsia="nl-NL"/>
              </w:rPr>
              <w:t xml:space="preserve">The results indicate that both cooperative education and mentorship experience have a positive and significant impact on the hazard risk of initial IT employment success. </w:t>
            </w:r>
            <w:r w:rsidRPr="00DE6D3C">
              <w:rPr>
                <w:rFonts w:ascii="Times New Roman" w:eastAsia="Times New Roman" w:hAnsi="Times New Roman" w:cs="Times New Roman"/>
                <w:color w:val="000000"/>
                <w:lang w:eastAsia="nl-NL"/>
              </w:rPr>
              <w:lastRenderedPageBreak/>
              <w:t>However, job shadowing intervention showed either a negative or neutral effect on the likelihood of initial IT employment.</w:t>
            </w:r>
          </w:p>
        </w:tc>
      </w:tr>
      <w:tr w:rsidR="008B753D" w:rsidRPr="00DE6D3C" w14:paraId="5203EE61" w14:textId="77777777" w:rsidTr="00FE108B">
        <w:trPr>
          <w:trHeight w:val="349"/>
        </w:trPr>
        <w:tc>
          <w:tcPr>
            <w:tcW w:w="0" w:type="auto"/>
            <w:tcBorders>
              <w:top w:val="nil"/>
              <w:left w:val="nil"/>
              <w:bottom w:val="nil"/>
              <w:right w:val="nil"/>
            </w:tcBorders>
            <w:shd w:val="clear" w:color="000000" w:fill="FFFFFF"/>
            <w:vAlign w:val="center"/>
            <w:hideMark/>
          </w:tcPr>
          <w:p w14:paraId="7253A59B"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lastRenderedPageBreak/>
              <w:t> </w:t>
            </w:r>
          </w:p>
        </w:tc>
        <w:tc>
          <w:tcPr>
            <w:tcW w:w="0" w:type="auto"/>
            <w:tcBorders>
              <w:top w:val="nil"/>
              <w:left w:val="nil"/>
              <w:bottom w:val="nil"/>
              <w:right w:val="nil"/>
            </w:tcBorders>
            <w:shd w:val="clear" w:color="000000" w:fill="FFFFFF"/>
            <w:vAlign w:val="center"/>
            <w:hideMark/>
          </w:tcPr>
          <w:p w14:paraId="0E05206D"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75B9A579"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6E0E15C8"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2D667931"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4F44170E"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02354E2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r>
      <w:tr w:rsidR="008B753D" w:rsidRPr="00DE6D3C" w14:paraId="0E9B740F" w14:textId="77777777" w:rsidTr="00FE108B">
        <w:trPr>
          <w:trHeight w:val="349"/>
        </w:trPr>
        <w:tc>
          <w:tcPr>
            <w:tcW w:w="0" w:type="auto"/>
            <w:tcBorders>
              <w:top w:val="nil"/>
              <w:left w:val="nil"/>
              <w:bottom w:val="nil"/>
              <w:right w:val="nil"/>
            </w:tcBorders>
            <w:shd w:val="clear" w:color="000000" w:fill="FFFFFF"/>
            <w:vAlign w:val="center"/>
            <w:hideMark/>
          </w:tcPr>
          <w:p w14:paraId="7BDCF2A0" w14:textId="77777777" w:rsidR="008B753D" w:rsidRPr="00DE6D3C" w:rsidRDefault="008B753D" w:rsidP="00FE108B">
            <w:pPr>
              <w:spacing w:after="0" w:line="240" w:lineRule="auto"/>
              <w:rPr>
                <w:rFonts w:ascii="Times New Roman" w:eastAsia="Times New Roman" w:hAnsi="Times New Roman" w:cs="Times New Roman"/>
                <w:b/>
                <w:bCs/>
                <w:color w:val="000000"/>
                <w:lang w:eastAsia="nl-NL"/>
              </w:rPr>
            </w:pPr>
            <w:r w:rsidRPr="00DE6D3C">
              <w:rPr>
                <w:rFonts w:ascii="Times New Roman" w:eastAsia="Times New Roman" w:hAnsi="Times New Roman" w:cs="Times New Roman"/>
                <w:b/>
                <w:bCs/>
                <w:color w:val="000000"/>
                <w:lang w:eastAsia="nl-NL"/>
              </w:rPr>
              <w:t> </w:t>
            </w:r>
          </w:p>
        </w:tc>
        <w:tc>
          <w:tcPr>
            <w:tcW w:w="0" w:type="auto"/>
            <w:tcBorders>
              <w:top w:val="nil"/>
              <w:left w:val="nil"/>
              <w:bottom w:val="nil"/>
              <w:right w:val="nil"/>
            </w:tcBorders>
            <w:shd w:val="clear" w:color="000000" w:fill="FFFFFF"/>
            <w:vAlign w:val="center"/>
            <w:hideMark/>
          </w:tcPr>
          <w:p w14:paraId="6654F0D7"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63A846BD"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49AEAA4F"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4CC876E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4185A24E"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3EB05AE2" w14:textId="77777777" w:rsidR="008B753D" w:rsidRPr="00DE6D3C" w:rsidRDefault="008B753D" w:rsidP="00FE108B">
            <w:pPr>
              <w:spacing w:after="0" w:line="240" w:lineRule="auto"/>
              <w:rPr>
                <w:rFonts w:ascii="Times New Roman" w:eastAsia="Times New Roman" w:hAnsi="Times New Roman" w:cs="Times New Roman"/>
                <w:color w:val="000000"/>
                <w:lang w:eastAsia="nl-NL"/>
              </w:rPr>
            </w:pPr>
            <w:r w:rsidRPr="00DE6D3C">
              <w:rPr>
                <w:rFonts w:ascii="Times New Roman" w:eastAsia="Times New Roman" w:hAnsi="Times New Roman" w:cs="Times New Roman"/>
                <w:color w:val="000000"/>
                <w:lang w:eastAsia="nl-NL"/>
              </w:rPr>
              <w:t> </w:t>
            </w:r>
          </w:p>
        </w:tc>
      </w:tr>
    </w:tbl>
    <w:p w14:paraId="7DD1EE8A" w14:textId="77777777" w:rsidR="008B753D" w:rsidRDefault="008B753D" w:rsidP="00C242DF">
      <w:pPr>
        <w:rPr>
          <w:rFonts w:ascii="Times New Roman" w:hAnsi="Times New Roman" w:cs="Times New Roman"/>
          <w:sz w:val="24"/>
          <w:szCs w:val="24"/>
        </w:rPr>
      </w:pPr>
    </w:p>
    <w:p w14:paraId="36A81A51" w14:textId="77777777" w:rsidR="00DF0143" w:rsidRDefault="00784F50"/>
    <w:sectPr w:rsidR="00DF0143" w:rsidSect="00DE6D3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54B"/>
    <w:rsid w:val="0005154B"/>
    <w:rsid w:val="00081F1C"/>
    <w:rsid w:val="00150664"/>
    <w:rsid w:val="005B6351"/>
    <w:rsid w:val="00661336"/>
    <w:rsid w:val="00784F50"/>
    <w:rsid w:val="008009B8"/>
    <w:rsid w:val="0086116B"/>
    <w:rsid w:val="008B753D"/>
    <w:rsid w:val="00B2785C"/>
    <w:rsid w:val="00B74120"/>
    <w:rsid w:val="00BD5499"/>
    <w:rsid w:val="00C242DF"/>
    <w:rsid w:val="00D03CD9"/>
    <w:rsid w:val="00DE6D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E3DD"/>
  <w15:chartTrackingRefBased/>
  <w15:docId w15:val="{8C1D9244-1E7E-4E41-B368-EAFA676A8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29516">
      <w:bodyDiv w:val="1"/>
      <w:marLeft w:val="0"/>
      <w:marRight w:val="0"/>
      <w:marTop w:val="0"/>
      <w:marBottom w:val="0"/>
      <w:divBdr>
        <w:top w:val="none" w:sz="0" w:space="0" w:color="auto"/>
        <w:left w:val="none" w:sz="0" w:space="0" w:color="auto"/>
        <w:bottom w:val="none" w:sz="0" w:space="0" w:color="auto"/>
        <w:right w:val="none" w:sz="0" w:space="0" w:color="auto"/>
      </w:divBdr>
    </w:div>
    <w:div w:id="1830439047">
      <w:bodyDiv w:val="1"/>
      <w:marLeft w:val="0"/>
      <w:marRight w:val="0"/>
      <w:marTop w:val="0"/>
      <w:marBottom w:val="0"/>
      <w:divBdr>
        <w:top w:val="none" w:sz="0" w:space="0" w:color="auto"/>
        <w:left w:val="none" w:sz="0" w:space="0" w:color="auto"/>
        <w:bottom w:val="none" w:sz="0" w:space="0" w:color="auto"/>
        <w:right w:val="none" w:sz="0" w:space="0" w:color="auto"/>
      </w:divBdr>
    </w:div>
    <w:div w:id="200370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2360</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Barachino</dc:creator>
  <cp:keywords/>
  <dc:description/>
  <cp:lastModifiedBy>H. Barachino</cp:lastModifiedBy>
  <cp:revision>5</cp:revision>
  <dcterms:created xsi:type="dcterms:W3CDTF">2025-08-13T03:20:00Z</dcterms:created>
  <dcterms:modified xsi:type="dcterms:W3CDTF">2025-08-22T03:43:00Z</dcterms:modified>
</cp:coreProperties>
</file>