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8841B" w14:textId="2E01EC88" w:rsidR="00FE536F" w:rsidRDefault="00FE536F" w:rsidP="00FE536F">
      <w:pPr>
        <w:rPr>
          <w:rFonts w:ascii="Times New Roman" w:hAnsi="Times New Roman" w:cs="Times New Roman"/>
          <w:sz w:val="24"/>
          <w:szCs w:val="24"/>
        </w:rPr>
      </w:pPr>
      <w:r>
        <w:rPr>
          <w:rFonts w:ascii="Times New Roman" w:hAnsi="Times New Roman" w:cs="Times New Roman"/>
          <w:b/>
          <w:bCs/>
          <w:sz w:val="24"/>
          <w:szCs w:val="24"/>
        </w:rPr>
        <w:t xml:space="preserve">Supplementary </w:t>
      </w:r>
      <w:r w:rsidR="00F44971">
        <w:rPr>
          <w:rFonts w:ascii="Times New Roman" w:hAnsi="Times New Roman" w:cs="Times New Roman"/>
          <w:b/>
          <w:bCs/>
          <w:sz w:val="24"/>
          <w:szCs w:val="24"/>
        </w:rPr>
        <w:t>Material 8 –</w:t>
      </w:r>
      <w:r>
        <w:rPr>
          <w:rFonts w:ascii="Times New Roman" w:hAnsi="Times New Roman" w:cs="Times New Roman"/>
          <w:b/>
          <w:bCs/>
          <w:sz w:val="24"/>
          <w:szCs w:val="24"/>
        </w:rPr>
        <w:t xml:space="preserve"> </w:t>
      </w:r>
      <w:r w:rsidR="00F44971">
        <w:rPr>
          <w:rFonts w:ascii="Times New Roman" w:hAnsi="Times New Roman" w:cs="Times New Roman"/>
          <w:b/>
          <w:bCs/>
          <w:sz w:val="24"/>
          <w:szCs w:val="24"/>
        </w:rPr>
        <w:t>Career Planning Programs</w:t>
      </w:r>
      <w:r w:rsidR="00F44971">
        <w:rPr>
          <w:rFonts w:ascii="Times New Roman" w:hAnsi="Times New Roman" w:cs="Times New Roman"/>
          <w:b/>
          <w:bCs/>
          <w:sz w:val="24"/>
          <w:szCs w:val="24"/>
        </w:rPr>
        <w:br/>
      </w:r>
      <w:r>
        <w:rPr>
          <w:rFonts w:ascii="Times New Roman" w:hAnsi="Times New Roman" w:cs="Times New Roman"/>
          <w:sz w:val="24"/>
          <w:szCs w:val="24"/>
        </w:rPr>
        <w:t>Comprehensive overview of review studies, categorized by reported Theory of Change elements and Level of Governance (Source: Author’s own work)</w:t>
      </w:r>
    </w:p>
    <w:tbl>
      <w:tblPr>
        <w:tblW w:w="0" w:type="auto"/>
        <w:tblCellMar>
          <w:left w:w="70" w:type="dxa"/>
          <w:right w:w="70" w:type="dxa"/>
        </w:tblCellMar>
        <w:tblLook w:val="04A0" w:firstRow="1" w:lastRow="0" w:firstColumn="1" w:lastColumn="0" w:noHBand="0" w:noVBand="1"/>
      </w:tblPr>
      <w:tblGrid>
        <w:gridCol w:w="1231"/>
        <w:gridCol w:w="2278"/>
        <w:gridCol w:w="1497"/>
        <w:gridCol w:w="2497"/>
        <w:gridCol w:w="1411"/>
        <w:gridCol w:w="1835"/>
        <w:gridCol w:w="3255"/>
      </w:tblGrid>
      <w:tr w:rsidR="00F44971" w:rsidRPr="00D32BA9" w14:paraId="35009557" w14:textId="77777777" w:rsidTr="0047680B">
        <w:trPr>
          <w:trHeight w:val="600"/>
        </w:trPr>
        <w:tc>
          <w:tcPr>
            <w:tcW w:w="0" w:type="auto"/>
            <w:gridSpan w:val="2"/>
            <w:tcBorders>
              <w:top w:val="nil"/>
              <w:left w:val="nil"/>
              <w:bottom w:val="single" w:sz="4" w:space="0" w:color="000000"/>
              <w:right w:val="nil"/>
            </w:tcBorders>
            <w:shd w:val="clear" w:color="000000" w:fill="FFFFFF"/>
            <w:vAlign w:val="bottom"/>
            <w:hideMark/>
          </w:tcPr>
          <w:p w14:paraId="07E5718F"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Career Planning Program</w:t>
            </w:r>
            <w:r>
              <w:rPr>
                <w:rFonts w:ascii="Times New Roman" w:eastAsia="Times New Roman" w:hAnsi="Times New Roman" w:cs="Times New Roman"/>
                <w:b/>
                <w:bCs/>
                <w:color w:val="000000"/>
                <w:lang w:val="nl-NL" w:eastAsia="nl-NL"/>
              </w:rPr>
              <w:t>s</w:t>
            </w:r>
          </w:p>
        </w:tc>
        <w:tc>
          <w:tcPr>
            <w:tcW w:w="0" w:type="auto"/>
            <w:tcBorders>
              <w:top w:val="nil"/>
              <w:left w:val="nil"/>
              <w:bottom w:val="nil"/>
              <w:right w:val="nil"/>
            </w:tcBorders>
            <w:shd w:val="clear" w:color="000000" w:fill="FFFFFF"/>
            <w:vAlign w:val="bottom"/>
            <w:hideMark/>
          </w:tcPr>
          <w:p w14:paraId="08423C37"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 </w:t>
            </w:r>
          </w:p>
        </w:tc>
        <w:tc>
          <w:tcPr>
            <w:tcW w:w="0" w:type="auto"/>
            <w:gridSpan w:val="4"/>
            <w:tcBorders>
              <w:top w:val="nil"/>
              <w:left w:val="nil"/>
              <w:bottom w:val="single" w:sz="4" w:space="0" w:color="000000"/>
              <w:right w:val="nil"/>
            </w:tcBorders>
            <w:shd w:val="clear" w:color="000000" w:fill="FFFFFF"/>
            <w:vAlign w:val="bottom"/>
            <w:hideMark/>
          </w:tcPr>
          <w:p w14:paraId="700CC579" w14:textId="77777777" w:rsidR="00F44971" w:rsidRPr="00D32BA9" w:rsidRDefault="00F44971" w:rsidP="0047680B">
            <w:pPr>
              <w:spacing w:after="0" w:line="240" w:lineRule="auto"/>
              <w:jc w:val="center"/>
              <w:rPr>
                <w:rFonts w:ascii="Times New Roman" w:eastAsia="Times New Roman" w:hAnsi="Times New Roman" w:cs="Times New Roman"/>
                <w:i/>
                <w:iCs/>
                <w:color w:val="000000"/>
                <w:lang w:val="nl-NL" w:eastAsia="nl-NL"/>
              </w:rPr>
            </w:pPr>
            <w:r w:rsidRPr="00D32BA9">
              <w:rPr>
                <w:rFonts w:ascii="Times New Roman" w:eastAsia="Times New Roman" w:hAnsi="Times New Roman" w:cs="Times New Roman"/>
                <w:i/>
                <w:iCs/>
                <w:color w:val="000000"/>
                <w:lang w:val="nl-NL" w:eastAsia="nl-NL"/>
              </w:rPr>
              <w:t>Theory of Change</w:t>
            </w:r>
          </w:p>
        </w:tc>
      </w:tr>
      <w:tr w:rsidR="00F44971" w:rsidRPr="00D32BA9" w14:paraId="0C2A49F8" w14:textId="77777777" w:rsidTr="0047680B">
        <w:trPr>
          <w:trHeight w:val="619"/>
        </w:trPr>
        <w:tc>
          <w:tcPr>
            <w:tcW w:w="0" w:type="auto"/>
            <w:tcBorders>
              <w:top w:val="nil"/>
              <w:left w:val="nil"/>
              <w:bottom w:val="single" w:sz="8" w:space="0" w:color="000000"/>
              <w:right w:val="nil"/>
            </w:tcBorders>
            <w:shd w:val="clear" w:color="000000" w:fill="FFFFFF"/>
            <w:vAlign w:val="center"/>
            <w:hideMark/>
          </w:tcPr>
          <w:p w14:paraId="726DF11C"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 xml:space="preserve">Study </w:t>
            </w:r>
          </w:p>
        </w:tc>
        <w:tc>
          <w:tcPr>
            <w:tcW w:w="0" w:type="auto"/>
            <w:tcBorders>
              <w:top w:val="single" w:sz="4" w:space="0" w:color="000000"/>
              <w:left w:val="nil"/>
              <w:bottom w:val="single" w:sz="8" w:space="0" w:color="000000"/>
              <w:right w:val="nil"/>
            </w:tcBorders>
            <w:shd w:val="clear" w:color="000000" w:fill="FFFFFF"/>
            <w:vAlign w:val="center"/>
            <w:hideMark/>
          </w:tcPr>
          <w:p w14:paraId="7EC7BC73"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Study Population and Design</w:t>
            </w:r>
          </w:p>
        </w:tc>
        <w:tc>
          <w:tcPr>
            <w:tcW w:w="0" w:type="auto"/>
            <w:tcBorders>
              <w:top w:val="nil"/>
              <w:left w:val="nil"/>
              <w:bottom w:val="single" w:sz="8" w:space="0" w:color="000000"/>
              <w:right w:val="nil"/>
            </w:tcBorders>
            <w:shd w:val="clear" w:color="000000" w:fill="FFFFFF"/>
            <w:vAlign w:val="center"/>
            <w:hideMark/>
          </w:tcPr>
          <w:p w14:paraId="4F957C97"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Level of Governance</w:t>
            </w:r>
          </w:p>
        </w:tc>
        <w:tc>
          <w:tcPr>
            <w:tcW w:w="0" w:type="auto"/>
            <w:tcBorders>
              <w:top w:val="nil"/>
              <w:left w:val="nil"/>
              <w:bottom w:val="single" w:sz="8" w:space="0" w:color="000000"/>
              <w:right w:val="nil"/>
            </w:tcBorders>
            <w:shd w:val="clear" w:color="000000" w:fill="FFFFFF"/>
            <w:vAlign w:val="center"/>
            <w:hideMark/>
          </w:tcPr>
          <w:p w14:paraId="34D98D97"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 xml:space="preserve">Intervention Content </w:t>
            </w:r>
          </w:p>
        </w:tc>
        <w:tc>
          <w:tcPr>
            <w:tcW w:w="0" w:type="auto"/>
            <w:tcBorders>
              <w:top w:val="nil"/>
              <w:left w:val="nil"/>
              <w:bottom w:val="single" w:sz="8" w:space="0" w:color="000000"/>
              <w:right w:val="nil"/>
            </w:tcBorders>
            <w:shd w:val="clear" w:color="000000" w:fill="FFFFFF"/>
            <w:vAlign w:val="center"/>
            <w:hideMark/>
          </w:tcPr>
          <w:p w14:paraId="1919A071"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Intended Outcome</w:t>
            </w:r>
          </w:p>
        </w:tc>
        <w:tc>
          <w:tcPr>
            <w:tcW w:w="0" w:type="auto"/>
            <w:tcBorders>
              <w:top w:val="nil"/>
              <w:left w:val="nil"/>
              <w:bottom w:val="single" w:sz="8" w:space="0" w:color="000000"/>
              <w:right w:val="nil"/>
            </w:tcBorders>
            <w:shd w:val="clear" w:color="000000" w:fill="FFFFFF"/>
            <w:vAlign w:val="center"/>
            <w:hideMark/>
          </w:tcPr>
          <w:p w14:paraId="072CC694"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Outcome Measure</w:t>
            </w:r>
          </w:p>
        </w:tc>
        <w:tc>
          <w:tcPr>
            <w:tcW w:w="0" w:type="auto"/>
            <w:tcBorders>
              <w:top w:val="nil"/>
              <w:left w:val="nil"/>
              <w:bottom w:val="single" w:sz="8" w:space="0" w:color="000000"/>
              <w:right w:val="nil"/>
            </w:tcBorders>
            <w:shd w:val="clear" w:color="000000" w:fill="FFFFFF"/>
            <w:vAlign w:val="center"/>
            <w:hideMark/>
          </w:tcPr>
          <w:p w14:paraId="5BCABFBB"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 xml:space="preserve">Results as Reported </w:t>
            </w:r>
          </w:p>
        </w:tc>
      </w:tr>
      <w:tr w:rsidR="00F44971" w:rsidRPr="00D32BA9" w14:paraId="10A4DF6A" w14:textId="77777777" w:rsidTr="0047680B">
        <w:trPr>
          <w:trHeight w:val="2299"/>
        </w:trPr>
        <w:tc>
          <w:tcPr>
            <w:tcW w:w="0" w:type="auto"/>
            <w:tcBorders>
              <w:top w:val="nil"/>
              <w:left w:val="nil"/>
              <w:bottom w:val="single" w:sz="4" w:space="0" w:color="000000"/>
              <w:right w:val="nil"/>
            </w:tcBorders>
            <w:shd w:val="clear" w:color="000000" w:fill="FFFFFF"/>
            <w:vAlign w:val="center"/>
            <w:hideMark/>
          </w:tcPr>
          <w:p w14:paraId="4D646B30"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 xml:space="preserve">Chang </w:t>
            </w:r>
            <w:r w:rsidRPr="00D32BA9">
              <w:rPr>
                <w:rFonts w:ascii="Times New Roman" w:eastAsia="Times New Roman" w:hAnsi="Times New Roman" w:cs="Times New Roman"/>
                <w:b/>
                <w:bCs/>
                <w:i/>
                <w:iCs/>
                <w:color w:val="000000"/>
                <w:lang w:eastAsia="nl-NL"/>
              </w:rPr>
              <w:t>et al.,</w:t>
            </w:r>
            <w:r w:rsidRPr="00D32BA9">
              <w:rPr>
                <w:rFonts w:ascii="Times New Roman" w:eastAsia="Times New Roman" w:hAnsi="Times New Roman" w:cs="Times New Roman"/>
                <w:b/>
                <w:bCs/>
                <w:color w:val="000000"/>
                <w:lang w:eastAsia="nl-NL"/>
              </w:rPr>
              <w:t xml:space="preserve"> 2022</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t>moderate overall quality (11/18)</w:t>
            </w:r>
          </w:p>
        </w:tc>
        <w:tc>
          <w:tcPr>
            <w:tcW w:w="0" w:type="auto"/>
            <w:tcBorders>
              <w:top w:val="single" w:sz="8" w:space="0" w:color="000000"/>
              <w:left w:val="nil"/>
              <w:bottom w:val="single" w:sz="4" w:space="0" w:color="000000"/>
              <w:right w:val="nil"/>
            </w:tcBorders>
            <w:shd w:val="clear" w:color="000000" w:fill="FFFFFF"/>
            <w:vAlign w:val="center"/>
            <w:hideMark/>
          </w:tcPr>
          <w:p w14:paraId="2070DDD7"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Electrical engineering and computer science undergraduates of a Taiwanese university (exp n = 22</w:t>
            </w:r>
            <w:r w:rsidRPr="00D32BA9">
              <w:rPr>
                <w:rFonts w:ascii="Times New Roman" w:eastAsia="Times New Roman" w:hAnsi="Times New Roman" w:cs="Times New Roman"/>
                <w:color w:val="000000"/>
                <w:lang w:eastAsia="nl-NL"/>
              </w:rPr>
              <w:br/>
              <w:t>Control n = 26) were tested in a non-equivalent pretest–posttest quasi-experimental research study</w:t>
            </w:r>
          </w:p>
        </w:tc>
        <w:tc>
          <w:tcPr>
            <w:tcW w:w="0" w:type="auto"/>
            <w:tcBorders>
              <w:top w:val="nil"/>
              <w:left w:val="nil"/>
              <w:bottom w:val="single" w:sz="4" w:space="0" w:color="000000"/>
              <w:right w:val="nil"/>
            </w:tcBorders>
            <w:shd w:val="clear" w:color="000000" w:fill="FFFFFF"/>
            <w:vAlign w:val="center"/>
            <w:hideMark/>
          </w:tcPr>
          <w:p w14:paraId="24FB4CEF"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Response to Direct Labout Market Demand</w:t>
            </w:r>
          </w:p>
        </w:tc>
        <w:tc>
          <w:tcPr>
            <w:tcW w:w="0" w:type="auto"/>
            <w:tcBorders>
              <w:top w:val="nil"/>
              <w:left w:val="nil"/>
              <w:bottom w:val="single" w:sz="4" w:space="0" w:color="000000"/>
              <w:right w:val="nil"/>
            </w:tcBorders>
            <w:shd w:val="clear" w:color="000000" w:fill="FFFFFF"/>
            <w:vAlign w:val="center"/>
            <w:hideMark/>
          </w:tcPr>
          <w:p w14:paraId="57C33FC5"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Learner-centered teaching in form of an Industry-Oriented capstone course, combined with cooperation between university professors and industry aimed at improving employability of students</w:t>
            </w:r>
          </w:p>
        </w:tc>
        <w:tc>
          <w:tcPr>
            <w:tcW w:w="0" w:type="auto"/>
            <w:tcBorders>
              <w:top w:val="nil"/>
              <w:left w:val="nil"/>
              <w:bottom w:val="single" w:sz="4" w:space="0" w:color="000000"/>
              <w:right w:val="nil"/>
            </w:tcBorders>
            <w:shd w:val="clear" w:color="000000" w:fill="FFFFFF"/>
            <w:vAlign w:val="center"/>
            <w:hideMark/>
          </w:tcPr>
          <w:p w14:paraId="78724553"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Interpersonal Skill Competence; </w:t>
            </w:r>
            <w:r w:rsidRPr="00D32BA9">
              <w:rPr>
                <w:rFonts w:ascii="Times New Roman" w:eastAsia="Times New Roman" w:hAnsi="Times New Roman" w:cs="Times New Roman"/>
                <w:color w:val="000000"/>
                <w:lang w:eastAsia="nl-NL"/>
              </w:rPr>
              <w:br/>
              <w:t xml:space="preserve">Problem Solving Skills </w:t>
            </w:r>
          </w:p>
        </w:tc>
        <w:tc>
          <w:tcPr>
            <w:tcW w:w="0" w:type="auto"/>
            <w:tcBorders>
              <w:top w:val="nil"/>
              <w:left w:val="nil"/>
              <w:bottom w:val="single" w:sz="4" w:space="0" w:color="000000"/>
              <w:right w:val="nil"/>
            </w:tcBorders>
            <w:shd w:val="clear" w:color="000000" w:fill="FFFFFF"/>
            <w:vAlign w:val="center"/>
            <w:hideMark/>
          </w:tcPr>
          <w:p w14:paraId="52DA7C69"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 </w:t>
            </w:r>
            <w:r w:rsidRPr="00D32BA9">
              <w:rPr>
                <w:rFonts w:ascii="Times New Roman" w:eastAsia="Times New Roman" w:hAnsi="Times New Roman" w:cs="Times New Roman"/>
                <w:color w:val="000000"/>
                <w:lang w:eastAsia="nl-NL"/>
              </w:rPr>
              <w:br/>
              <w:t xml:space="preserve">Collegiate Learning Assessment (CLA; standardized Items by Drystale et al (2011) for psychometric properties) </w:t>
            </w:r>
          </w:p>
        </w:tc>
        <w:tc>
          <w:tcPr>
            <w:tcW w:w="0" w:type="auto"/>
            <w:tcBorders>
              <w:top w:val="nil"/>
              <w:left w:val="nil"/>
              <w:bottom w:val="single" w:sz="4" w:space="0" w:color="000000"/>
              <w:right w:val="nil"/>
            </w:tcBorders>
            <w:shd w:val="clear" w:color="000000" w:fill="FFFFFF"/>
            <w:vAlign w:val="center"/>
            <w:hideMark/>
          </w:tcPr>
          <w:p w14:paraId="22E39A58"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Positive Intervention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After completing the industry-oriented capstone course, the experimental group outperformed the control group in employability dimensions. This indicates that such courses significantly enhance the employability of electrical engineering and computer science students</w:t>
            </w:r>
          </w:p>
        </w:tc>
      </w:tr>
      <w:tr w:rsidR="00F44971" w:rsidRPr="00D32BA9" w14:paraId="24B853F9" w14:textId="77777777" w:rsidTr="0047680B">
        <w:trPr>
          <w:trHeight w:val="1812"/>
        </w:trPr>
        <w:tc>
          <w:tcPr>
            <w:tcW w:w="0" w:type="auto"/>
            <w:tcBorders>
              <w:top w:val="nil"/>
              <w:left w:val="nil"/>
              <w:bottom w:val="single" w:sz="4" w:space="0" w:color="000000"/>
              <w:right w:val="nil"/>
            </w:tcBorders>
            <w:shd w:val="clear" w:color="000000" w:fill="FFFFFF"/>
            <w:vAlign w:val="center"/>
            <w:hideMark/>
          </w:tcPr>
          <w:p w14:paraId="201B96E3"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Cornish, 2019</w:t>
            </w:r>
            <w:r w:rsidRPr="00D32BA9">
              <w:rPr>
                <w:rFonts w:ascii="Times New Roman" w:eastAsia="Times New Roman" w:hAnsi="Times New Roman" w:cs="Times New Roman"/>
                <w:b/>
                <w:bCs/>
                <w:color w:val="000000"/>
                <w:lang w:val="nl-NL" w:eastAsia="nl-NL"/>
              </w:rPr>
              <w:br/>
            </w:r>
            <w:r w:rsidRPr="00D32BA9">
              <w:rPr>
                <w:rFonts w:ascii="Times New Roman" w:eastAsia="Times New Roman" w:hAnsi="Times New Roman" w:cs="Times New Roman"/>
                <w:b/>
                <w:bCs/>
                <w:color w:val="000000"/>
                <w:lang w:val="nl-NL" w:eastAsia="nl-NL"/>
              </w:rPr>
              <w:br/>
              <w:t>moderate overall quality (7/18)</w:t>
            </w:r>
          </w:p>
        </w:tc>
        <w:tc>
          <w:tcPr>
            <w:tcW w:w="0" w:type="auto"/>
            <w:tcBorders>
              <w:top w:val="single" w:sz="4" w:space="0" w:color="000000"/>
              <w:left w:val="nil"/>
              <w:bottom w:val="single" w:sz="4" w:space="0" w:color="000000"/>
              <w:right w:val="nil"/>
            </w:tcBorders>
            <w:shd w:val="clear" w:color="000000" w:fill="FFFFFF"/>
            <w:vAlign w:val="center"/>
            <w:hideMark/>
          </w:tcPr>
          <w:p w14:paraId="5D7850D7"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case study of n = 26 students enrolled in a Level 1 emploiyability course at a large Further Education (FE) college in England </w:t>
            </w:r>
          </w:p>
        </w:tc>
        <w:tc>
          <w:tcPr>
            <w:tcW w:w="0" w:type="auto"/>
            <w:tcBorders>
              <w:top w:val="nil"/>
              <w:left w:val="nil"/>
              <w:bottom w:val="single" w:sz="4" w:space="0" w:color="000000"/>
              <w:right w:val="nil"/>
            </w:tcBorders>
            <w:shd w:val="clear" w:color="000000" w:fill="FFFFFF"/>
            <w:vAlign w:val="center"/>
            <w:hideMark/>
          </w:tcPr>
          <w:p w14:paraId="6BC221CB"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Governmental Demand</w:t>
            </w:r>
          </w:p>
        </w:tc>
        <w:tc>
          <w:tcPr>
            <w:tcW w:w="0" w:type="auto"/>
            <w:tcBorders>
              <w:top w:val="nil"/>
              <w:left w:val="nil"/>
              <w:bottom w:val="single" w:sz="4" w:space="0" w:color="000000"/>
              <w:right w:val="nil"/>
            </w:tcBorders>
            <w:shd w:val="clear" w:color="000000" w:fill="FFFFFF"/>
            <w:vAlign w:val="center"/>
            <w:hideMark/>
          </w:tcPr>
          <w:p w14:paraId="119752D9"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Testing the extent to which a welfare agenda influences teaching practise and education provision for marginalised youth enrolled on an employability training course, teaching 21st century skill  </w:t>
            </w:r>
          </w:p>
        </w:tc>
        <w:tc>
          <w:tcPr>
            <w:tcW w:w="0" w:type="auto"/>
            <w:tcBorders>
              <w:top w:val="nil"/>
              <w:left w:val="nil"/>
              <w:bottom w:val="single" w:sz="4" w:space="0" w:color="000000"/>
              <w:right w:val="nil"/>
            </w:tcBorders>
            <w:shd w:val="clear" w:color="000000" w:fill="FFFFFF"/>
            <w:vAlign w:val="center"/>
            <w:hideMark/>
          </w:tcPr>
          <w:p w14:paraId="75520A19"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21st Century Skill</w:t>
            </w:r>
          </w:p>
        </w:tc>
        <w:tc>
          <w:tcPr>
            <w:tcW w:w="0" w:type="auto"/>
            <w:tcBorders>
              <w:top w:val="nil"/>
              <w:left w:val="nil"/>
              <w:bottom w:val="single" w:sz="4" w:space="0" w:color="000000"/>
              <w:right w:val="nil"/>
            </w:tcBorders>
            <w:shd w:val="clear" w:color="000000" w:fill="FFFFFF"/>
            <w:vAlign w:val="center"/>
            <w:hideMark/>
          </w:tcPr>
          <w:p w14:paraId="675A54EB"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sucess of training course based on classroom observations, semi-structured interviews, focus group discussions and document analysis. </w:t>
            </w:r>
          </w:p>
        </w:tc>
        <w:tc>
          <w:tcPr>
            <w:tcW w:w="0" w:type="auto"/>
            <w:tcBorders>
              <w:top w:val="nil"/>
              <w:left w:val="nil"/>
              <w:bottom w:val="single" w:sz="4" w:space="0" w:color="000000"/>
              <w:right w:val="nil"/>
            </w:tcBorders>
            <w:shd w:val="clear" w:color="000000" w:fill="FFFFFF"/>
            <w:vAlign w:val="center"/>
            <w:hideMark/>
          </w:tcPr>
          <w:p w14:paraId="0F78B4AF"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Inconclusive/Negative Intervention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While a welfare-driven pedagogy can be academically beneficial for previously NEET or socially excluded youth, fieldwork data indicated that it complicates teaching practice.</w:t>
            </w:r>
          </w:p>
        </w:tc>
      </w:tr>
      <w:tr w:rsidR="00F44971" w:rsidRPr="00D32BA9" w14:paraId="079D5820" w14:textId="77777777" w:rsidTr="0047680B">
        <w:trPr>
          <w:trHeight w:val="2052"/>
        </w:trPr>
        <w:tc>
          <w:tcPr>
            <w:tcW w:w="0" w:type="auto"/>
            <w:tcBorders>
              <w:top w:val="nil"/>
              <w:left w:val="nil"/>
              <w:bottom w:val="single" w:sz="4" w:space="0" w:color="000000"/>
              <w:right w:val="nil"/>
            </w:tcBorders>
            <w:shd w:val="clear" w:color="000000" w:fill="FFFFFF"/>
            <w:vAlign w:val="center"/>
            <w:hideMark/>
          </w:tcPr>
          <w:p w14:paraId="4E7A4C5A"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lastRenderedPageBreak/>
              <w:t xml:space="preserve">Green </w:t>
            </w:r>
            <w:r w:rsidRPr="00D32BA9">
              <w:rPr>
                <w:rFonts w:ascii="Times New Roman" w:eastAsia="Times New Roman" w:hAnsi="Times New Roman" w:cs="Times New Roman"/>
                <w:b/>
                <w:bCs/>
                <w:i/>
                <w:iCs/>
                <w:color w:val="000000"/>
                <w:lang w:val="nl-NL" w:eastAsia="nl-NL"/>
              </w:rPr>
              <w:t>et al.,</w:t>
            </w:r>
            <w:r w:rsidRPr="00D32BA9">
              <w:rPr>
                <w:rFonts w:ascii="Times New Roman" w:eastAsia="Times New Roman" w:hAnsi="Times New Roman" w:cs="Times New Roman"/>
                <w:b/>
                <w:bCs/>
                <w:color w:val="000000"/>
                <w:lang w:val="nl-NL" w:eastAsia="nl-NL"/>
              </w:rPr>
              <w:t xml:space="preserve"> 2020</w:t>
            </w:r>
            <w:r w:rsidRPr="00D32BA9">
              <w:rPr>
                <w:rFonts w:ascii="Times New Roman" w:eastAsia="Times New Roman" w:hAnsi="Times New Roman" w:cs="Times New Roman"/>
                <w:b/>
                <w:bCs/>
                <w:color w:val="000000"/>
                <w:lang w:val="nl-NL" w:eastAsia="nl-NL"/>
              </w:rPr>
              <w:br/>
            </w:r>
            <w:r w:rsidRPr="00D32BA9">
              <w:rPr>
                <w:rFonts w:ascii="Times New Roman" w:eastAsia="Times New Roman" w:hAnsi="Times New Roman" w:cs="Times New Roman"/>
                <w:b/>
                <w:bCs/>
                <w:color w:val="000000"/>
                <w:lang w:val="nl-NL" w:eastAsia="nl-NL"/>
              </w:rPr>
              <w:br/>
              <w:t>strong overall quality (14/18)</w:t>
            </w:r>
          </w:p>
        </w:tc>
        <w:tc>
          <w:tcPr>
            <w:tcW w:w="0" w:type="auto"/>
            <w:tcBorders>
              <w:top w:val="single" w:sz="4" w:space="0" w:color="000000"/>
              <w:left w:val="nil"/>
              <w:bottom w:val="single" w:sz="4" w:space="0" w:color="000000"/>
              <w:right w:val="nil"/>
            </w:tcBorders>
            <w:shd w:val="clear" w:color="000000" w:fill="FFFFFF"/>
            <w:vAlign w:val="center"/>
            <w:hideMark/>
          </w:tcPr>
          <w:p w14:paraId="44CFEAD1"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Randomized controlled trial with n = 98 final year bachelor of business administration students at a private university in Islamabad </w:t>
            </w:r>
          </w:p>
        </w:tc>
        <w:tc>
          <w:tcPr>
            <w:tcW w:w="0" w:type="auto"/>
            <w:tcBorders>
              <w:top w:val="nil"/>
              <w:left w:val="nil"/>
              <w:bottom w:val="single" w:sz="4" w:space="0" w:color="000000"/>
              <w:right w:val="nil"/>
            </w:tcBorders>
            <w:shd w:val="clear" w:color="000000" w:fill="FFFFFF"/>
            <w:vAlign w:val="center"/>
            <w:hideMark/>
          </w:tcPr>
          <w:p w14:paraId="777030C2"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260B84B4"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The </w:t>
            </w:r>
            <w:r w:rsidRPr="00D32BA9">
              <w:rPr>
                <w:rFonts w:ascii="Times New Roman" w:eastAsia="Times New Roman" w:hAnsi="Times New Roman" w:cs="Times New Roman"/>
                <w:i/>
                <w:iCs/>
                <w:color w:val="000000"/>
                <w:lang w:eastAsia="nl-NL"/>
              </w:rPr>
              <w:t xml:space="preserve">Staying Relevant training </w:t>
            </w:r>
            <w:r w:rsidRPr="00D32BA9">
              <w:rPr>
                <w:rFonts w:ascii="Times New Roman" w:eastAsia="Times New Roman" w:hAnsi="Times New Roman" w:cs="Times New Roman"/>
                <w:color w:val="000000"/>
                <w:lang w:eastAsia="nl-NL"/>
              </w:rPr>
              <w:t>course Intervention is sought to be effective at strengthening the relationship of proactive personality and career adaptability resources</w:t>
            </w:r>
          </w:p>
        </w:tc>
        <w:tc>
          <w:tcPr>
            <w:tcW w:w="0" w:type="auto"/>
            <w:tcBorders>
              <w:top w:val="nil"/>
              <w:left w:val="nil"/>
              <w:bottom w:val="single" w:sz="4" w:space="0" w:color="000000"/>
              <w:right w:val="nil"/>
            </w:tcBorders>
            <w:shd w:val="clear" w:color="000000" w:fill="FFFFFF"/>
            <w:vAlign w:val="center"/>
            <w:hideMark/>
          </w:tcPr>
          <w:p w14:paraId="22EEBB8B"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Improved Self-Efficacy;</w:t>
            </w:r>
            <w:r w:rsidRPr="00D32BA9">
              <w:rPr>
                <w:rFonts w:ascii="Times New Roman" w:eastAsia="Times New Roman" w:hAnsi="Times New Roman" w:cs="Times New Roman"/>
                <w:color w:val="000000"/>
                <w:lang w:eastAsia="nl-NL"/>
              </w:rPr>
              <w:br/>
              <w:t xml:space="preserve">Career Management Skills; </w:t>
            </w:r>
            <w:r w:rsidRPr="00D32BA9">
              <w:rPr>
                <w:rFonts w:ascii="Times New Roman" w:eastAsia="Times New Roman" w:hAnsi="Times New Roman" w:cs="Times New Roman"/>
                <w:color w:val="000000"/>
                <w:lang w:eastAsia="nl-NL"/>
              </w:rPr>
              <w:br/>
              <w:t>Adaptability</w:t>
            </w:r>
          </w:p>
        </w:tc>
        <w:tc>
          <w:tcPr>
            <w:tcW w:w="0" w:type="auto"/>
            <w:tcBorders>
              <w:top w:val="nil"/>
              <w:left w:val="nil"/>
              <w:bottom w:val="single" w:sz="4" w:space="0" w:color="000000"/>
              <w:right w:val="nil"/>
            </w:tcBorders>
            <w:shd w:val="clear" w:color="000000" w:fill="FFFFFF"/>
            <w:vAlign w:val="center"/>
            <w:hideMark/>
          </w:tcPr>
          <w:p w14:paraId="3B9D8848"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Post training improvements on Career Adapt-Abilities Scale (CAAS)- International </w:t>
            </w:r>
          </w:p>
        </w:tc>
        <w:tc>
          <w:tcPr>
            <w:tcW w:w="0" w:type="auto"/>
            <w:tcBorders>
              <w:top w:val="nil"/>
              <w:left w:val="nil"/>
              <w:bottom w:val="single" w:sz="4" w:space="0" w:color="000000"/>
              <w:right w:val="nil"/>
            </w:tcBorders>
            <w:shd w:val="clear" w:color="000000" w:fill="FFFFFF"/>
            <w:vAlign w:val="center"/>
            <w:hideMark/>
          </w:tcPr>
          <w:p w14:paraId="25820242"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Positive Intervention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Compared to the control group, results indicated that the training group had higher proactivity and  career adaptability resources immediately after the training and 6 months later as well as showed  higher adapting responses 6 months later.</w:t>
            </w:r>
          </w:p>
        </w:tc>
      </w:tr>
      <w:tr w:rsidR="00F44971" w:rsidRPr="00D32BA9" w14:paraId="4A5A8220" w14:textId="77777777" w:rsidTr="0047680B">
        <w:trPr>
          <w:trHeight w:val="2772"/>
        </w:trPr>
        <w:tc>
          <w:tcPr>
            <w:tcW w:w="0" w:type="auto"/>
            <w:tcBorders>
              <w:top w:val="nil"/>
              <w:left w:val="nil"/>
              <w:bottom w:val="single" w:sz="4" w:space="0" w:color="000000"/>
              <w:right w:val="nil"/>
            </w:tcBorders>
            <w:shd w:val="clear" w:color="000000" w:fill="FFFFFF"/>
            <w:vAlign w:val="center"/>
            <w:hideMark/>
          </w:tcPr>
          <w:p w14:paraId="3A4A754E" w14:textId="77777777" w:rsidR="00F44971" w:rsidRPr="00D32BA9" w:rsidRDefault="00F44971" w:rsidP="0047680B">
            <w:pPr>
              <w:spacing w:after="0" w:line="240" w:lineRule="auto"/>
              <w:rPr>
                <w:rFonts w:ascii="Times New Roman" w:eastAsia="Times New Roman" w:hAnsi="Times New Roman" w:cs="Times New Roman"/>
                <w:b/>
                <w:bCs/>
                <w:color w:val="000000"/>
                <w:lang w:val="nl-NL" w:eastAsia="nl-NL"/>
              </w:rPr>
            </w:pPr>
            <w:r w:rsidRPr="00D32BA9">
              <w:rPr>
                <w:rFonts w:ascii="Times New Roman" w:eastAsia="Times New Roman" w:hAnsi="Times New Roman" w:cs="Times New Roman"/>
                <w:b/>
                <w:bCs/>
                <w:color w:val="000000"/>
                <w:lang w:val="nl-NL" w:eastAsia="nl-NL"/>
              </w:rPr>
              <w:t xml:space="preserve">Teychenne </w:t>
            </w:r>
            <w:r w:rsidRPr="00D32BA9">
              <w:rPr>
                <w:rFonts w:ascii="Times New Roman" w:eastAsia="Times New Roman" w:hAnsi="Times New Roman" w:cs="Times New Roman"/>
                <w:b/>
                <w:bCs/>
                <w:i/>
                <w:iCs/>
                <w:color w:val="000000"/>
                <w:lang w:val="nl-NL" w:eastAsia="nl-NL"/>
              </w:rPr>
              <w:t>et al.,</w:t>
            </w:r>
            <w:r w:rsidRPr="00D32BA9">
              <w:rPr>
                <w:rFonts w:ascii="Times New Roman" w:eastAsia="Times New Roman" w:hAnsi="Times New Roman" w:cs="Times New Roman"/>
                <w:b/>
                <w:bCs/>
                <w:color w:val="000000"/>
                <w:lang w:val="nl-NL" w:eastAsia="nl-NL"/>
              </w:rPr>
              <w:t xml:space="preserve"> 2019</w:t>
            </w:r>
            <w:r w:rsidRPr="00D32BA9">
              <w:rPr>
                <w:rFonts w:ascii="Times New Roman" w:eastAsia="Times New Roman" w:hAnsi="Times New Roman" w:cs="Times New Roman"/>
                <w:b/>
                <w:bCs/>
                <w:color w:val="000000"/>
                <w:lang w:val="nl-NL" w:eastAsia="nl-NL"/>
              </w:rPr>
              <w:br/>
            </w:r>
            <w:r w:rsidRPr="00D32BA9">
              <w:rPr>
                <w:rFonts w:ascii="Times New Roman" w:eastAsia="Times New Roman" w:hAnsi="Times New Roman" w:cs="Times New Roman"/>
                <w:b/>
                <w:bCs/>
                <w:color w:val="000000"/>
                <w:lang w:val="nl-NL" w:eastAsia="nl-NL"/>
              </w:rPr>
              <w:br/>
              <w:t>moderate overall quality (10/18)</w:t>
            </w:r>
          </w:p>
        </w:tc>
        <w:tc>
          <w:tcPr>
            <w:tcW w:w="0" w:type="auto"/>
            <w:tcBorders>
              <w:top w:val="single" w:sz="4" w:space="0" w:color="000000"/>
              <w:left w:val="nil"/>
              <w:bottom w:val="single" w:sz="4" w:space="0" w:color="000000"/>
              <w:right w:val="nil"/>
            </w:tcBorders>
            <w:shd w:val="clear" w:color="000000" w:fill="FFFFFF"/>
            <w:vAlign w:val="center"/>
            <w:hideMark/>
          </w:tcPr>
          <w:p w14:paraId="5582F538"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Pre- and post test of n = 80 students enrolled in the second year core phisical activity promotion unit at a large Victorian university</w:t>
            </w:r>
          </w:p>
        </w:tc>
        <w:tc>
          <w:tcPr>
            <w:tcW w:w="0" w:type="auto"/>
            <w:tcBorders>
              <w:top w:val="nil"/>
              <w:left w:val="nil"/>
              <w:bottom w:val="single" w:sz="4" w:space="0" w:color="000000"/>
              <w:right w:val="nil"/>
            </w:tcBorders>
            <w:shd w:val="clear" w:color="000000" w:fill="FFFFFF"/>
            <w:vAlign w:val="center"/>
            <w:hideMark/>
          </w:tcPr>
          <w:p w14:paraId="1C0654EA"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39F45A3E"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The Virtual Learning Activity for improving students’ test the effectiveness of an online career planning- and education module on students’ career adaptability</w:t>
            </w:r>
          </w:p>
        </w:tc>
        <w:tc>
          <w:tcPr>
            <w:tcW w:w="0" w:type="auto"/>
            <w:tcBorders>
              <w:top w:val="nil"/>
              <w:left w:val="nil"/>
              <w:bottom w:val="single" w:sz="4" w:space="0" w:color="000000"/>
              <w:right w:val="nil"/>
            </w:tcBorders>
            <w:shd w:val="clear" w:color="000000" w:fill="FFFFFF"/>
            <w:vAlign w:val="center"/>
            <w:hideMark/>
          </w:tcPr>
          <w:p w14:paraId="6E36D011"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Career Management Skills; </w:t>
            </w:r>
            <w:r w:rsidRPr="00D32BA9">
              <w:rPr>
                <w:rFonts w:ascii="Times New Roman" w:eastAsia="Times New Roman" w:hAnsi="Times New Roman" w:cs="Times New Roman"/>
                <w:color w:val="000000"/>
                <w:lang w:eastAsia="nl-NL"/>
              </w:rPr>
              <w:br/>
              <w:t xml:space="preserve">Career Adaptability </w:t>
            </w:r>
          </w:p>
        </w:tc>
        <w:tc>
          <w:tcPr>
            <w:tcW w:w="0" w:type="auto"/>
            <w:tcBorders>
              <w:top w:val="nil"/>
              <w:left w:val="nil"/>
              <w:bottom w:val="single" w:sz="4" w:space="0" w:color="000000"/>
              <w:right w:val="nil"/>
            </w:tcBorders>
            <w:shd w:val="clear" w:color="000000" w:fill="FFFFFF"/>
            <w:vAlign w:val="center"/>
            <w:hideMark/>
          </w:tcPr>
          <w:p w14:paraId="47D90A52"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Participants’ self-reported use of strategies for career planning- and confidence in problem solving </w:t>
            </w:r>
          </w:p>
        </w:tc>
        <w:tc>
          <w:tcPr>
            <w:tcW w:w="0" w:type="auto"/>
            <w:tcBorders>
              <w:top w:val="nil"/>
              <w:left w:val="nil"/>
              <w:bottom w:val="single" w:sz="4" w:space="0" w:color="000000"/>
              <w:right w:val="nil"/>
            </w:tcBorders>
            <w:shd w:val="clear" w:color="000000" w:fill="FFFFFF"/>
            <w:vAlign w:val="center"/>
            <w:hideMark/>
          </w:tcPr>
          <w:p w14:paraId="6C6DC63A"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Positive Intervention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Post-intervention, there were significant improvements in career-planning strategies, career planning concern, decision-making, decision-making confidence, and problem-solving confidence. The study indicated that exposure to the career planning and education module led to small but significant enhancements in all aspects of career adaptability.</w:t>
            </w:r>
          </w:p>
        </w:tc>
      </w:tr>
      <w:tr w:rsidR="00F44971" w:rsidRPr="00D32BA9" w14:paraId="11B829F1" w14:textId="77777777" w:rsidTr="0047680B">
        <w:trPr>
          <w:trHeight w:val="2532"/>
        </w:trPr>
        <w:tc>
          <w:tcPr>
            <w:tcW w:w="0" w:type="auto"/>
            <w:tcBorders>
              <w:top w:val="nil"/>
              <w:left w:val="nil"/>
              <w:bottom w:val="single" w:sz="4" w:space="0" w:color="000000"/>
              <w:right w:val="nil"/>
            </w:tcBorders>
            <w:shd w:val="clear" w:color="000000" w:fill="FFFFFF"/>
            <w:vAlign w:val="center"/>
            <w:hideMark/>
          </w:tcPr>
          <w:p w14:paraId="0D3EE490"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Von Konsky and Oliver, 2012</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t>moderate overall quality (9.5/18)</w:t>
            </w:r>
          </w:p>
        </w:tc>
        <w:tc>
          <w:tcPr>
            <w:tcW w:w="0" w:type="auto"/>
            <w:tcBorders>
              <w:top w:val="single" w:sz="4" w:space="0" w:color="000000"/>
              <w:left w:val="nil"/>
              <w:bottom w:val="single" w:sz="4" w:space="0" w:color="000000"/>
              <w:right w:val="nil"/>
            </w:tcBorders>
            <w:shd w:val="clear" w:color="000000" w:fill="FFFFFF"/>
            <w:vAlign w:val="center"/>
            <w:hideMark/>
          </w:tcPr>
          <w:p w14:paraId="40D3211C"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Mixed-mode study with n = 554 Australian students, utilising automatically recorded data from the ALTC-funded Australian ePortfolio Project (AeP)</w:t>
            </w:r>
          </w:p>
        </w:tc>
        <w:tc>
          <w:tcPr>
            <w:tcW w:w="0" w:type="auto"/>
            <w:tcBorders>
              <w:top w:val="nil"/>
              <w:left w:val="nil"/>
              <w:bottom w:val="single" w:sz="4" w:space="0" w:color="000000"/>
              <w:right w:val="nil"/>
            </w:tcBorders>
            <w:shd w:val="clear" w:color="000000" w:fill="FFFFFF"/>
            <w:vAlign w:val="center"/>
            <w:hideMark/>
          </w:tcPr>
          <w:p w14:paraId="7EA9FCDE"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Governmental Demand</w:t>
            </w:r>
          </w:p>
        </w:tc>
        <w:tc>
          <w:tcPr>
            <w:tcW w:w="0" w:type="auto"/>
            <w:tcBorders>
              <w:top w:val="nil"/>
              <w:left w:val="nil"/>
              <w:bottom w:val="single" w:sz="4" w:space="0" w:color="000000"/>
              <w:right w:val="nil"/>
            </w:tcBorders>
            <w:shd w:val="clear" w:color="000000" w:fill="FFFFFF"/>
            <w:vAlign w:val="center"/>
            <w:hideMark/>
          </w:tcPr>
          <w:p w14:paraId="5A56DEB6"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Preparatory Training using iPortfolio (an online space where students collect and reflect on artefacts related to their learning and professional development, seek feedback from peers, mentors and  learning facilitators, and showcase finished examples of their </w:t>
            </w:r>
            <w:r w:rsidRPr="00D32BA9">
              <w:rPr>
                <w:rFonts w:ascii="Times New Roman" w:eastAsia="Times New Roman" w:hAnsi="Times New Roman" w:cs="Times New Roman"/>
                <w:color w:val="000000"/>
                <w:lang w:eastAsia="nl-NL"/>
              </w:rPr>
              <w:lastRenderedPageBreak/>
              <w:t>skills and abilities) with the goals of enhancing employability and engagement with learning</w:t>
            </w:r>
          </w:p>
        </w:tc>
        <w:tc>
          <w:tcPr>
            <w:tcW w:w="0" w:type="auto"/>
            <w:tcBorders>
              <w:top w:val="nil"/>
              <w:left w:val="nil"/>
              <w:bottom w:val="single" w:sz="4" w:space="0" w:color="000000"/>
              <w:right w:val="nil"/>
            </w:tcBorders>
            <w:shd w:val="clear" w:color="000000" w:fill="FFFFFF"/>
            <w:vAlign w:val="center"/>
            <w:hideMark/>
          </w:tcPr>
          <w:p w14:paraId="51AAD4F1"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lastRenderedPageBreak/>
              <w:t xml:space="preserve">Tech Skills; </w:t>
            </w:r>
            <w:r w:rsidRPr="00D32BA9">
              <w:rPr>
                <w:rFonts w:ascii="Times New Roman" w:eastAsia="Times New Roman" w:hAnsi="Times New Roman" w:cs="Times New Roman"/>
                <w:color w:val="000000"/>
                <w:lang w:eastAsia="nl-NL"/>
              </w:rPr>
              <w:br/>
              <w:t xml:space="preserve">Job Application Skill </w:t>
            </w:r>
          </w:p>
        </w:tc>
        <w:tc>
          <w:tcPr>
            <w:tcW w:w="0" w:type="auto"/>
            <w:tcBorders>
              <w:top w:val="nil"/>
              <w:left w:val="nil"/>
              <w:bottom w:val="single" w:sz="4" w:space="0" w:color="000000"/>
              <w:right w:val="nil"/>
            </w:tcBorders>
            <w:shd w:val="clear" w:color="000000" w:fill="FFFFFF"/>
            <w:vAlign w:val="center"/>
            <w:hideMark/>
          </w:tcPr>
          <w:p w14:paraId="21B7FFD0"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Self-assessed competence with technology skills, factors motivating uptake, and barriers to adopt via participatory reports and surveys</w:t>
            </w:r>
          </w:p>
        </w:tc>
        <w:tc>
          <w:tcPr>
            <w:tcW w:w="0" w:type="auto"/>
            <w:tcBorders>
              <w:top w:val="nil"/>
              <w:left w:val="nil"/>
              <w:bottom w:val="single" w:sz="4" w:space="0" w:color="000000"/>
              <w:right w:val="nil"/>
            </w:tcBorders>
            <w:shd w:val="clear" w:color="000000" w:fill="FFFFFF"/>
            <w:vAlign w:val="center"/>
            <w:hideMark/>
          </w:tcPr>
          <w:p w14:paraId="2ADD955F"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Inconclusive Intervention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 xml:space="preserve">Students with iPortfolio accounts spent significantly more time on social networking sites compared to those without. However, there were no significant differences in prior technology use or self-assessed IT competence between the two groups, with assessment </w:t>
            </w:r>
            <w:r w:rsidRPr="00D32BA9">
              <w:rPr>
                <w:rFonts w:ascii="Times New Roman" w:eastAsia="Times New Roman" w:hAnsi="Times New Roman" w:cs="Times New Roman"/>
                <w:color w:val="000000"/>
                <w:lang w:eastAsia="nl-NL"/>
              </w:rPr>
              <w:lastRenderedPageBreak/>
              <w:t>being the main driver of iPortfolio uptake.</w:t>
            </w:r>
          </w:p>
        </w:tc>
      </w:tr>
      <w:tr w:rsidR="00F44971" w:rsidRPr="00D32BA9" w14:paraId="1CEED64B" w14:textId="77777777" w:rsidTr="0047680B">
        <w:trPr>
          <w:trHeight w:val="2532"/>
        </w:trPr>
        <w:tc>
          <w:tcPr>
            <w:tcW w:w="0" w:type="auto"/>
            <w:tcBorders>
              <w:top w:val="nil"/>
              <w:left w:val="nil"/>
              <w:bottom w:val="single" w:sz="4" w:space="0" w:color="000000"/>
              <w:right w:val="nil"/>
            </w:tcBorders>
            <w:shd w:val="clear" w:color="000000" w:fill="FFFFFF"/>
            <w:vAlign w:val="center"/>
            <w:hideMark/>
          </w:tcPr>
          <w:p w14:paraId="612DC084"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lastRenderedPageBreak/>
              <w:t xml:space="preserve">Williams </w:t>
            </w:r>
            <w:r w:rsidRPr="00D32BA9">
              <w:rPr>
                <w:rFonts w:ascii="Times New Roman" w:eastAsia="Times New Roman" w:hAnsi="Times New Roman" w:cs="Times New Roman"/>
                <w:b/>
                <w:bCs/>
                <w:i/>
                <w:iCs/>
                <w:color w:val="000000"/>
                <w:lang w:eastAsia="nl-NL"/>
              </w:rPr>
              <w:t>et al.,</w:t>
            </w:r>
            <w:r w:rsidRPr="00D32BA9">
              <w:rPr>
                <w:rFonts w:ascii="Times New Roman" w:eastAsia="Times New Roman" w:hAnsi="Times New Roman" w:cs="Times New Roman"/>
                <w:b/>
                <w:bCs/>
                <w:color w:val="000000"/>
                <w:lang w:eastAsia="nl-NL"/>
              </w:rPr>
              <w:t xml:space="preserve"> 2022</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t>moderate overall quality (12/18)</w:t>
            </w:r>
          </w:p>
        </w:tc>
        <w:tc>
          <w:tcPr>
            <w:tcW w:w="0" w:type="auto"/>
            <w:tcBorders>
              <w:top w:val="single" w:sz="4" w:space="0" w:color="000000"/>
              <w:left w:val="nil"/>
              <w:bottom w:val="single" w:sz="4" w:space="0" w:color="000000"/>
              <w:right w:val="nil"/>
            </w:tcBorders>
            <w:shd w:val="clear" w:color="000000" w:fill="FFFFFF"/>
            <w:vAlign w:val="center"/>
            <w:hideMark/>
          </w:tcPr>
          <w:p w14:paraId="333F6A1C"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Cohort study of n = 78 first year undergraduates at the University of Wales Trinity Saint David , post-test only</w:t>
            </w:r>
          </w:p>
        </w:tc>
        <w:tc>
          <w:tcPr>
            <w:tcW w:w="0" w:type="auto"/>
            <w:tcBorders>
              <w:top w:val="nil"/>
              <w:left w:val="nil"/>
              <w:bottom w:val="single" w:sz="4" w:space="0" w:color="000000"/>
              <w:right w:val="nil"/>
            </w:tcBorders>
            <w:shd w:val="clear" w:color="000000" w:fill="FFFFFF"/>
            <w:vAlign w:val="center"/>
            <w:hideMark/>
          </w:tcPr>
          <w:p w14:paraId="22D68C11"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 xml:space="preserve">Governmental Demand </w:t>
            </w:r>
          </w:p>
        </w:tc>
        <w:tc>
          <w:tcPr>
            <w:tcW w:w="0" w:type="auto"/>
            <w:tcBorders>
              <w:top w:val="nil"/>
              <w:left w:val="nil"/>
              <w:bottom w:val="single" w:sz="4" w:space="0" w:color="000000"/>
              <w:right w:val="nil"/>
            </w:tcBorders>
            <w:shd w:val="clear" w:color="000000" w:fill="FFFFFF"/>
            <w:vAlign w:val="center"/>
            <w:hideMark/>
          </w:tcPr>
          <w:p w14:paraId="1BC81E20"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A two-hour </w:t>
            </w:r>
            <w:r w:rsidRPr="00D32BA9">
              <w:rPr>
                <w:rFonts w:ascii="Times New Roman" w:eastAsia="Times New Roman" w:hAnsi="Times New Roman" w:cs="Times New Roman"/>
                <w:i/>
                <w:iCs/>
                <w:color w:val="000000"/>
                <w:lang w:eastAsia="nl-NL"/>
              </w:rPr>
              <w:t>Life Design</w:t>
            </w:r>
            <w:r w:rsidRPr="00D32BA9">
              <w:rPr>
                <w:rFonts w:ascii="Times New Roman" w:eastAsia="Times New Roman" w:hAnsi="Times New Roman" w:cs="Times New Roman"/>
                <w:color w:val="000000"/>
                <w:lang w:eastAsia="nl-NL"/>
              </w:rPr>
              <w:t xml:space="preserve"> workshop to develop career management skills and self management - The main objective of Life Design is to  increase students’ perceptions of control over their future beyond their initial degree through  increasing self-esteem, self-efffcacy, and optimism about future career options</w:t>
            </w:r>
          </w:p>
        </w:tc>
        <w:tc>
          <w:tcPr>
            <w:tcW w:w="0" w:type="auto"/>
            <w:tcBorders>
              <w:top w:val="nil"/>
              <w:left w:val="nil"/>
              <w:bottom w:val="single" w:sz="4" w:space="0" w:color="000000"/>
              <w:right w:val="nil"/>
            </w:tcBorders>
            <w:shd w:val="clear" w:color="000000" w:fill="FFFFFF"/>
            <w:vAlign w:val="center"/>
            <w:hideMark/>
          </w:tcPr>
          <w:p w14:paraId="67388312"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Career Management Skills; </w:t>
            </w:r>
            <w:r w:rsidRPr="00D32BA9">
              <w:rPr>
                <w:rFonts w:ascii="Times New Roman" w:eastAsia="Times New Roman" w:hAnsi="Times New Roman" w:cs="Times New Roman"/>
                <w:color w:val="000000"/>
                <w:lang w:eastAsia="nl-NL"/>
              </w:rPr>
              <w:br/>
              <w:t xml:space="preserve">Improved Self-Management; </w:t>
            </w:r>
            <w:r w:rsidRPr="00D32BA9">
              <w:rPr>
                <w:rFonts w:ascii="Times New Roman" w:eastAsia="Times New Roman" w:hAnsi="Times New Roman" w:cs="Times New Roman"/>
                <w:color w:val="000000"/>
                <w:lang w:eastAsia="nl-NL"/>
              </w:rPr>
              <w:br/>
              <w:t>Self Esteem</w:t>
            </w:r>
          </w:p>
        </w:tc>
        <w:tc>
          <w:tcPr>
            <w:tcW w:w="0" w:type="auto"/>
            <w:tcBorders>
              <w:top w:val="nil"/>
              <w:left w:val="nil"/>
              <w:bottom w:val="single" w:sz="4" w:space="0" w:color="000000"/>
              <w:right w:val="nil"/>
            </w:tcBorders>
            <w:shd w:val="clear" w:color="000000" w:fill="FFFFFF"/>
            <w:vAlign w:val="center"/>
            <w:hideMark/>
          </w:tcPr>
          <w:p w14:paraId="7E093462"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The Life Orientation Test Revised (LOT-R) assessing differences in generalised optimism versus pessimism </w:t>
            </w:r>
          </w:p>
        </w:tc>
        <w:tc>
          <w:tcPr>
            <w:tcW w:w="0" w:type="auto"/>
            <w:tcBorders>
              <w:top w:val="nil"/>
              <w:left w:val="nil"/>
              <w:bottom w:val="single" w:sz="4" w:space="0" w:color="000000"/>
              <w:right w:val="nil"/>
            </w:tcBorders>
            <w:shd w:val="clear" w:color="000000" w:fill="FFFFFF"/>
            <w:vAlign w:val="center"/>
            <w:hideMark/>
          </w:tcPr>
          <w:p w14:paraId="422B948E"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Inconclusive Intervention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Analyses showed a significant immediate and sustained increase in self-esteem following the Life Design intervention, but no impact on self-efficacy or career optimism. Certainty about career development steps increased at a later follow-up, though there were no changes in career prospect confidence or career choice certainty.</w:t>
            </w:r>
          </w:p>
        </w:tc>
      </w:tr>
      <w:tr w:rsidR="00F44971" w:rsidRPr="00D32BA9" w14:paraId="6E74B2D0" w14:textId="77777777" w:rsidTr="0047680B">
        <w:trPr>
          <w:trHeight w:val="2292"/>
        </w:trPr>
        <w:tc>
          <w:tcPr>
            <w:tcW w:w="0" w:type="auto"/>
            <w:tcBorders>
              <w:top w:val="nil"/>
              <w:left w:val="nil"/>
              <w:bottom w:val="single" w:sz="4" w:space="0" w:color="000000"/>
              <w:right w:val="nil"/>
            </w:tcBorders>
            <w:shd w:val="clear" w:color="000000" w:fill="FFFFFF"/>
            <w:vAlign w:val="center"/>
            <w:hideMark/>
          </w:tcPr>
          <w:p w14:paraId="119FB265"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 xml:space="preserve">Dray </w:t>
            </w:r>
            <w:r w:rsidRPr="00D32BA9">
              <w:rPr>
                <w:rFonts w:ascii="Times New Roman" w:eastAsia="Times New Roman" w:hAnsi="Times New Roman" w:cs="Times New Roman"/>
                <w:b/>
                <w:bCs/>
                <w:i/>
                <w:iCs/>
                <w:color w:val="000000"/>
                <w:lang w:eastAsia="nl-NL"/>
              </w:rPr>
              <w:t>et al.,</w:t>
            </w:r>
            <w:r w:rsidRPr="00D32BA9">
              <w:rPr>
                <w:rFonts w:ascii="Times New Roman" w:eastAsia="Times New Roman" w:hAnsi="Times New Roman" w:cs="Times New Roman"/>
                <w:b/>
                <w:bCs/>
                <w:color w:val="000000"/>
                <w:lang w:eastAsia="nl-NL"/>
              </w:rPr>
              <w:t xml:space="preserve"> 2011</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t>moderate overall quality (9/18)</w:t>
            </w:r>
          </w:p>
        </w:tc>
        <w:tc>
          <w:tcPr>
            <w:tcW w:w="0" w:type="auto"/>
            <w:tcBorders>
              <w:top w:val="single" w:sz="4" w:space="0" w:color="000000"/>
              <w:left w:val="nil"/>
              <w:bottom w:val="single" w:sz="4" w:space="0" w:color="000000"/>
              <w:right w:val="nil"/>
            </w:tcBorders>
            <w:shd w:val="clear" w:color="000000" w:fill="FFFFFF"/>
            <w:vAlign w:val="center"/>
            <w:hideMark/>
          </w:tcPr>
          <w:p w14:paraId="368B9A8B"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Nurse graduates (n = 80) from Kingston University (post-test n = 54; follow up n = 23) </w:t>
            </w:r>
          </w:p>
        </w:tc>
        <w:tc>
          <w:tcPr>
            <w:tcW w:w="0" w:type="auto"/>
            <w:tcBorders>
              <w:top w:val="nil"/>
              <w:left w:val="nil"/>
              <w:bottom w:val="single" w:sz="4" w:space="0" w:color="000000"/>
              <w:right w:val="nil"/>
            </w:tcBorders>
            <w:shd w:val="clear" w:color="000000" w:fill="FFFFFF"/>
            <w:vAlign w:val="center"/>
            <w:hideMark/>
          </w:tcPr>
          <w:p w14:paraId="24B495C6"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Response to Direct Labout Market Demand</w:t>
            </w:r>
          </w:p>
        </w:tc>
        <w:tc>
          <w:tcPr>
            <w:tcW w:w="0" w:type="auto"/>
            <w:tcBorders>
              <w:top w:val="nil"/>
              <w:left w:val="nil"/>
              <w:bottom w:val="single" w:sz="4" w:space="0" w:color="000000"/>
              <w:right w:val="nil"/>
            </w:tcBorders>
            <w:shd w:val="clear" w:color="000000" w:fill="FFFFFF"/>
            <w:vAlign w:val="center"/>
            <w:hideMark/>
          </w:tcPr>
          <w:p w14:paraId="3EE28726"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Preparatory Training seminar, titled 'Enhanced Employability Events' aimed at enhancing job application skills of graduates</w:t>
            </w:r>
          </w:p>
        </w:tc>
        <w:tc>
          <w:tcPr>
            <w:tcW w:w="0" w:type="auto"/>
            <w:tcBorders>
              <w:top w:val="nil"/>
              <w:left w:val="nil"/>
              <w:bottom w:val="single" w:sz="4" w:space="0" w:color="000000"/>
              <w:right w:val="nil"/>
            </w:tcBorders>
            <w:shd w:val="clear" w:color="000000" w:fill="FFFFFF"/>
            <w:vAlign w:val="center"/>
            <w:hideMark/>
          </w:tcPr>
          <w:p w14:paraId="13679BD1"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Job Application Skills</w:t>
            </w:r>
          </w:p>
        </w:tc>
        <w:tc>
          <w:tcPr>
            <w:tcW w:w="0" w:type="auto"/>
            <w:tcBorders>
              <w:top w:val="nil"/>
              <w:left w:val="nil"/>
              <w:bottom w:val="single" w:sz="4" w:space="0" w:color="000000"/>
              <w:right w:val="nil"/>
            </w:tcBorders>
            <w:shd w:val="clear" w:color="000000" w:fill="FFFFFF"/>
            <w:vAlign w:val="center"/>
            <w:hideMark/>
          </w:tcPr>
          <w:p w14:paraId="08D160B2"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Placement Uptake</w:t>
            </w:r>
            <w:r w:rsidRPr="00D32BA9">
              <w:rPr>
                <w:rFonts w:ascii="Times New Roman" w:eastAsia="Times New Roman" w:hAnsi="Times New Roman" w:cs="Times New Roman"/>
                <w:color w:val="000000"/>
                <w:lang w:val="nl-NL" w:eastAsia="nl-NL"/>
              </w:rPr>
              <w:br/>
              <w:t>Registry Data</w:t>
            </w:r>
          </w:p>
        </w:tc>
        <w:tc>
          <w:tcPr>
            <w:tcW w:w="0" w:type="auto"/>
            <w:tcBorders>
              <w:top w:val="nil"/>
              <w:left w:val="nil"/>
              <w:bottom w:val="single" w:sz="4" w:space="0" w:color="000000"/>
              <w:right w:val="nil"/>
            </w:tcBorders>
            <w:shd w:val="clear" w:color="000000" w:fill="FFFFFF"/>
            <w:vAlign w:val="center"/>
            <w:hideMark/>
          </w:tcPr>
          <w:p w14:paraId="63772FE1"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Positive Labor Market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 xml:space="preserve">Fourteen of the 20 participants secured full-time employment as staff nurses, while the remaining worked in part-time or agency roles and continued to seek permanent positions. Those who obtained permanent posts largely credited their success to attending </w:t>
            </w:r>
            <w:r w:rsidRPr="00D32BA9">
              <w:rPr>
                <w:rFonts w:ascii="Times New Roman" w:eastAsia="Times New Roman" w:hAnsi="Times New Roman" w:cs="Times New Roman"/>
                <w:color w:val="000000"/>
                <w:lang w:eastAsia="nl-NL"/>
              </w:rPr>
              <w:lastRenderedPageBreak/>
              <w:t>the Enhanced Employability Event.</w:t>
            </w:r>
          </w:p>
        </w:tc>
      </w:tr>
      <w:tr w:rsidR="00F44971" w:rsidRPr="00D32BA9" w14:paraId="08AC92F7" w14:textId="77777777" w:rsidTr="0047680B">
        <w:trPr>
          <w:trHeight w:val="2532"/>
        </w:trPr>
        <w:tc>
          <w:tcPr>
            <w:tcW w:w="0" w:type="auto"/>
            <w:tcBorders>
              <w:top w:val="nil"/>
              <w:left w:val="nil"/>
              <w:bottom w:val="single" w:sz="4" w:space="0" w:color="000000"/>
              <w:right w:val="nil"/>
            </w:tcBorders>
            <w:shd w:val="clear" w:color="000000" w:fill="FFFFFF"/>
            <w:vAlign w:val="center"/>
            <w:hideMark/>
          </w:tcPr>
          <w:p w14:paraId="0DFCBADE"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lastRenderedPageBreak/>
              <w:t xml:space="preserve">El-Temtamy </w:t>
            </w:r>
            <w:r w:rsidRPr="00D32BA9">
              <w:rPr>
                <w:rFonts w:ascii="Times New Roman" w:eastAsia="Times New Roman" w:hAnsi="Times New Roman" w:cs="Times New Roman"/>
                <w:b/>
                <w:bCs/>
                <w:i/>
                <w:iCs/>
                <w:color w:val="000000"/>
                <w:lang w:eastAsia="nl-NL"/>
              </w:rPr>
              <w:t>et al.,</w:t>
            </w:r>
            <w:r w:rsidRPr="00D32BA9">
              <w:rPr>
                <w:rFonts w:ascii="Times New Roman" w:eastAsia="Times New Roman" w:hAnsi="Times New Roman" w:cs="Times New Roman"/>
                <w:b/>
                <w:bCs/>
                <w:color w:val="000000"/>
                <w:lang w:eastAsia="nl-NL"/>
              </w:rPr>
              <w:t xml:space="preserve"> 2016</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t>strong overall quality (14/18)</w:t>
            </w:r>
          </w:p>
        </w:tc>
        <w:tc>
          <w:tcPr>
            <w:tcW w:w="0" w:type="auto"/>
            <w:tcBorders>
              <w:top w:val="single" w:sz="4" w:space="0" w:color="000000"/>
              <w:left w:val="nil"/>
              <w:bottom w:val="single" w:sz="4" w:space="0" w:color="000000"/>
              <w:right w:val="nil"/>
            </w:tcBorders>
            <w:shd w:val="clear" w:color="000000" w:fill="FFFFFF"/>
            <w:vAlign w:val="center"/>
            <w:hideMark/>
          </w:tcPr>
          <w:p w14:paraId="3399A04E"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Cohort study of n = 1.190 students from Zayed Universtiy, UAE, post-education effects of intervention</w:t>
            </w:r>
          </w:p>
        </w:tc>
        <w:tc>
          <w:tcPr>
            <w:tcW w:w="0" w:type="auto"/>
            <w:tcBorders>
              <w:top w:val="nil"/>
              <w:left w:val="nil"/>
              <w:bottom w:val="single" w:sz="4" w:space="0" w:color="000000"/>
              <w:right w:val="nil"/>
            </w:tcBorders>
            <w:shd w:val="clear" w:color="000000" w:fill="FFFFFF"/>
            <w:vAlign w:val="center"/>
            <w:hideMark/>
          </w:tcPr>
          <w:p w14:paraId="27A79905"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Response to Direct Labout Market Demand</w:t>
            </w:r>
          </w:p>
        </w:tc>
        <w:tc>
          <w:tcPr>
            <w:tcW w:w="0" w:type="auto"/>
            <w:tcBorders>
              <w:top w:val="nil"/>
              <w:left w:val="nil"/>
              <w:bottom w:val="single" w:sz="4" w:space="0" w:color="000000"/>
              <w:right w:val="nil"/>
            </w:tcBorders>
            <w:shd w:val="clear" w:color="000000" w:fill="FFFFFF"/>
            <w:vAlign w:val="center"/>
            <w:hideMark/>
          </w:tcPr>
          <w:p w14:paraId="63A60FA2"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Participation in</w:t>
            </w:r>
            <w:r w:rsidRPr="00D32BA9">
              <w:rPr>
                <w:rFonts w:ascii="Times New Roman" w:eastAsia="Times New Roman" w:hAnsi="Times New Roman" w:cs="Times New Roman"/>
                <w:i/>
                <w:iCs/>
                <w:color w:val="000000"/>
                <w:lang w:eastAsia="nl-NL"/>
              </w:rPr>
              <w:t xml:space="preserve"> World of Work</w:t>
            </w:r>
            <w:r w:rsidRPr="00D32BA9">
              <w:rPr>
                <w:rFonts w:ascii="Times New Roman" w:eastAsia="Times New Roman" w:hAnsi="Times New Roman" w:cs="Times New Roman"/>
                <w:color w:val="000000"/>
                <w:lang w:eastAsia="nl-NL"/>
              </w:rPr>
              <w:t xml:space="preserve"> module (WOW) to develop employability skills via a variety of experiential learning activities</w:t>
            </w:r>
          </w:p>
        </w:tc>
        <w:tc>
          <w:tcPr>
            <w:tcW w:w="0" w:type="auto"/>
            <w:tcBorders>
              <w:top w:val="nil"/>
              <w:left w:val="nil"/>
              <w:bottom w:val="single" w:sz="4" w:space="0" w:color="000000"/>
              <w:right w:val="nil"/>
            </w:tcBorders>
            <w:shd w:val="clear" w:color="000000" w:fill="FFFFFF"/>
            <w:vAlign w:val="center"/>
            <w:hideMark/>
          </w:tcPr>
          <w:p w14:paraId="74B2AA3E"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 xml:space="preserve">Work Readiness </w:t>
            </w:r>
          </w:p>
        </w:tc>
        <w:tc>
          <w:tcPr>
            <w:tcW w:w="0" w:type="auto"/>
            <w:tcBorders>
              <w:top w:val="nil"/>
              <w:left w:val="nil"/>
              <w:bottom w:val="single" w:sz="4" w:space="0" w:color="000000"/>
              <w:right w:val="nil"/>
            </w:tcBorders>
            <w:shd w:val="clear" w:color="000000" w:fill="FFFFFF"/>
            <w:vAlign w:val="center"/>
            <w:hideMark/>
          </w:tcPr>
          <w:p w14:paraId="0539F80D"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Data of the </w:t>
            </w:r>
            <w:r w:rsidRPr="00D32BA9">
              <w:rPr>
                <w:rFonts w:ascii="Times New Roman" w:eastAsia="Times New Roman" w:hAnsi="Times New Roman" w:cs="Times New Roman"/>
                <w:i/>
                <w:iCs/>
                <w:color w:val="000000"/>
                <w:lang w:eastAsia="nl-NL"/>
              </w:rPr>
              <w:t>ZU Alumni Affairs Office</w:t>
            </w:r>
            <w:r w:rsidRPr="00D32BA9">
              <w:rPr>
                <w:rFonts w:ascii="Times New Roman" w:eastAsia="Times New Roman" w:hAnsi="Times New Roman" w:cs="Times New Roman"/>
                <w:color w:val="000000"/>
                <w:lang w:eastAsia="nl-NL"/>
              </w:rPr>
              <w:t xml:space="preserve"> from n = 1.190 alumni checked for participation in the WOW program and subsequent labor market outcomes </w:t>
            </w:r>
          </w:p>
        </w:tc>
        <w:tc>
          <w:tcPr>
            <w:tcW w:w="0" w:type="auto"/>
            <w:tcBorders>
              <w:top w:val="nil"/>
              <w:left w:val="nil"/>
              <w:bottom w:val="single" w:sz="4" w:space="0" w:color="000000"/>
              <w:right w:val="nil"/>
            </w:tcBorders>
            <w:shd w:val="clear" w:color="000000" w:fill="FFFFFF"/>
            <w:vAlign w:val="center"/>
            <w:hideMark/>
          </w:tcPr>
          <w:p w14:paraId="1BEDB103"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Positive Labor Market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Participants in the WOW program were 6.7 times more likely to secure post-graduate employment compared to non-participants. Additionally, high academic performance, as indicated by GPA, was positively associated with higher employability, aligning with findings from previous studies (Benz et al.,           1997; Gokuladas, 2011).</w:t>
            </w:r>
          </w:p>
        </w:tc>
      </w:tr>
      <w:tr w:rsidR="00F44971" w:rsidRPr="00D32BA9" w14:paraId="74FB1627" w14:textId="77777777" w:rsidTr="0047680B">
        <w:trPr>
          <w:trHeight w:val="2280"/>
        </w:trPr>
        <w:tc>
          <w:tcPr>
            <w:tcW w:w="0" w:type="auto"/>
            <w:tcBorders>
              <w:top w:val="nil"/>
              <w:left w:val="nil"/>
              <w:bottom w:val="nil"/>
              <w:right w:val="nil"/>
            </w:tcBorders>
            <w:shd w:val="clear" w:color="000000" w:fill="FFFFFF"/>
            <w:vAlign w:val="center"/>
            <w:hideMark/>
          </w:tcPr>
          <w:p w14:paraId="5F8EBD29"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Taylor and Hooley, 2014</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t>strong overall quality (14/18)</w:t>
            </w:r>
          </w:p>
        </w:tc>
        <w:tc>
          <w:tcPr>
            <w:tcW w:w="0" w:type="auto"/>
            <w:tcBorders>
              <w:top w:val="single" w:sz="4" w:space="0" w:color="000000"/>
              <w:left w:val="nil"/>
              <w:bottom w:val="nil"/>
              <w:right w:val="nil"/>
            </w:tcBorders>
            <w:shd w:val="clear" w:color="000000" w:fill="FFFFFF"/>
            <w:vAlign w:val="center"/>
            <w:hideMark/>
          </w:tcPr>
          <w:p w14:paraId="01FBA6EA"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Cohort study, observing three sample groups of graduates of the University of Wales Trinity Saint David: module participation and completed a placement (n = 73);  module participation, no placement (n = 110); and control (no module participation n = 460).</w:t>
            </w:r>
          </w:p>
        </w:tc>
        <w:tc>
          <w:tcPr>
            <w:tcW w:w="0" w:type="auto"/>
            <w:tcBorders>
              <w:top w:val="nil"/>
              <w:left w:val="nil"/>
              <w:bottom w:val="nil"/>
              <w:right w:val="nil"/>
            </w:tcBorders>
            <w:shd w:val="clear" w:color="000000" w:fill="FFFFFF"/>
            <w:vAlign w:val="center"/>
            <w:hideMark/>
          </w:tcPr>
          <w:p w14:paraId="2E3F0A65"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 xml:space="preserve">Governmental Demand </w:t>
            </w:r>
          </w:p>
        </w:tc>
        <w:tc>
          <w:tcPr>
            <w:tcW w:w="0" w:type="auto"/>
            <w:tcBorders>
              <w:top w:val="nil"/>
              <w:left w:val="nil"/>
              <w:bottom w:val="nil"/>
              <w:right w:val="nil"/>
            </w:tcBorders>
            <w:shd w:val="clear" w:color="000000" w:fill="FFFFFF"/>
            <w:vAlign w:val="center"/>
            <w:hideMark/>
          </w:tcPr>
          <w:p w14:paraId="437E7EB0"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xml:space="preserve">Preparatory career management module utilizing the </w:t>
            </w:r>
            <w:r w:rsidRPr="00D32BA9">
              <w:rPr>
                <w:rFonts w:ascii="Times New Roman" w:eastAsia="Times New Roman" w:hAnsi="Times New Roman" w:cs="Times New Roman"/>
                <w:i/>
                <w:iCs/>
                <w:color w:val="000000"/>
                <w:lang w:eastAsia="nl-NL"/>
              </w:rPr>
              <w:t>DOTS m</w:t>
            </w:r>
            <w:r w:rsidRPr="00D32BA9">
              <w:rPr>
                <w:rFonts w:ascii="Times New Roman" w:eastAsia="Times New Roman" w:hAnsi="Times New Roman" w:cs="Times New Roman"/>
                <w:color w:val="000000"/>
                <w:lang w:eastAsia="nl-NL"/>
              </w:rPr>
              <w:t xml:space="preserve">odel, to cultivate career management skills </w:t>
            </w:r>
          </w:p>
        </w:tc>
        <w:tc>
          <w:tcPr>
            <w:tcW w:w="0" w:type="auto"/>
            <w:tcBorders>
              <w:top w:val="nil"/>
              <w:left w:val="nil"/>
              <w:bottom w:val="nil"/>
              <w:right w:val="nil"/>
            </w:tcBorders>
            <w:shd w:val="clear" w:color="000000" w:fill="FFFFFF"/>
            <w:vAlign w:val="center"/>
            <w:hideMark/>
          </w:tcPr>
          <w:p w14:paraId="66CF070B" w14:textId="77777777" w:rsidR="00F44971" w:rsidRPr="00D32BA9" w:rsidRDefault="00F44971" w:rsidP="0047680B">
            <w:pPr>
              <w:spacing w:after="0" w:line="240" w:lineRule="auto"/>
              <w:rPr>
                <w:rFonts w:ascii="Times New Roman" w:eastAsia="Times New Roman" w:hAnsi="Times New Roman" w:cs="Times New Roman"/>
                <w:color w:val="000000"/>
                <w:lang w:val="nl-NL" w:eastAsia="nl-NL"/>
              </w:rPr>
            </w:pPr>
            <w:r w:rsidRPr="00D32BA9">
              <w:rPr>
                <w:rFonts w:ascii="Times New Roman" w:eastAsia="Times New Roman" w:hAnsi="Times New Roman" w:cs="Times New Roman"/>
                <w:color w:val="000000"/>
                <w:lang w:val="nl-NL" w:eastAsia="nl-NL"/>
              </w:rPr>
              <w:t>Career Management Skills</w:t>
            </w:r>
          </w:p>
        </w:tc>
        <w:tc>
          <w:tcPr>
            <w:tcW w:w="0" w:type="auto"/>
            <w:tcBorders>
              <w:top w:val="nil"/>
              <w:left w:val="nil"/>
              <w:bottom w:val="nil"/>
              <w:right w:val="nil"/>
            </w:tcBorders>
            <w:shd w:val="clear" w:color="000000" w:fill="FFFFFF"/>
            <w:vAlign w:val="center"/>
            <w:hideMark/>
          </w:tcPr>
          <w:p w14:paraId="2F4E1A6C"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DLHE survey for academic years 2009/2010 and 2010/2011 - analysing patterns of employment and  further study or training</w:t>
            </w:r>
          </w:p>
        </w:tc>
        <w:tc>
          <w:tcPr>
            <w:tcW w:w="0" w:type="auto"/>
            <w:tcBorders>
              <w:top w:val="nil"/>
              <w:left w:val="nil"/>
              <w:bottom w:val="nil"/>
              <w:right w:val="nil"/>
            </w:tcBorders>
            <w:shd w:val="clear" w:color="000000" w:fill="FFFFFF"/>
            <w:vAlign w:val="center"/>
            <w:hideMark/>
          </w:tcPr>
          <w:p w14:paraId="62586A83"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Positive Labor Market Outcome</w:t>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b/>
                <w:bCs/>
                <w:color w:val="000000"/>
                <w:lang w:eastAsia="nl-NL"/>
              </w:rPr>
              <w:br/>
            </w:r>
            <w:r w:rsidRPr="00D32BA9">
              <w:rPr>
                <w:rFonts w:ascii="Times New Roman" w:eastAsia="Times New Roman" w:hAnsi="Times New Roman" w:cs="Times New Roman"/>
                <w:color w:val="000000"/>
                <w:lang w:eastAsia="nl-NL"/>
              </w:rPr>
              <w:t xml:space="preserve">Statistically significant difference in employment levels among graduates based on their engagement with the module and placement status within six months of graduation. </w:t>
            </w:r>
          </w:p>
        </w:tc>
      </w:tr>
      <w:tr w:rsidR="00F44971" w:rsidRPr="00D32BA9" w14:paraId="1E038018" w14:textId="77777777" w:rsidTr="0047680B">
        <w:trPr>
          <w:trHeight w:val="349"/>
        </w:trPr>
        <w:tc>
          <w:tcPr>
            <w:tcW w:w="0" w:type="auto"/>
            <w:tcBorders>
              <w:top w:val="nil"/>
              <w:left w:val="nil"/>
              <w:bottom w:val="nil"/>
              <w:right w:val="nil"/>
            </w:tcBorders>
            <w:shd w:val="clear" w:color="000000" w:fill="FFFFFF"/>
            <w:vAlign w:val="center"/>
            <w:hideMark/>
          </w:tcPr>
          <w:p w14:paraId="5F8DCBF4"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 </w:t>
            </w:r>
          </w:p>
        </w:tc>
        <w:tc>
          <w:tcPr>
            <w:tcW w:w="0" w:type="auto"/>
            <w:tcBorders>
              <w:top w:val="nil"/>
              <w:left w:val="nil"/>
              <w:bottom w:val="nil"/>
              <w:right w:val="nil"/>
            </w:tcBorders>
            <w:shd w:val="clear" w:color="000000" w:fill="FFFFFF"/>
            <w:vAlign w:val="center"/>
            <w:hideMark/>
          </w:tcPr>
          <w:p w14:paraId="5DD63E29"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7F1B81A8"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5D4A1745"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7E6B9B0A"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0127BAD5"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6C373BF1"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 </w:t>
            </w:r>
          </w:p>
        </w:tc>
      </w:tr>
      <w:tr w:rsidR="00F44971" w:rsidRPr="00D32BA9" w14:paraId="2D3C7421" w14:textId="77777777" w:rsidTr="0047680B">
        <w:trPr>
          <w:trHeight w:val="349"/>
        </w:trPr>
        <w:tc>
          <w:tcPr>
            <w:tcW w:w="0" w:type="auto"/>
            <w:tcBorders>
              <w:top w:val="nil"/>
              <w:left w:val="nil"/>
              <w:bottom w:val="nil"/>
              <w:right w:val="nil"/>
            </w:tcBorders>
            <w:shd w:val="clear" w:color="000000" w:fill="FFFFFF"/>
            <w:vAlign w:val="center"/>
            <w:hideMark/>
          </w:tcPr>
          <w:p w14:paraId="0755DB2F"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lastRenderedPageBreak/>
              <w:t> </w:t>
            </w:r>
          </w:p>
        </w:tc>
        <w:tc>
          <w:tcPr>
            <w:tcW w:w="0" w:type="auto"/>
            <w:tcBorders>
              <w:top w:val="nil"/>
              <w:left w:val="nil"/>
              <w:bottom w:val="nil"/>
              <w:right w:val="nil"/>
            </w:tcBorders>
            <w:shd w:val="clear" w:color="000000" w:fill="FFFFFF"/>
            <w:vAlign w:val="center"/>
            <w:hideMark/>
          </w:tcPr>
          <w:p w14:paraId="03C651FA"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6A438443"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3B35F121"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1F706352"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359EFC95" w14:textId="77777777" w:rsidR="00F44971" w:rsidRPr="00D32BA9" w:rsidRDefault="00F44971" w:rsidP="0047680B">
            <w:pPr>
              <w:spacing w:after="0" w:line="240" w:lineRule="auto"/>
              <w:rPr>
                <w:rFonts w:ascii="Times New Roman" w:eastAsia="Times New Roman" w:hAnsi="Times New Roman" w:cs="Times New Roman"/>
                <w:color w:val="000000"/>
                <w:lang w:eastAsia="nl-NL"/>
              </w:rPr>
            </w:pPr>
            <w:r w:rsidRPr="00D32BA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2F4CB805" w14:textId="77777777" w:rsidR="00F44971" w:rsidRPr="00D32BA9" w:rsidRDefault="00F44971" w:rsidP="0047680B">
            <w:pPr>
              <w:spacing w:after="0" w:line="240" w:lineRule="auto"/>
              <w:rPr>
                <w:rFonts w:ascii="Times New Roman" w:eastAsia="Times New Roman" w:hAnsi="Times New Roman" w:cs="Times New Roman"/>
                <w:b/>
                <w:bCs/>
                <w:color w:val="000000"/>
                <w:lang w:eastAsia="nl-NL"/>
              </w:rPr>
            </w:pPr>
            <w:r w:rsidRPr="00D32BA9">
              <w:rPr>
                <w:rFonts w:ascii="Times New Roman" w:eastAsia="Times New Roman" w:hAnsi="Times New Roman" w:cs="Times New Roman"/>
                <w:b/>
                <w:bCs/>
                <w:color w:val="000000"/>
                <w:lang w:eastAsia="nl-NL"/>
              </w:rPr>
              <w:t> </w:t>
            </w:r>
          </w:p>
        </w:tc>
      </w:tr>
    </w:tbl>
    <w:p w14:paraId="6D219B9C" w14:textId="77777777" w:rsidR="00DF0143" w:rsidRDefault="00F44971"/>
    <w:sectPr w:rsidR="00DF0143" w:rsidSect="00D32BA9">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CC4"/>
    <w:rsid w:val="00081F1C"/>
    <w:rsid w:val="00150664"/>
    <w:rsid w:val="005B6351"/>
    <w:rsid w:val="005B7CC4"/>
    <w:rsid w:val="00661336"/>
    <w:rsid w:val="008009B8"/>
    <w:rsid w:val="0086116B"/>
    <w:rsid w:val="0088551D"/>
    <w:rsid w:val="00B2785C"/>
    <w:rsid w:val="00B74120"/>
    <w:rsid w:val="00BD5499"/>
    <w:rsid w:val="00D32BA9"/>
    <w:rsid w:val="00F44971"/>
    <w:rsid w:val="00FE53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433E"/>
  <w15:chartTrackingRefBased/>
  <w15:docId w15:val="{E0324FE9-830C-492A-8839-B6247933D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560872">
      <w:bodyDiv w:val="1"/>
      <w:marLeft w:val="0"/>
      <w:marRight w:val="0"/>
      <w:marTop w:val="0"/>
      <w:marBottom w:val="0"/>
      <w:divBdr>
        <w:top w:val="none" w:sz="0" w:space="0" w:color="auto"/>
        <w:left w:val="none" w:sz="0" w:space="0" w:color="auto"/>
        <w:bottom w:val="none" w:sz="0" w:space="0" w:color="auto"/>
        <w:right w:val="none" w:sz="0" w:space="0" w:color="auto"/>
      </w:divBdr>
    </w:div>
    <w:div w:id="201302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1276</Words>
  <Characters>7021</Characters>
  <Application>Microsoft Office Word</Application>
  <DocSecurity>0</DocSecurity>
  <Lines>58</Lines>
  <Paragraphs>16</Paragraphs>
  <ScaleCrop>false</ScaleCrop>
  <Company>University of Groningen</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Barachino</dc:creator>
  <cp:keywords/>
  <dc:description/>
  <cp:lastModifiedBy>H. Barachino</cp:lastModifiedBy>
  <cp:revision>5</cp:revision>
  <dcterms:created xsi:type="dcterms:W3CDTF">2025-08-13T03:26:00Z</dcterms:created>
  <dcterms:modified xsi:type="dcterms:W3CDTF">2025-08-22T03:47:00Z</dcterms:modified>
</cp:coreProperties>
</file>