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C8F61" w14:textId="77777777" w:rsidR="0025349C" w:rsidRPr="006C0655" w:rsidRDefault="0025349C" w:rsidP="0025349C">
      <w:pPr>
        <w:ind w:firstLine="340"/>
        <w:jc w:val="center"/>
        <w:rPr>
          <w:rFonts w:eastAsia="Calibri"/>
          <w:b/>
          <w:bCs/>
          <w:color w:val="000000" w:themeColor="text1"/>
          <w:sz w:val="28"/>
          <w:szCs w:val="28"/>
        </w:rPr>
      </w:pPr>
      <w:r w:rsidRPr="006C0655">
        <w:rPr>
          <w:rFonts w:eastAsia="Calibri"/>
          <w:b/>
          <w:bCs/>
          <w:color w:val="000000" w:themeColor="text1"/>
          <w:sz w:val="28"/>
          <w:szCs w:val="28"/>
        </w:rPr>
        <w:t>Structural Workplace Factors Contributing to Australia's Persistent Gender Pay Gap</w:t>
      </w:r>
    </w:p>
    <w:p w14:paraId="664E1541" w14:textId="77777777" w:rsidR="00222466" w:rsidRPr="00472B33" w:rsidRDefault="00222466" w:rsidP="006C2B34">
      <w:pPr>
        <w:jc w:val="center"/>
        <w:rPr>
          <w:rFonts w:asciiTheme="majorBidi" w:hAnsiTheme="majorBidi" w:cstheme="majorBidi"/>
          <w:b/>
          <w:bCs/>
          <w:color w:val="000000" w:themeColor="text1"/>
        </w:rPr>
      </w:pPr>
    </w:p>
    <w:p w14:paraId="2BE49F73" w14:textId="77777777" w:rsidR="006C2B34" w:rsidRPr="00472B33" w:rsidRDefault="006C2B34" w:rsidP="006C2B34">
      <w:pPr>
        <w:jc w:val="center"/>
        <w:rPr>
          <w:rFonts w:asciiTheme="majorBidi" w:hAnsiTheme="majorBidi" w:cstheme="majorBidi"/>
          <w:b/>
          <w:bCs/>
          <w:color w:val="000000" w:themeColor="text1"/>
        </w:rPr>
      </w:pPr>
      <w:r w:rsidRPr="00472B33">
        <w:rPr>
          <w:rFonts w:asciiTheme="majorBidi" w:hAnsiTheme="majorBidi" w:cstheme="majorBidi"/>
          <w:b/>
          <w:bCs/>
          <w:color w:val="000000" w:themeColor="text1"/>
        </w:rPr>
        <w:t>Supplementary Materials</w:t>
      </w:r>
    </w:p>
    <w:p w14:paraId="7CC5D0BF" w14:textId="77777777" w:rsidR="006C2B34" w:rsidRPr="00472B33" w:rsidRDefault="006C2B34" w:rsidP="006C2B34">
      <w:pPr>
        <w:shd w:val="clear" w:color="auto" w:fill="FFFFFF" w:themeFill="background1"/>
        <w:jc w:val="center"/>
        <w:rPr>
          <w:rFonts w:asciiTheme="majorBidi" w:hAnsiTheme="majorBidi" w:cstheme="majorBidi"/>
          <w:color w:val="000000" w:themeColor="text1"/>
        </w:rPr>
      </w:pPr>
    </w:p>
    <w:p w14:paraId="6A950587" w14:textId="77777777" w:rsidR="006C2B34" w:rsidRDefault="006C2B34" w:rsidP="006C2B34">
      <w:pPr>
        <w:shd w:val="clear" w:color="auto" w:fill="FFFFFF" w:themeFill="background1"/>
        <w:jc w:val="center"/>
        <w:rPr>
          <w:rFonts w:asciiTheme="majorBidi" w:hAnsiTheme="majorBidi" w:cstheme="majorBidi"/>
          <w:color w:val="000000" w:themeColor="text1"/>
        </w:rPr>
      </w:pPr>
    </w:p>
    <w:p w14:paraId="4BE624A6" w14:textId="5426ABAE" w:rsidR="006C2B34" w:rsidRPr="00472B33" w:rsidRDefault="006C2B34" w:rsidP="006C2B34">
      <w:pPr>
        <w:shd w:val="clear" w:color="auto" w:fill="FFFFFF" w:themeFill="background1"/>
        <w:jc w:val="center"/>
        <w:rPr>
          <w:rFonts w:asciiTheme="majorBidi" w:hAnsiTheme="majorBidi" w:cstheme="majorBidi"/>
          <w:color w:val="000000" w:themeColor="text1"/>
        </w:rPr>
      </w:pPr>
      <w:r w:rsidRPr="00472B33">
        <w:rPr>
          <w:rFonts w:asciiTheme="majorBidi" w:hAnsiTheme="majorBidi" w:cstheme="majorBidi"/>
          <w:color w:val="000000" w:themeColor="text1"/>
        </w:rPr>
        <w:t>Table of Contents</w:t>
      </w:r>
    </w:p>
    <w:p w14:paraId="5DEC431E" w14:textId="77777777" w:rsidR="00C40F68" w:rsidRDefault="00C40F68" w:rsidP="006C2B34">
      <w:pPr>
        <w:shd w:val="clear" w:color="auto" w:fill="FFFFFF" w:themeFill="background1"/>
        <w:tabs>
          <w:tab w:val="left" w:pos="7920"/>
          <w:tab w:val="left" w:pos="8820"/>
        </w:tabs>
        <w:rPr>
          <w:rFonts w:asciiTheme="majorBidi" w:hAnsiTheme="majorBidi" w:cstheme="majorBidi"/>
          <w:b/>
          <w:bCs/>
          <w:color w:val="000000" w:themeColor="text1"/>
        </w:rPr>
      </w:pPr>
    </w:p>
    <w:p w14:paraId="344C1579" w14:textId="77777777" w:rsidR="00CC737E" w:rsidRPr="00D06F42" w:rsidRDefault="00CC737E" w:rsidP="00CC737E">
      <w:pPr>
        <w:widowControl w:val="0"/>
        <w:ind w:firstLine="567"/>
        <w:rPr>
          <w:rFonts w:asciiTheme="majorBidi" w:hAnsiTheme="majorBidi" w:cstheme="majorBidi"/>
          <w:color w:val="000000" w:themeColor="text1"/>
        </w:rPr>
      </w:pPr>
    </w:p>
    <w:p w14:paraId="65E0A2CA" w14:textId="45AE3378" w:rsidR="00CC737E" w:rsidRPr="008A2010" w:rsidRDefault="00D06F42" w:rsidP="00D06F42">
      <w:pPr>
        <w:pStyle w:val="Heading3"/>
        <w:spacing w:before="0" w:after="0"/>
        <w:rPr>
          <w:rFonts w:asciiTheme="majorBidi" w:hAnsiTheme="majorBidi"/>
          <w:color w:val="000000" w:themeColor="text1"/>
          <w:sz w:val="24"/>
          <w:szCs w:val="24"/>
        </w:rPr>
      </w:pPr>
      <w:r w:rsidRPr="008A2010">
        <w:rPr>
          <w:rFonts w:ascii="Times New Roman" w:hAnsi="Times New Roman" w:cs="Times New Roman"/>
          <w:color w:val="auto"/>
          <w:sz w:val="24"/>
          <w:szCs w:val="24"/>
        </w:rPr>
        <w:t>Variations in Measurement Approaches </w:t>
      </w:r>
      <w:r w:rsidR="00CC737E" w:rsidRPr="008A2010">
        <w:rPr>
          <w:rFonts w:asciiTheme="majorBidi" w:hAnsiTheme="majorBidi"/>
          <w:color w:val="000000" w:themeColor="text1"/>
          <w:sz w:val="24"/>
          <w:szCs w:val="24"/>
        </w:rPr>
        <w:t>..............................................................</w:t>
      </w:r>
      <w:r w:rsidR="00CC737E" w:rsidRPr="008A2010">
        <w:rPr>
          <w:rFonts w:asciiTheme="majorBidi" w:hAnsiTheme="majorBidi"/>
          <w:color w:val="000000" w:themeColor="text1"/>
          <w:sz w:val="24"/>
          <w:szCs w:val="24"/>
        </w:rPr>
        <w:tab/>
        <w:t xml:space="preserve"> S-2</w:t>
      </w:r>
    </w:p>
    <w:p w14:paraId="6F8FCBF2" w14:textId="1E7C424A" w:rsidR="00D06F42" w:rsidRPr="008A2010" w:rsidRDefault="00D06F42" w:rsidP="00D06F42">
      <w:pPr>
        <w:pStyle w:val="Heading3"/>
        <w:spacing w:before="0" w:after="0"/>
        <w:rPr>
          <w:rFonts w:ascii="Times New Roman" w:hAnsi="Times New Roman" w:cs="Times New Roman"/>
          <w:color w:val="auto"/>
          <w:sz w:val="24"/>
          <w:szCs w:val="24"/>
        </w:rPr>
      </w:pPr>
      <w:r w:rsidRPr="008A2010">
        <w:rPr>
          <w:rFonts w:ascii="Times New Roman" w:hAnsi="Times New Roman" w:cs="Times New Roman"/>
          <w:color w:val="auto"/>
          <w:sz w:val="24"/>
          <w:szCs w:val="24"/>
        </w:rPr>
        <w:t>Sample Representation Challenges </w:t>
      </w:r>
      <w:r w:rsidR="00774ABC" w:rsidRPr="008A2010">
        <w:rPr>
          <w:rFonts w:asciiTheme="majorBidi" w:hAnsiTheme="majorBidi"/>
          <w:color w:val="000000" w:themeColor="text1"/>
          <w:sz w:val="24"/>
          <w:szCs w:val="24"/>
        </w:rPr>
        <w:t>.....................................................................</w:t>
      </w:r>
      <w:r w:rsidRPr="008A2010">
        <w:rPr>
          <w:rFonts w:asciiTheme="majorBidi" w:hAnsiTheme="majorBidi"/>
          <w:color w:val="000000" w:themeColor="text1"/>
          <w:sz w:val="24"/>
          <w:szCs w:val="24"/>
        </w:rPr>
        <w:tab/>
        <w:t xml:space="preserve"> S-2</w:t>
      </w:r>
    </w:p>
    <w:p w14:paraId="4641CD17" w14:textId="2A4E3C71" w:rsidR="00D06F42" w:rsidRPr="008A2010" w:rsidRDefault="00D06F42" w:rsidP="00D06F42">
      <w:pPr>
        <w:pStyle w:val="Heading3"/>
        <w:spacing w:before="0" w:after="0"/>
        <w:rPr>
          <w:rFonts w:ascii="Times New Roman" w:hAnsi="Times New Roman" w:cs="Times New Roman"/>
          <w:color w:val="auto"/>
          <w:sz w:val="24"/>
          <w:szCs w:val="24"/>
        </w:rPr>
      </w:pPr>
      <w:r w:rsidRPr="008A2010">
        <w:rPr>
          <w:rFonts w:ascii="Times New Roman" w:hAnsi="Times New Roman" w:cs="Times New Roman"/>
          <w:color w:val="auto"/>
          <w:sz w:val="24"/>
          <w:szCs w:val="24"/>
        </w:rPr>
        <w:t>Temporal Trends and Limitations </w:t>
      </w:r>
      <w:r w:rsidR="00774ABC" w:rsidRPr="008A2010">
        <w:rPr>
          <w:rFonts w:asciiTheme="majorBidi" w:hAnsiTheme="majorBidi"/>
          <w:color w:val="000000" w:themeColor="text1"/>
          <w:sz w:val="24"/>
          <w:szCs w:val="24"/>
        </w:rPr>
        <w:t>........................................................................</w:t>
      </w:r>
      <w:r w:rsidRPr="008A2010">
        <w:rPr>
          <w:rFonts w:asciiTheme="majorBidi" w:hAnsiTheme="majorBidi"/>
          <w:color w:val="000000" w:themeColor="text1"/>
          <w:sz w:val="24"/>
          <w:szCs w:val="24"/>
        </w:rPr>
        <w:tab/>
        <w:t xml:space="preserve"> S-2</w:t>
      </w:r>
    </w:p>
    <w:p w14:paraId="6565CBDC" w14:textId="110A0643" w:rsidR="00D06F42" w:rsidRPr="008A2010" w:rsidRDefault="00D06F42" w:rsidP="00D06F42">
      <w:pPr>
        <w:pStyle w:val="Heading3"/>
        <w:spacing w:before="0" w:after="0"/>
        <w:rPr>
          <w:rFonts w:ascii="Times New Roman" w:hAnsi="Times New Roman" w:cs="Times New Roman"/>
          <w:color w:val="auto"/>
          <w:sz w:val="24"/>
          <w:szCs w:val="24"/>
        </w:rPr>
      </w:pPr>
      <w:r w:rsidRPr="008A2010">
        <w:rPr>
          <w:rFonts w:ascii="Times New Roman" w:hAnsi="Times New Roman" w:cs="Times New Roman"/>
          <w:color w:val="auto"/>
          <w:sz w:val="24"/>
          <w:szCs w:val="24"/>
        </w:rPr>
        <w:t xml:space="preserve">Methodological Contribution </w:t>
      </w:r>
      <w:r w:rsidR="00774ABC" w:rsidRPr="008A2010">
        <w:rPr>
          <w:rFonts w:asciiTheme="majorBidi" w:hAnsiTheme="majorBidi"/>
          <w:color w:val="000000" w:themeColor="text1"/>
          <w:sz w:val="24"/>
          <w:szCs w:val="24"/>
        </w:rPr>
        <w:t>..............................................................................</w:t>
      </w:r>
      <w:r w:rsidRPr="008A2010">
        <w:rPr>
          <w:rFonts w:asciiTheme="majorBidi" w:hAnsiTheme="majorBidi"/>
          <w:color w:val="000000" w:themeColor="text1"/>
          <w:sz w:val="24"/>
          <w:szCs w:val="24"/>
        </w:rPr>
        <w:tab/>
        <w:t xml:space="preserve"> S-2</w:t>
      </w:r>
    </w:p>
    <w:p w14:paraId="0D4AB554" w14:textId="0E97977C" w:rsidR="00D06F42" w:rsidRPr="008A2010" w:rsidRDefault="00D06F42" w:rsidP="00D06F42">
      <w:pPr>
        <w:rPr>
          <w:rFonts w:asciiTheme="majorBidi" w:hAnsiTheme="majorBidi" w:cstheme="majorBidi"/>
          <w:color w:val="000000" w:themeColor="text1"/>
        </w:rPr>
      </w:pPr>
      <w:r w:rsidRPr="008A2010">
        <w:rPr>
          <w:rFonts w:asciiTheme="majorBidi" w:hAnsiTheme="majorBidi" w:cstheme="majorBidi"/>
          <w:color w:val="000000" w:themeColor="text1"/>
        </w:rPr>
        <w:t xml:space="preserve">Analytical Pipeline </w:t>
      </w:r>
      <w:r w:rsidR="00774ABC" w:rsidRPr="008A2010">
        <w:rPr>
          <w:rFonts w:asciiTheme="majorBidi" w:hAnsiTheme="majorBidi" w:cstheme="majorBidi"/>
          <w:color w:val="000000" w:themeColor="text1"/>
        </w:rPr>
        <w:t>..............................................................................................</w:t>
      </w:r>
      <w:r w:rsidRPr="008A2010">
        <w:rPr>
          <w:rFonts w:asciiTheme="majorBidi" w:hAnsiTheme="majorBidi" w:cstheme="majorBidi"/>
          <w:color w:val="000000" w:themeColor="text1"/>
        </w:rPr>
        <w:tab/>
        <w:t xml:space="preserve"> S-2</w:t>
      </w:r>
    </w:p>
    <w:p w14:paraId="061B1B68" w14:textId="344FAB22" w:rsidR="00D06F42" w:rsidRPr="008A2010" w:rsidRDefault="00D06F42" w:rsidP="00D06F42">
      <w:pPr>
        <w:pStyle w:val="Heading3"/>
        <w:spacing w:before="0" w:after="0"/>
        <w:rPr>
          <w:rFonts w:ascii="Times New Roman" w:hAnsi="Times New Roman" w:cs="Times New Roman"/>
          <w:color w:val="000000" w:themeColor="text1"/>
          <w:sz w:val="24"/>
          <w:szCs w:val="24"/>
        </w:rPr>
      </w:pPr>
      <w:r w:rsidRPr="008A2010">
        <w:rPr>
          <w:rFonts w:ascii="Times New Roman" w:hAnsi="Times New Roman" w:cs="Times New Roman"/>
          <w:color w:val="000000" w:themeColor="text1"/>
          <w:sz w:val="24"/>
          <w:szCs w:val="24"/>
        </w:rPr>
        <w:t xml:space="preserve">Data Preprocessing </w:t>
      </w:r>
      <w:r w:rsidR="00774ABC" w:rsidRPr="008A2010">
        <w:rPr>
          <w:rFonts w:asciiTheme="majorBidi" w:hAnsiTheme="majorBidi"/>
          <w:color w:val="000000" w:themeColor="text1"/>
          <w:sz w:val="24"/>
          <w:szCs w:val="24"/>
        </w:rPr>
        <w:t>.............................................................................................</w:t>
      </w:r>
      <w:r w:rsidRPr="008A2010">
        <w:rPr>
          <w:rFonts w:asciiTheme="majorBidi" w:hAnsiTheme="majorBidi"/>
          <w:color w:val="000000" w:themeColor="text1"/>
          <w:sz w:val="24"/>
          <w:szCs w:val="24"/>
        </w:rPr>
        <w:tab/>
        <w:t xml:space="preserve"> S-</w:t>
      </w:r>
      <w:r w:rsidR="00774ABC" w:rsidRPr="008A2010">
        <w:rPr>
          <w:rFonts w:asciiTheme="majorBidi" w:hAnsiTheme="majorBidi"/>
          <w:color w:val="000000" w:themeColor="text1"/>
          <w:sz w:val="24"/>
          <w:szCs w:val="24"/>
        </w:rPr>
        <w:t>3</w:t>
      </w:r>
    </w:p>
    <w:p w14:paraId="58F7079F" w14:textId="032DA236" w:rsidR="00D06F42" w:rsidRPr="008A2010" w:rsidRDefault="00D06F42" w:rsidP="00D06F42">
      <w:pPr>
        <w:pStyle w:val="Heading3"/>
        <w:spacing w:before="0" w:after="0"/>
        <w:rPr>
          <w:rFonts w:ascii="Times New Roman" w:hAnsi="Times New Roman" w:cs="Times New Roman"/>
          <w:color w:val="000000" w:themeColor="text1"/>
          <w:sz w:val="24"/>
          <w:szCs w:val="24"/>
        </w:rPr>
      </w:pPr>
      <w:r w:rsidRPr="008A2010">
        <w:rPr>
          <w:rFonts w:ascii="Times New Roman" w:hAnsi="Times New Roman" w:cs="Times New Roman"/>
          <w:color w:val="000000" w:themeColor="text1"/>
          <w:sz w:val="24"/>
          <w:szCs w:val="24"/>
        </w:rPr>
        <w:t xml:space="preserve">Variable Screening and OLS Development </w:t>
      </w:r>
      <w:r w:rsidR="00774ABC" w:rsidRPr="008A2010">
        <w:rPr>
          <w:rFonts w:asciiTheme="majorBidi" w:hAnsiTheme="majorBidi"/>
          <w:color w:val="000000" w:themeColor="text1"/>
          <w:sz w:val="24"/>
          <w:szCs w:val="24"/>
        </w:rPr>
        <w:t>.........................................................</w:t>
      </w:r>
      <w:r w:rsidRPr="008A2010">
        <w:rPr>
          <w:rFonts w:asciiTheme="majorBidi" w:hAnsiTheme="majorBidi"/>
          <w:color w:val="000000" w:themeColor="text1"/>
          <w:sz w:val="24"/>
          <w:szCs w:val="24"/>
        </w:rPr>
        <w:tab/>
        <w:t xml:space="preserve"> S-</w:t>
      </w:r>
      <w:r w:rsidR="00774ABC" w:rsidRPr="008A2010">
        <w:rPr>
          <w:rFonts w:asciiTheme="majorBidi" w:hAnsiTheme="majorBidi"/>
          <w:color w:val="000000" w:themeColor="text1"/>
          <w:sz w:val="24"/>
          <w:szCs w:val="24"/>
        </w:rPr>
        <w:t>3</w:t>
      </w:r>
    </w:p>
    <w:p w14:paraId="17EC4A5D" w14:textId="14C6E00D" w:rsidR="00D06F42" w:rsidRPr="008A2010" w:rsidRDefault="00D06F42" w:rsidP="00D06F42">
      <w:pPr>
        <w:pStyle w:val="Heading3"/>
        <w:spacing w:before="0" w:after="0"/>
        <w:rPr>
          <w:rFonts w:ascii="Times New Roman" w:hAnsi="Times New Roman" w:cs="Times New Roman"/>
          <w:color w:val="000000" w:themeColor="text1"/>
          <w:sz w:val="24"/>
          <w:szCs w:val="24"/>
        </w:rPr>
      </w:pPr>
      <w:r w:rsidRPr="008A2010">
        <w:rPr>
          <w:rFonts w:ascii="Times New Roman" w:hAnsi="Times New Roman" w:cs="Times New Roman"/>
          <w:color w:val="000000" w:themeColor="text1"/>
          <w:sz w:val="24"/>
          <w:szCs w:val="24"/>
        </w:rPr>
        <w:t xml:space="preserve">Model Benchmarking </w:t>
      </w:r>
      <w:r w:rsidR="00774ABC" w:rsidRPr="008A2010">
        <w:rPr>
          <w:rFonts w:asciiTheme="majorBidi" w:hAnsiTheme="majorBidi"/>
          <w:color w:val="000000" w:themeColor="text1"/>
          <w:sz w:val="24"/>
          <w:szCs w:val="24"/>
        </w:rPr>
        <w:t>..........................................................................................</w:t>
      </w:r>
      <w:r w:rsidRPr="008A2010">
        <w:rPr>
          <w:rFonts w:asciiTheme="majorBidi" w:hAnsiTheme="majorBidi"/>
          <w:color w:val="000000" w:themeColor="text1"/>
          <w:sz w:val="24"/>
          <w:szCs w:val="24"/>
        </w:rPr>
        <w:tab/>
        <w:t xml:space="preserve"> S-</w:t>
      </w:r>
      <w:r w:rsidR="00774ABC" w:rsidRPr="008A2010">
        <w:rPr>
          <w:rFonts w:asciiTheme="majorBidi" w:hAnsiTheme="majorBidi"/>
          <w:color w:val="000000" w:themeColor="text1"/>
          <w:sz w:val="24"/>
          <w:szCs w:val="24"/>
        </w:rPr>
        <w:t>4</w:t>
      </w:r>
    </w:p>
    <w:p w14:paraId="5EED7EF7" w14:textId="622E0A17" w:rsidR="00D06F42" w:rsidRPr="008A2010" w:rsidRDefault="00D06F42" w:rsidP="00D06F42">
      <w:pPr>
        <w:pStyle w:val="Heading3"/>
        <w:spacing w:before="0" w:after="0"/>
        <w:rPr>
          <w:rFonts w:ascii="Times New Roman" w:hAnsi="Times New Roman" w:cs="Times New Roman"/>
          <w:color w:val="000000" w:themeColor="text1"/>
          <w:sz w:val="24"/>
          <w:szCs w:val="24"/>
        </w:rPr>
      </w:pPr>
      <w:r w:rsidRPr="008A2010">
        <w:rPr>
          <w:rFonts w:ascii="Times New Roman" w:hAnsi="Times New Roman" w:cs="Times New Roman"/>
          <w:color w:val="000000" w:themeColor="text1"/>
          <w:sz w:val="24"/>
          <w:szCs w:val="24"/>
        </w:rPr>
        <w:t xml:space="preserve">Random Forest Regression </w:t>
      </w:r>
      <w:r w:rsidR="00774ABC" w:rsidRPr="008A2010">
        <w:rPr>
          <w:rFonts w:asciiTheme="majorBidi" w:hAnsiTheme="majorBidi"/>
          <w:color w:val="000000" w:themeColor="text1"/>
          <w:sz w:val="24"/>
          <w:szCs w:val="24"/>
        </w:rPr>
        <w:t>.................................................................................</w:t>
      </w:r>
      <w:r w:rsidRPr="008A2010">
        <w:rPr>
          <w:rFonts w:asciiTheme="majorBidi" w:hAnsiTheme="majorBidi"/>
          <w:color w:val="000000" w:themeColor="text1"/>
          <w:sz w:val="24"/>
          <w:szCs w:val="24"/>
        </w:rPr>
        <w:tab/>
        <w:t xml:space="preserve"> S-</w:t>
      </w:r>
      <w:r w:rsidR="00774ABC" w:rsidRPr="008A2010">
        <w:rPr>
          <w:rFonts w:asciiTheme="majorBidi" w:hAnsiTheme="majorBidi"/>
          <w:color w:val="000000" w:themeColor="text1"/>
          <w:sz w:val="24"/>
          <w:szCs w:val="24"/>
        </w:rPr>
        <w:t>4</w:t>
      </w:r>
    </w:p>
    <w:p w14:paraId="582CB7E0" w14:textId="67A87516" w:rsidR="00D06F42" w:rsidRPr="008A2010" w:rsidRDefault="00D06F42" w:rsidP="00D06F42">
      <w:pPr>
        <w:pStyle w:val="Heading3"/>
        <w:spacing w:before="0" w:after="0"/>
        <w:rPr>
          <w:rFonts w:ascii="Times New Roman" w:hAnsi="Times New Roman" w:cs="Times New Roman"/>
          <w:color w:val="000000" w:themeColor="text1"/>
          <w:sz w:val="24"/>
          <w:szCs w:val="24"/>
        </w:rPr>
      </w:pPr>
      <w:r w:rsidRPr="008A2010">
        <w:rPr>
          <w:rFonts w:ascii="Times New Roman" w:hAnsi="Times New Roman" w:cs="Times New Roman"/>
          <w:color w:val="000000" w:themeColor="text1"/>
          <w:sz w:val="24"/>
          <w:szCs w:val="24"/>
        </w:rPr>
        <w:t xml:space="preserve">Neural Network Classification Model </w:t>
      </w:r>
      <w:r w:rsidR="00774ABC" w:rsidRPr="008A2010">
        <w:rPr>
          <w:rFonts w:asciiTheme="majorBidi" w:hAnsiTheme="majorBidi"/>
          <w:color w:val="000000" w:themeColor="text1"/>
          <w:sz w:val="24"/>
          <w:szCs w:val="24"/>
        </w:rPr>
        <w:t>................................................................</w:t>
      </w:r>
      <w:r w:rsidRPr="008A2010">
        <w:rPr>
          <w:rFonts w:asciiTheme="majorBidi" w:hAnsiTheme="majorBidi"/>
          <w:color w:val="000000" w:themeColor="text1"/>
          <w:sz w:val="24"/>
          <w:szCs w:val="24"/>
        </w:rPr>
        <w:tab/>
        <w:t xml:space="preserve"> S-</w:t>
      </w:r>
      <w:r w:rsidR="00774ABC" w:rsidRPr="008A2010">
        <w:rPr>
          <w:rFonts w:asciiTheme="majorBidi" w:hAnsiTheme="majorBidi"/>
          <w:color w:val="000000" w:themeColor="text1"/>
          <w:sz w:val="24"/>
          <w:szCs w:val="24"/>
        </w:rPr>
        <w:t>5</w:t>
      </w:r>
    </w:p>
    <w:p w14:paraId="4696E6AA" w14:textId="670C92EC" w:rsidR="00D06F42" w:rsidRPr="008A2010" w:rsidRDefault="00D06F42" w:rsidP="00D06F42">
      <w:pPr>
        <w:pStyle w:val="Heading3"/>
        <w:spacing w:before="0" w:after="0"/>
        <w:rPr>
          <w:rFonts w:ascii="Times New Roman" w:hAnsi="Times New Roman" w:cs="Times New Roman"/>
          <w:color w:val="000000" w:themeColor="text1"/>
          <w:sz w:val="24"/>
          <w:szCs w:val="24"/>
        </w:rPr>
      </w:pPr>
      <w:r w:rsidRPr="008A2010">
        <w:rPr>
          <w:rFonts w:ascii="Times New Roman" w:hAnsi="Times New Roman" w:cs="Times New Roman"/>
          <w:color w:val="000000" w:themeColor="text1"/>
          <w:sz w:val="24"/>
          <w:szCs w:val="24"/>
        </w:rPr>
        <w:t xml:space="preserve">Summary of Predictive Insights </w:t>
      </w:r>
      <w:r w:rsidR="00774ABC" w:rsidRPr="008A2010">
        <w:rPr>
          <w:rFonts w:asciiTheme="majorBidi" w:hAnsiTheme="majorBidi"/>
          <w:color w:val="000000" w:themeColor="text1"/>
          <w:sz w:val="24"/>
          <w:szCs w:val="24"/>
        </w:rPr>
        <w:t>..........................................................................</w:t>
      </w:r>
      <w:r w:rsidRPr="008A2010">
        <w:rPr>
          <w:rFonts w:asciiTheme="majorBidi" w:hAnsiTheme="majorBidi"/>
          <w:color w:val="000000" w:themeColor="text1"/>
          <w:sz w:val="24"/>
          <w:szCs w:val="24"/>
        </w:rPr>
        <w:tab/>
        <w:t xml:space="preserve"> S-</w:t>
      </w:r>
      <w:r w:rsidR="00774ABC" w:rsidRPr="008A2010">
        <w:rPr>
          <w:rFonts w:asciiTheme="majorBidi" w:hAnsiTheme="majorBidi"/>
          <w:color w:val="000000" w:themeColor="text1"/>
          <w:sz w:val="24"/>
          <w:szCs w:val="24"/>
        </w:rPr>
        <w:t>6</w:t>
      </w:r>
    </w:p>
    <w:p w14:paraId="261BDCE1" w14:textId="4495DDC3" w:rsidR="00D06F42" w:rsidRPr="008A2010" w:rsidRDefault="00D06F42" w:rsidP="00D06F42">
      <w:pPr>
        <w:pStyle w:val="Heading3"/>
        <w:spacing w:before="0" w:after="0"/>
        <w:rPr>
          <w:rFonts w:ascii="Times New Roman" w:hAnsi="Times New Roman" w:cs="Times New Roman"/>
          <w:color w:val="000000" w:themeColor="text1"/>
          <w:sz w:val="24"/>
          <w:szCs w:val="24"/>
          <w:lang w:eastAsia="en-GB"/>
        </w:rPr>
      </w:pPr>
      <w:r w:rsidRPr="008A2010">
        <w:rPr>
          <w:rFonts w:ascii="Times New Roman" w:hAnsi="Times New Roman" w:cs="Times New Roman"/>
          <w:color w:val="000000" w:themeColor="text1"/>
          <w:sz w:val="24"/>
          <w:szCs w:val="24"/>
          <w:lang w:eastAsia="en-GB"/>
        </w:rPr>
        <w:t xml:space="preserve">Interpretation of results </w:t>
      </w:r>
      <w:r w:rsidR="00774ABC" w:rsidRPr="008A2010">
        <w:rPr>
          <w:rFonts w:asciiTheme="majorBidi" w:hAnsiTheme="majorBidi"/>
          <w:color w:val="000000" w:themeColor="text1"/>
          <w:sz w:val="24"/>
          <w:szCs w:val="24"/>
        </w:rPr>
        <w:t>......................................................................................</w:t>
      </w:r>
      <w:r w:rsidRPr="008A2010">
        <w:rPr>
          <w:rFonts w:asciiTheme="majorBidi" w:hAnsiTheme="majorBidi"/>
          <w:color w:val="000000" w:themeColor="text1"/>
          <w:sz w:val="24"/>
          <w:szCs w:val="24"/>
        </w:rPr>
        <w:tab/>
        <w:t xml:space="preserve"> S-</w:t>
      </w:r>
      <w:r w:rsidR="00774ABC" w:rsidRPr="008A2010">
        <w:rPr>
          <w:rFonts w:asciiTheme="majorBidi" w:hAnsiTheme="majorBidi"/>
          <w:color w:val="000000" w:themeColor="text1"/>
          <w:sz w:val="24"/>
          <w:szCs w:val="24"/>
        </w:rPr>
        <w:t>6</w:t>
      </w:r>
    </w:p>
    <w:p w14:paraId="15F56467" w14:textId="56ACC081" w:rsidR="00D06F42" w:rsidRPr="008A2010" w:rsidRDefault="00D06F42" w:rsidP="00D06F42">
      <w:pPr>
        <w:pStyle w:val="Heading3"/>
        <w:spacing w:before="0" w:after="0"/>
        <w:rPr>
          <w:rFonts w:asciiTheme="majorBidi" w:hAnsiTheme="majorBidi"/>
          <w:color w:val="000000" w:themeColor="text1"/>
          <w:sz w:val="24"/>
          <w:szCs w:val="24"/>
        </w:rPr>
      </w:pPr>
      <w:r w:rsidRPr="008A2010">
        <w:rPr>
          <w:rFonts w:ascii="Times New Roman" w:hAnsi="Times New Roman" w:cs="Times New Roman"/>
          <w:color w:val="000000" w:themeColor="text1"/>
          <w:sz w:val="24"/>
          <w:szCs w:val="24"/>
        </w:rPr>
        <w:t xml:space="preserve">Implications for Policy and </w:t>
      </w:r>
      <w:r w:rsidR="00774ABC" w:rsidRPr="008A2010">
        <w:rPr>
          <w:rFonts w:ascii="Times New Roman" w:hAnsi="Times New Roman" w:cs="Times New Roman"/>
          <w:color w:val="000000" w:themeColor="text1"/>
          <w:sz w:val="24"/>
          <w:szCs w:val="24"/>
        </w:rPr>
        <w:t>Organizations</w:t>
      </w:r>
      <w:r w:rsidRPr="008A2010">
        <w:rPr>
          <w:rFonts w:ascii="Times New Roman" w:hAnsi="Times New Roman" w:cs="Times New Roman"/>
          <w:color w:val="000000" w:themeColor="text1"/>
          <w:sz w:val="24"/>
          <w:szCs w:val="24"/>
        </w:rPr>
        <w:t xml:space="preserve"> </w:t>
      </w:r>
      <w:r w:rsidR="00774ABC" w:rsidRPr="008A2010">
        <w:rPr>
          <w:rFonts w:asciiTheme="majorBidi" w:hAnsiTheme="majorBidi"/>
          <w:color w:val="000000" w:themeColor="text1"/>
          <w:sz w:val="24"/>
          <w:szCs w:val="24"/>
        </w:rPr>
        <w:t>........................................................</w:t>
      </w:r>
      <w:r w:rsidRPr="008A2010">
        <w:rPr>
          <w:rFonts w:asciiTheme="majorBidi" w:hAnsiTheme="majorBidi"/>
          <w:color w:val="000000" w:themeColor="text1"/>
          <w:sz w:val="24"/>
          <w:szCs w:val="24"/>
        </w:rPr>
        <w:tab/>
        <w:t xml:space="preserve"> S-</w:t>
      </w:r>
      <w:r w:rsidR="00774ABC" w:rsidRPr="008A2010">
        <w:rPr>
          <w:rFonts w:asciiTheme="majorBidi" w:hAnsiTheme="majorBidi"/>
          <w:color w:val="000000" w:themeColor="text1"/>
          <w:sz w:val="24"/>
          <w:szCs w:val="24"/>
        </w:rPr>
        <w:t>7</w:t>
      </w:r>
    </w:p>
    <w:p w14:paraId="519B259E" w14:textId="5FBAE9C3" w:rsidR="00D06F42" w:rsidRPr="008A2010" w:rsidRDefault="00D06F42" w:rsidP="00D06F42">
      <w:pPr>
        <w:pStyle w:val="Heading3"/>
        <w:spacing w:before="0" w:after="0"/>
        <w:rPr>
          <w:rFonts w:asciiTheme="majorBidi" w:hAnsiTheme="majorBidi"/>
          <w:color w:val="000000" w:themeColor="text1"/>
          <w:sz w:val="24"/>
          <w:szCs w:val="24"/>
        </w:rPr>
      </w:pPr>
      <w:r w:rsidRPr="008A2010">
        <w:rPr>
          <w:rFonts w:ascii="Times New Roman" w:hAnsi="Times New Roman" w:cs="Times New Roman"/>
          <w:color w:val="auto"/>
          <w:sz w:val="24"/>
          <w:szCs w:val="24"/>
        </w:rPr>
        <w:t>Limitations</w:t>
      </w:r>
      <w:r w:rsidR="00774ABC" w:rsidRPr="008A2010">
        <w:rPr>
          <w:rFonts w:ascii="Times New Roman" w:hAnsi="Times New Roman" w:cs="Times New Roman"/>
          <w:color w:val="auto"/>
          <w:sz w:val="24"/>
          <w:szCs w:val="24"/>
        </w:rPr>
        <w:t xml:space="preserve"> </w:t>
      </w:r>
      <w:r w:rsidR="00774ABC" w:rsidRPr="008A2010">
        <w:rPr>
          <w:rFonts w:asciiTheme="majorBidi" w:hAnsiTheme="majorBidi"/>
          <w:color w:val="000000" w:themeColor="text1"/>
          <w:sz w:val="24"/>
          <w:szCs w:val="24"/>
        </w:rPr>
        <w:t>.........................................................................................................</w:t>
      </w:r>
      <w:r w:rsidRPr="008A2010">
        <w:rPr>
          <w:rFonts w:asciiTheme="majorBidi" w:hAnsiTheme="majorBidi"/>
          <w:color w:val="000000" w:themeColor="text1"/>
          <w:sz w:val="24"/>
          <w:szCs w:val="24"/>
        </w:rPr>
        <w:tab/>
        <w:t xml:space="preserve"> S-</w:t>
      </w:r>
      <w:r w:rsidR="00774ABC" w:rsidRPr="008A2010">
        <w:rPr>
          <w:rFonts w:asciiTheme="majorBidi" w:hAnsiTheme="majorBidi"/>
          <w:color w:val="000000" w:themeColor="text1"/>
          <w:sz w:val="24"/>
          <w:szCs w:val="24"/>
        </w:rPr>
        <w:t>9</w:t>
      </w:r>
    </w:p>
    <w:p w14:paraId="47B3D635" w14:textId="588407F1" w:rsidR="00D06F42" w:rsidRPr="008A2010" w:rsidRDefault="00D06F42" w:rsidP="00D06F42">
      <w:pPr>
        <w:pStyle w:val="Heading3"/>
        <w:spacing w:before="0" w:after="0"/>
        <w:rPr>
          <w:rFonts w:asciiTheme="majorBidi" w:hAnsiTheme="majorBidi"/>
          <w:color w:val="000000" w:themeColor="text1"/>
          <w:sz w:val="24"/>
          <w:szCs w:val="24"/>
        </w:rPr>
      </w:pPr>
      <w:r w:rsidRPr="008A2010">
        <w:rPr>
          <w:rFonts w:ascii="Times New Roman" w:hAnsi="Times New Roman" w:cs="Times New Roman"/>
          <w:color w:val="auto"/>
          <w:sz w:val="24"/>
          <w:szCs w:val="24"/>
        </w:rPr>
        <w:t xml:space="preserve">Future Research Directions </w:t>
      </w:r>
      <w:r w:rsidR="00774ABC" w:rsidRPr="008A2010">
        <w:rPr>
          <w:rFonts w:asciiTheme="majorBidi" w:hAnsiTheme="majorBidi"/>
          <w:color w:val="000000" w:themeColor="text1"/>
          <w:sz w:val="24"/>
          <w:szCs w:val="24"/>
        </w:rPr>
        <w:t>...............................................................................</w:t>
      </w:r>
      <w:r w:rsidR="008A2010">
        <w:rPr>
          <w:rFonts w:asciiTheme="majorBidi" w:hAnsiTheme="majorBidi"/>
          <w:color w:val="000000" w:themeColor="text1"/>
          <w:sz w:val="24"/>
          <w:szCs w:val="24"/>
        </w:rPr>
        <w:t>.</w:t>
      </w:r>
      <w:r w:rsidRPr="008A2010">
        <w:rPr>
          <w:rFonts w:asciiTheme="majorBidi" w:hAnsiTheme="majorBidi"/>
          <w:color w:val="000000" w:themeColor="text1"/>
          <w:sz w:val="24"/>
          <w:szCs w:val="24"/>
        </w:rPr>
        <w:tab/>
        <w:t xml:space="preserve"> S-</w:t>
      </w:r>
      <w:r w:rsidR="00774ABC" w:rsidRPr="008A2010">
        <w:rPr>
          <w:rFonts w:asciiTheme="majorBidi" w:hAnsiTheme="majorBidi"/>
          <w:color w:val="000000" w:themeColor="text1"/>
          <w:sz w:val="24"/>
          <w:szCs w:val="24"/>
        </w:rPr>
        <w:t>9</w:t>
      </w:r>
    </w:p>
    <w:p w14:paraId="080F569C" w14:textId="0A4F6575" w:rsidR="00222466" w:rsidRPr="008A2010" w:rsidRDefault="00222466" w:rsidP="00222466">
      <w:pPr>
        <w:widowControl w:val="0"/>
        <w:rPr>
          <w:rFonts w:asciiTheme="majorBidi" w:hAnsiTheme="majorBidi" w:cstheme="majorBidi"/>
          <w:color w:val="000000" w:themeColor="text1"/>
        </w:rPr>
      </w:pPr>
      <w:r w:rsidRPr="008A2010">
        <w:rPr>
          <w:rFonts w:asciiTheme="majorBidi" w:hAnsiTheme="majorBidi" w:cstheme="majorBidi"/>
          <w:color w:val="000000" w:themeColor="text1"/>
        </w:rPr>
        <w:t>Figure S</w:t>
      </w:r>
      <w:r w:rsidR="00213268" w:rsidRPr="008A2010">
        <w:rPr>
          <w:rFonts w:asciiTheme="majorBidi" w:hAnsiTheme="majorBidi" w:cstheme="majorBidi"/>
          <w:color w:val="000000" w:themeColor="text1"/>
        </w:rPr>
        <w:t xml:space="preserve">1: </w:t>
      </w:r>
      <w:r w:rsidR="00774ABC" w:rsidRPr="008A2010">
        <w:rPr>
          <w:rFonts w:asciiTheme="majorBidi" w:hAnsiTheme="majorBidi"/>
          <w:color w:val="000000" w:themeColor="text1"/>
          <w:lang w:val="en-US"/>
        </w:rPr>
        <w:t xml:space="preserve">Gender Pay Gap Risk Assessment Heat Map Analysis </w:t>
      </w:r>
      <w:r w:rsidR="00774ABC" w:rsidRPr="008A2010">
        <w:rPr>
          <w:rFonts w:asciiTheme="majorBidi" w:hAnsiTheme="majorBidi" w:cstheme="majorBidi"/>
          <w:color w:val="000000" w:themeColor="text1"/>
        </w:rPr>
        <w:t>....................</w:t>
      </w:r>
      <w:r w:rsidRPr="008A2010">
        <w:rPr>
          <w:rFonts w:asciiTheme="majorBidi" w:hAnsiTheme="majorBidi" w:cstheme="majorBidi"/>
          <w:color w:val="000000" w:themeColor="text1"/>
        </w:rPr>
        <w:tab/>
        <w:t xml:space="preserve"> S-</w:t>
      </w:r>
      <w:r w:rsidR="00774ABC" w:rsidRPr="008A2010">
        <w:rPr>
          <w:rFonts w:asciiTheme="majorBidi" w:hAnsiTheme="majorBidi" w:cstheme="majorBidi"/>
          <w:color w:val="000000" w:themeColor="text1"/>
        </w:rPr>
        <w:t>10</w:t>
      </w:r>
    </w:p>
    <w:p w14:paraId="45CC2437" w14:textId="4E7E25FC" w:rsidR="00774ABC" w:rsidRPr="008A2010" w:rsidRDefault="00774ABC" w:rsidP="00222466">
      <w:pPr>
        <w:widowControl w:val="0"/>
        <w:rPr>
          <w:rFonts w:asciiTheme="majorBidi" w:hAnsiTheme="majorBidi"/>
          <w:color w:val="000000" w:themeColor="text1"/>
          <w:lang w:val="en-US"/>
        </w:rPr>
      </w:pPr>
      <w:r w:rsidRPr="008A2010">
        <w:rPr>
          <w:rFonts w:asciiTheme="majorBidi" w:hAnsiTheme="majorBidi" w:cstheme="majorBidi"/>
          <w:color w:val="000000" w:themeColor="text1"/>
        </w:rPr>
        <w:t xml:space="preserve">Figure S2: </w:t>
      </w:r>
      <w:r w:rsidRPr="008A2010">
        <w:rPr>
          <w:rFonts w:asciiTheme="majorBidi" w:hAnsiTheme="majorBidi"/>
          <w:color w:val="000000" w:themeColor="text1"/>
          <w:lang w:val="en-US"/>
        </w:rPr>
        <w:t>Confusion Matrix</w:t>
      </w:r>
      <w:r w:rsidR="008A2010">
        <w:rPr>
          <w:rFonts w:asciiTheme="majorBidi" w:hAnsiTheme="majorBidi"/>
          <w:color w:val="000000" w:themeColor="text1"/>
          <w:lang w:val="en-US"/>
        </w:rPr>
        <w:t>: L</w:t>
      </w:r>
      <w:r w:rsidRPr="008A2010">
        <w:rPr>
          <w:rFonts w:asciiTheme="majorBidi" w:hAnsiTheme="majorBidi"/>
          <w:color w:val="000000" w:themeColor="text1"/>
          <w:lang w:val="en-US"/>
        </w:rPr>
        <w:t xml:space="preserve">ogistic regression </w:t>
      </w:r>
      <w:r w:rsidR="008A2010">
        <w:rPr>
          <w:rFonts w:asciiTheme="majorBidi" w:hAnsiTheme="majorBidi"/>
          <w:color w:val="000000" w:themeColor="text1"/>
          <w:lang w:val="en-US"/>
        </w:rPr>
        <w:t>&amp;</w:t>
      </w:r>
      <w:r w:rsidRPr="008A2010">
        <w:rPr>
          <w:rFonts w:asciiTheme="majorBidi" w:hAnsiTheme="majorBidi"/>
          <w:color w:val="000000" w:themeColor="text1"/>
          <w:lang w:val="en-US"/>
        </w:rPr>
        <w:t xml:space="preserve"> decision tree classifiers</w:t>
      </w:r>
      <w:r w:rsidR="008A2010">
        <w:rPr>
          <w:rFonts w:asciiTheme="majorBidi" w:hAnsiTheme="majorBidi"/>
          <w:color w:val="000000" w:themeColor="text1"/>
          <w:lang w:val="en-US"/>
        </w:rPr>
        <w:t xml:space="preserve"> </w:t>
      </w:r>
      <w:r w:rsidR="008A2010" w:rsidRPr="008A2010">
        <w:rPr>
          <w:rFonts w:asciiTheme="majorBidi" w:hAnsiTheme="majorBidi" w:cstheme="majorBidi"/>
          <w:color w:val="000000" w:themeColor="text1"/>
        </w:rPr>
        <w:t>...</w:t>
      </w:r>
      <w:r w:rsidRPr="008A2010">
        <w:rPr>
          <w:rFonts w:asciiTheme="majorBidi" w:hAnsiTheme="majorBidi" w:cstheme="majorBidi"/>
          <w:color w:val="000000" w:themeColor="text1"/>
        </w:rPr>
        <w:tab/>
        <w:t xml:space="preserve"> S-11</w:t>
      </w:r>
    </w:p>
    <w:p w14:paraId="727E7D70" w14:textId="5FF0493D" w:rsidR="00774ABC" w:rsidRPr="008A2010" w:rsidRDefault="00774ABC" w:rsidP="00774ABC">
      <w:pPr>
        <w:rPr>
          <w:lang w:val="en-US" w:eastAsia="zh-CN"/>
        </w:rPr>
      </w:pPr>
      <w:r w:rsidRPr="008A2010">
        <w:rPr>
          <w:lang w:val="en-US" w:eastAsia="zh-CN"/>
        </w:rPr>
        <w:t xml:space="preserve">References </w:t>
      </w:r>
      <w:r w:rsidRPr="008A2010">
        <w:rPr>
          <w:rFonts w:asciiTheme="majorBidi" w:hAnsiTheme="majorBidi" w:cstheme="majorBidi"/>
          <w:color w:val="000000" w:themeColor="text1"/>
        </w:rPr>
        <w:t>............................................................................................................</w:t>
      </w:r>
      <w:r w:rsidRPr="008A2010">
        <w:rPr>
          <w:rFonts w:asciiTheme="majorBidi" w:hAnsiTheme="majorBidi" w:cstheme="majorBidi"/>
          <w:color w:val="000000" w:themeColor="text1"/>
        </w:rPr>
        <w:tab/>
        <w:t xml:space="preserve"> S-12</w:t>
      </w:r>
    </w:p>
    <w:p w14:paraId="5CE63F18" w14:textId="77777777" w:rsidR="00222466" w:rsidRPr="00D06F42" w:rsidRDefault="00222466" w:rsidP="00583586">
      <w:pPr>
        <w:widowControl w:val="0"/>
        <w:rPr>
          <w:rFonts w:asciiTheme="majorBidi" w:hAnsiTheme="majorBidi" w:cstheme="majorBidi"/>
          <w:color w:val="000000" w:themeColor="text1"/>
        </w:rPr>
      </w:pPr>
    </w:p>
    <w:p w14:paraId="524C13D8" w14:textId="77777777" w:rsidR="00CC0861" w:rsidRPr="00D06F42" w:rsidRDefault="00CC0861" w:rsidP="006C2B34">
      <w:pPr>
        <w:widowControl w:val="0"/>
        <w:ind w:firstLine="567"/>
        <w:rPr>
          <w:rFonts w:asciiTheme="majorBidi" w:hAnsiTheme="majorBidi" w:cstheme="majorBidi"/>
          <w:color w:val="000000" w:themeColor="text1"/>
        </w:rPr>
      </w:pPr>
    </w:p>
    <w:p w14:paraId="4542600F" w14:textId="6381DD6F" w:rsidR="006C2B34" w:rsidRDefault="006C2B34" w:rsidP="006C2B34">
      <w:pPr>
        <w:tabs>
          <w:tab w:val="left" w:pos="540"/>
        </w:tabs>
        <w:rPr>
          <w:rFonts w:asciiTheme="majorBidi" w:hAnsiTheme="majorBidi" w:cstheme="majorBidi"/>
          <w:color w:val="000000" w:themeColor="text1"/>
          <w:spacing w:val="-2"/>
        </w:rPr>
      </w:pPr>
    </w:p>
    <w:p w14:paraId="75CBC9CB" w14:textId="77777777" w:rsidR="00774ABC" w:rsidRDefault="00774ABC" w:rsidP="006C2B34">
      <w:pPr>
        <w:tabs>
          <w:tab w:val="left" w:pos="540"/>
        </w:tabs>
        <w:rPr>
          <w:rFonts w:asciiTheme="majorBidi" w:hAnsiTheme="majorBidi" w:cstheme="majorBidi"/>
          <w:color w:val="000000" w:themeColor="text1"/>
          <w:spacing w:val="-2"/>
        </w:rPr>
      </w:pPr>
    </w:p>
    <w:p w14:paraId="51A6BE63" w14:textId="77777777" w:rsidR="00774ABC" w:rsidRDefault="00774ABC" w:rsidP="006C2B34">
      <w:pPr>
        <w:tabs>
          <w:tab w:val="left" w:pos="540"/>
        </w:tabs>
        <w:rPr>
          <w:rFonts w:asciiTheme="majorBidi" w:hAnsiTheme="majorBidi" w:cstheme="majorBidi"/>
          <w:color w:val="000000" w:themeColor="text1"/>
          <w:spacing w:val="-2"/>
        </w:rPr>
      </w:pPr>
    </w:p>
    <w:p w14:paraId="0AD53573" w14:textId="77777777" w:rsidR="00774ABC" w:rsidRDefault="00774ABC" w:rsidP="006C2B34">
      <w:pPr>
        <w:tabs>
          <w:tab w:val="left" w:pos="540"/>
        </w:tabs>
        <w:rPr>
          <w:rFonts w:asciiTheme="majorBidi" w:hAnsiTheme="majorBidi" w:cstheme="majorBidi"/>
          <w:color w:val="000000" w:themeColor="text1"/>
          <w:spacing w:val="-2"/>
        </w:rPr>
      </w:pPr>
    </w:p>
    <w:p w14:paraId="591DB49F" w14:textId="77777777" w:rsidR="00774ABC" w:rsidRDefault="00774ABC" w:rsidP="006C2B34">
      <w:pPr>
        <w:tabs>
          <w:tab w:val="left" w:pos="540"/>
        </w:tabs>
        <w:rPr>
          <w:rFonts w:asciiTheme="majorBidi" w:hAnsiTheme="majorBidi" w:cstheme="majorBidi"/>
          <w:color w:val="000000" w:themeColor="text1"/>
          <w:spacing w:val="-2"/>
        </w:rPr>
      </w:pPr>
    </w:p>
    <w:p w14:paraId="1F74436A" w14:textId="77777777" w:rsidR="00774ABC" w:rsidRDefault="00774ABC" w:rsidP="006C2B34">
      <w:pPr>
        <w:tabs>
          <w:tab w:val="left" w:pos="540"/>
        </w:tabs>
        <w:rPr>
          <w:rFonts w:asciiTheme="majorBidi" w:hAnsiTheme="majorBidi" w:cstheme="majorBidi"/>
          <w:color w:val="000000" w:themeColor="text1"/>
          <w:spacing w:val="-2"/>
        </w:rPr>
      </w:pPr>
    </w:p>
    <w:p w14:paraId="3BED3D9E" w14:textId="77777777" w:rsidR="00774ABC" w:rsidRDefault="00774ABC" w:rsidP="006C2B34">
      <w:pPr>
        <w:tabs>
          <w:tab w:val="left" w:pos="540"/>
        </w:tabs>
        <w:rPr>
          <w:rFonts w:asciiTheme="majorBidi" w:hAnsiTheme="majorBidi" w:cstheme="majorBidi"/>
          <w:color w:val="000000" w:themeColor="text1"/>
          <w:spacing w:val="-2"/>
        </w:rPr>
      </w:pPr>
    </w:p>
    <w:p w14:paraId="1A6DBD6E" w14:textId="77777777" w:rsidR="00774ABC" w:rsidRDefault="00774ABC" w:rsidP="006C2B34">
      <w:pPr>
        <w:tabs>
          <w:tab w:val="left" w:pos="540"/>
        </w:tabs>
        <w:rPr>
          <w:rFonts w:asciiTheme="majorBidi" w:hAnsiTheme="majorBidi" w:cstheme="majorBidi"/>
          <w:color w:val="000000" w:themeColor="text1"/>
          <w:spacing w:val="-2"/>
        </w:rPr>
      </w:pPr>
    </w:p>
    <w:p w14:paraId="116CB1F9" w14:textId="77777777" w:rsidR="00774ABC" w:rsidRDefault="00774ABC" w:rsidP="006C2B34">
      <w:pPr>
        <w:tabs>
          <w:tab w:val="left" w:pos="540"/>
        </w:tabs>
        <w:rPr>
          <w:rFonts w:asciiTheme="majorBidi" w:hAnsiTheme="majorBidi" w:cstheme="majorBidi"/>
          <w:color w:val="000000" w:themeColor="text1"/>
          <w:spacing w:val="-2"/>
        </w:rPr>
      </w:pPr>
    </w:p>
    <w:p w14:paraId="68A8C644" w14:textId="77777777" w:rsidR="00774ABC" w:rsidRDefault="00774ABC" w:rsidP="006C2B34">
      <w:pPr>
        <w:tabs>
          <w:tab w:val="left" w:pos="540"/>
        </w:tabs>
        <w:rPr>
          <w:rFonts w:asciiTheme="majorBidi" w:hAnsiTheme="majorBidi" w:cstheme="majorBidi"/>
          <w:color w:val="000000" w:themeColor="text1"/>
          <w:spacing w:val="-2"/>
        </w:rPr>
      </w:pPr>
    </w:p>
    <w:p w14:paraId="601DAD9D" w14:textId="77777777" w:rsidR="00774ABC" w:rsidRDefault="00774ABC" w:rsidP="006C2B34">
      <w:pPr>
        <w:tabs>
          <w:tab w:val="left" w:pos="540"/>
        </w:tabs>
        <w:rPr>
          <w:rFonts w:asciiTheme="majorBidi" w:hAnsiTheme="majorBidi" w:cstheme="majorBidi"/>
          <w:color w:val="000000" w:themeColor="text1"/>
          <w:spacing w:val="-2"/>
        </w:rPr>
      </w:pPr>
    </w:p>
    <w:p w14:paraId="5209C845" w14:textId="77777777" w:rsidR="00774ABC" w:rsidRDefault="00774ABC" w:rsidP="006C2B34">
      <w:pPr>
        <w:tabs>
          <w:tab w:val="left" w:pos="540"/>
        </w:tabs>
        <w:rPr>
          <w:rFonts w:asciiTheme="majorBidi" w:hAnsiTheme="majorBidi" w:cstheme="majorBidi"/>
          <w:color w:val="000000" w:themeColor="text1"/>
          <w:spacing w:val="-2"/>
        </w:rPr>
      </w:pPr>
    </w:p>
    <w:p w14:paraId="3D6595B7" w14:textId="77777777" w:rsidR="00774ABC" w:rsidRDefault="00774ABC" w:rsidP="006C2B34">
      <w:pPr>
        <w:tabs>
          <w:tab w:val="left" w:pos="540"/>
        </w:tabs>
        <w:rPr>
          <w:rFonts w:asciiTheme="majorBidi" w:hAnsiTheme="majorBidi" w:cstheme="majorBidi"/>
          <w:color w:val="000000" w:themeColor="text1"/>
          <w:spacing w:val="-2"/>
        </w:rPr>
      </w:pPr>
    </w:p>
    <w:p w14:paraId="4E9FEBF7" w14:textId="77777777" w:rsidR="00774ABC" w:rsidRPr="00D06F42" w:rsidRDefault="00774ABC" w:rsidP="006C2B34">
      <w:pPr>
        <w:tabs>
          <w:tab w:val="left" w:pos="540"/>
        </w:tabs>
        <w:rPr>
          <w:rFonts w:asciiTheme="majorBidi" w:hAnsiTheme="majorBidi" w:cstheme="majorBidi"/>
          <w:color w:val="000000" w:themeColor="text1"/>
          <w:spacing w:val="-2"/>
        </w:rPr>
      </w:pPr>
    </w:p>
    <w:p w14:paraId="30A546E9" w14:textId="77777777" w:rsidR="00E85A21" w:rsidRPr="00D06F42" w:rsidRDefault="00E85A21" w:rsidP="006C2B34">
      <w:pPr>
        <w:tabs>
          <w:tab w:val="left" w:pos="540"/>
        </w:tabs>
        <w:rPr>
          <w:rFonts w:asciiTheme="majorBidi" w:hAnsiTheme="majorBidi" w:cstheme="majorBidi"/>
          <w:color w:val="000000" w:themeColor="text1"/>
          <w:spacing w:val="-2"/>
        </w:rPr>
      </w:pPr>
    </w:p>
    <w:p w14:paraId="26A076EA" w14:textId="77777777" w:rsidR="00453D88" w:rsidRPr="00D06F42" w:rsidRDefault="00453D88" w:rsidP="001D686A">
      <w:pPr>
        <w:rPr>
          <w:rFonts w:asciiTheme="majorBidi" w:hAnsiTheme="majorBidi" w:cstheme="majorBidi"/>
          <w:b/>
          <w:bCs/>
          <w:color w:val="000000" w:themeColor="text1"/>
        </w:rPr>
      </w:pPr>
    </w:p>
    <w:p w14:paraId="6A66C14A" w14:textId="77777777" w:rsidR="00453D88" w:rsidRPr="00D06F42" w:rsidRDefault="00453D88" w:rsidP="001D686A">
      <w:pPr>
        <w:rPr>
          <w:rFonts w:asciiTheme="majorBidi" w:hAnsiTheme="majorBidi" w:cstheme="majorBidi"/>
          <w:b/>
          <w:bCs/>
          <w:color w:val="000000" w:themeColor="text1"/>
        </w:rPr>
      </w:pPr>
    </w:p>
    <w:p w14:paraId="7C1AB056" w14:textId="60C30355" w:rsidR="008B25DB" w:rsidRPr="00774ABC" w:rsidRDefault="008B25DB" w:rsidP="008B25DB">
      <w:pPr>
        <w:pStyle w:val="Heading3"/>
        <w:spacing w:before="0" w:after="0"/>
        <w:rPr>
          <w:rFonts w:ascii="Times New Roman" w:hAnsi="Times New Roman" w:cs="Times New Roman"/>
          <w:b/>
          <w:bCs/>
          <w:i/>
          <w:iCs/>
          <w:color w:val="auto"/>
          <w:sz w:val="24"/>
          <w:szCs w:val="24"/>
        </w:rPr>
      </w:pPr>
      <w:bookmarkStart w:id="0" w:name="_Toc196921653"/>
      <w:r w:rsidRPr="00774ABC">
        <w:rPr>
          <w:rFonts w:ascii="Times New Roman" w:hAnsi="Times New Roman" w:cs="Times New Roman"/>
          <w:b/>
          <w:bCs/>
          <w:i/>
          <w:iCs/>
          <w:color w:val="auto"/>
          <w:sz w:val="24"/>
          <w:szCs w:val="24"/>
        </w:rPr>
        <w:lastRenderedPageBreak/>
        <w:t>Variations in Measurement Approaches</w:t>
      </w:r>
      <w:bookmarkEnd w:id="0"/>
      <w:r w:rsidRPr="00774ABC">
        <w:rPr>
          <w:rFonts w:ascii="Times New Roman" w:hAnsi="Times New Roman" w:cs="Times New Roman"/>
          <w:b/>
          <w:bCs/>
          <w:i/>
          <w:iCs/>
          <w:color w:val="auto"/>
          <w:sz w:val="24"/>
          <w:szCs w:val="24"/>
        </w:rPr>
        <w:t> </w:t>
      </w:r>
    </w:p>
    <w:p w14:paraId="26EBC1B0" w14:textId="77777777" w:rsidR="008B25DB" w:rsidRPr="00D06F42" w:rsidRDefault="008B25DB" w:rsidP="008B25DB">
      <w:r w:rsidRPr="00D06F42">
        <w:rPr>
          <w:rStyle w:val="normaltextrun"/>
          <w:rFonts w:eastAsiaTheme="majorEastAsia"/>
          <w:color w:val="000000"/>
        </w:rPr>
        <w:t>The literature reveals significant methodological differences in calculating gender pay gaps. Wooden (2017) demonstrates how controlling for different variables produces dramatically different gap estimates, from unadjusted averages (20.1%) to fully adjusted models (5.2%). The appropriate methodology remains contested, with some researchers arguing that over-adjustment conceals structural discrimination.</w:t>
      </w:r>
      <w:r w:rsidRPr="00D06F42">
        <w:rPr>
          <w:rStyle w:val="eop"/>
          <w:rFonts w:eastAsiaTheme="majorEastAsia"/>
          <w:color w:val="000000"/>
        </w:rPr>
        <w:t> </w:t>
      </w:r>
    </w:p>
    <w:p w14:paraId="3D724CBD" w14:textId="77777777" w:rsidR="008B25DB" w:rsidRPr="00D06F42" w:rsidRDefault="008B25DB" w:rsidP="008B25DB">
      <w:pPr>
        <w:ind w:firstLine="340"/>
        <w:rPr>
          <w:rFonts w:eastAsiaTheme="majorEastAsia"/>
          <w:color w:val="000000"/>
        </w:rPr>
      </w:pPr>
      <w:r w:rsidRPr="00D06F42">
        <w:rPr>
          <w:rStyle w:val="normaltextrun"/>
          <w:rFonts w:eastAsiaTheme="majorEastAsia"/>
          <w:color w:val="000000"/>
        </w:rPr>
        <w:t>WGEA utilises multiple measurement methodologies, including base salary gaps and total remuneration gaps, with the latter consistently wider due to greater gender disparities in discretionary pay components. This methodological distinction is crucial for identifying structural intervention points.</w:t>
      </w:r>
      <w:r w:rsidRPr="00D06F42">
        <w:rPr>
          <w:rStyle w:val="eop"/>
          <w:rFonts w:eastAsiaTheme="majorEastAsia"/>
          <w:color w:val="000000"/>
        </w:rPr>
        <w:t> </w:t>
      </w:r>
    </w:p>
    <w:p w14:paraId="64F6B34B" w14:textId="77777777" w:rsidR="008B25DB" w:rsidRPr="00D06F42" w:rsidRDefault="008B25DB" w:rsidP="008B25DB">
      <w:pPr>
        <w:pStyle w:val="Heading3"/>
        <w:spacing w:before="0" w:after="0"/>
        <w:rPr>
          <w:rFonts w:ascii="Times New Roman" w:hAnsi="Times New Roman" w:cs="Times New Roman"/>
          <w:b/>
          <w:bCs/>
          <w:color w:val="auto"/>
          <w:sz w:val="24"/>
          <w:szCs w:val="24"/>
        </w:rPr>
      </w:pPr>
      <w:bookmarkStart w:id="1" w:name="_Toc196921654"/>
    </w:p>
    <w:p w14:paraId="67492CC5" w14:textId="2F5F7397" w:rsidR="008B25DB" w:rsidRPr="00774ABC" w:rsidRDefault="008B25DB" w:rsidP="008B25DB">
      <w:pPr>
        <w:pStyle w:val="Heading3"/>
        <w:spacing w:before="0" w:after="0"/>
        <w:rPr>
          <w:rFonts w:ascii="Times New Roman" w:hAnsi="Times New Roman" w:cs="Times New Roman"/>
          <w:b/>
          <w:bCs/>
          <w:i/>
          <w:iCs/>
          <w:color w:val="auto"/>
          <w:sz w:val="24"/>
          <w:szCs w:val="24"/>
        </w:rPr>
      </w:pPr>
      <w:r w:rsidRPr="00774ABC">
        <w:rPr>
          <w:rFonts w:ascii="Times New Roman" w:hAnsi="Times New Roman" w:cs="Times New Roman"/>
          <w:b/>
          <w:bCs/>
          <w:i/>
          <w:iCs/>
          <w:color w:val="auto"/>
          <w:sz w:val="24"/>
          <w:szCs w:val="24"/>
        </w:rPr>
        <w:t>Sample Representation Challenges</w:t>
      </w:r>
      <w:bookmarkEnd w:id="1"/>
      <w:r w:rsidRPr="00774ABC">
        <w:rPr>
          <w:rFonts w:ascii="Times New Roman" w:hAnsi="Times New Roman" w:cs="Times New Roman"/>
          <w:b/>
          <w:bCs/>
          <w:i/>
          <w:iCs/>
          <w:color w:val="auto"/>
          <w:sz w:val="24"/>
          <w:szCs w:val="24"/>
        </w:rPr>
        <w:t> </w:t>
      </w:r>
    </w:p>
    <w:p w14:paraId="7D476A50" w14:textId="77777777" w:rsidR="008B25DB" w:rsidRPr="00D06F42" w:rsidRDefault="008B25DB" w:rsidP="008B25DB">
      <w:r w:rsidRPr="00D06F42">
        <w:rPr>
          <w:rStyle w:val="normaltextrun"/>
          <w:rFonts w:eastAsiaTheme="majorEastAsia"/>
          <w:color w:val="000000"/>
        </w:rPr>
        <w:t>Most gender pay gap research, including WGEA data, excludes small businesses (under 100 employees) and public sector organizations, creating potential representation biases. The productivity Commission (2021) notes that approximately 48% of women work in organizations too small for WGEA reporting requirements.</w:t>
      </w:r>
      <w:r w:rsidRPr="00D06F42">
        <w:rPr>
          <w:rStyle w:val="eop"/>
          <w:rFonts w:eastAsiaTheme="majorEastAsia"/>
          <w:color w:val="000000"/>
        </w:rPr>
        <w:t> </w:t>
      </w:r>
    </w:p>
    <w:p w14:paraId="37C67CB8" w14:textId="77777777" w:rsidR="008B25DB" w:rsidRPr="00D06F42" w:rsidRDefault="008B25DB" w:rsidP="008B25DB">
      <w:pPr>
        <w:ind w:firstLine="340"/>
        <w:rPr>
          <w:rFonts w:eastAsiaTheme="majorEastAsia"/>
          <w:color w:val="000000"/>
        </w:rPr>
      </w:pPr>
      <w:r w:rsidRPr="00D06F42">
        <w:rPr>
          <w:rStyle w:val="normaltextrun"/>
          <w:rFonts w:eastAsiaTheme="majorEastAsia"/>
          <w:color w:val="000000"/>
        </w:rPr>
        <w:t>Intersectional data limitations emerge as a significant constraint. Lyons and Kuron (2020) highlight how aggregated data obscures the experiences of women from diverse backgrounds, with limited Australian research examining how structural factors differently impact women across age, ethnicity, disability, and socioeconomic status intersections.</w:t>
      </w:r>
      <w:r w:rsidRPr="00D06F42">
        <w:rPr>
          <w:rStyle w:val="eop"/>
          <w:rFonts w:eastAsiaTheme="majorEastAsia"/>
          <w:color w:val="000000"/>
        </w:rPr>
        <w:t> </w:t>
      </w:r>
    </w:p>
    <w:p w14:paraId="54AB69D9" w14:textId="77777777" w:rsidR="008B25DB" w:rsidRPr="00D06F42" w:rsidRDefault="008B25DB" w:rsidP="008B25DB">
      <w:pPr>
        <w:pStyle w:val="Heading3"/>
        <w:spacing w:before="0" w:after="0"/>
        <w:rPr>
          <w:rFonts w:ascii="Times New Roman" w:hAnsi="Times New Roman" w:cs="Times New Roman"/>
          <w:b/>
          <w:bCs/>
          <w:color w:val="auto"/>
          <w:sz w:val="22"/>
          <w:szCs w:val="22"/>
        </w:rPr>
      </w:pPr>
      <w:bookmarkStart w:id="2" w:name="_Toc196921655"/>
    </w:p>
    <w:p w14:paraId="4F087CDA" w14:textId="27ED5450" w:rsidR="008B25DB" w:rsidRPr="00774ABC" w:rsidRDefault="008B25DB" w:rsidP="008B25DB">
      <w:pPr>
        <w:pStyle w:val="Heading3"/>
        <w:spacing w:before="0" w:after="0"/>
        <w:rPr>
          <w:rFonts w:ascii="Times New Roman" w:hAnsi="Times New Roman" w:cs="Times New Roman"/>
          <w:b/>
          <w:bCs/>
          <w:i/>
          <w:iCs/>
          <w:color w:val="auto"/>
          <w:sz w:val="24"/>
          <w:szCs w:val="24"/>
        </w:rPr>
      </w:pPr>
      <w:r w:rsidRPr="00774ABC">
        <w:rPr>
          <w:rFonts w:ascii="Times New Roman" w:hAnsi="Times New Roman" w:cs="Times New Roman"/>
          <w:b/>
          <w:bCs/>
          <w:i/>
          <w:iCs/>
          <w:color w:val="auto"/>
          <w:sz w:val="24"/>
          <w:szCs w:val="24"/>
        </w:rPr>
        <w:t>Temporal Trends and Limitations</w:t>
      </w:r>
      <w:bookmarkEnd w:id="2"/>
      <w:r w:rsidRPr="00774ABC">
        <w:rPr>
          <w:rFonts w:ascii="Times New Roman" w:hAnsi="Times New Roman" w:cs="Times New Roman"/>
          <w:b/>
          <w:bCs/>
          <w:i/>
          <w:iCs/>
          <w:color w:val="auto"/>
          <w:sz w:val="24"/>
          <w:szCs w:val="24"/>
        </w:rPr>
        <w:t> </w:t>
      </w:r>
    </w:p>
    <w:p w14:paraId="13AA9AEE" w14:textId="77777777" w:rsidR="008B25DB" w:rsidRPr="00D06F42" w:rsidRDefault="008B25DB" w:rsidP="008B25DB">
      <w:pPr>
        <w:pStyle w:val="paragraph"/>
        <w:spacing w:before="0" w:beforeAutospacing="0" w:after="0" w:afterAutospacing="0"/>
        <w:jc w:val="both"/>
        <w:textAlignment w:val="baseline"/>
      </w:pPr>
      <w:r w:rsidRPr="00D06F42">
        <w:rPr>
          <w:rStyle w:val="normaltextrun"/>
          <w:rFonts w:eastAsiaTheme="majorEastAsia"/>
          <w:color w:val="000000"/>
        </w:rPr>
        <w:t>Longitudinal analysis reveals inconsistent progress in reducing Australia's gender pay gap (Smith &amp; Whitehouse, 2020). WGEA data shows the national gap decreased from 24.7% in 2013 to 22.8% in 2023, representing modest improvement over a decade despite significant policy attention. However, industry-specific trends show wide variation, with some sectors (education and training) improving substantially while others (financial services) showing minimal change.</w:t>
      </w:r>
      <w:r w:rsidRPr="00D06F42">
        <w:rPr>
          <w:rStyle w:val="eop"/>
          <w:rFonts w:eastAsiaTheme="majorEastAsia"/>
          <w:color w:val="000000"/>
        </w:rPr>
        <w:t> </w:t>
      </w:r>
    </w:p>
    <w:p w14:paraId="130646E0" w14:textId="77777777" w:rsidR="008B25DB" w:rsidRPr="00D06F42" w:rsidRDefault="008B25DB" w:rsidP="008B25DB">
      <w:pPr>
        <w:pStyle w:val="paragraph"/>
        <w:spacing w:before="0" w:beforeAutospacing="0" w:after="0" w:afterAutospacing="0"/>
        <w:ind w:firstLine="340"/>
        <w:jc w:val="both"/>
        <w:textAlignment w:val="baseline"/>
      </w:pPr>
      <w:r w:rsidRPr="00D06F42">
        <w:rPr>
          <w:rStyle w:val="normaltextrun"/>
          <w:rFonts w:eastAsiaTheme="majorEastAsia"/>
          <w:color w:val="000000"/>
        </w:rPr>
        <w:t>COVID-19 disruptions created significant methodological challenges for trend analysis. Cooper and Baird (2022) document how reduced workforce participation, particularly among women, may temporarily distort gap measurements through composition effects rather than genuine structural improvements.</w:t>
      </w:r>
      <w:r w:rsidRPr="00D06F42">
        <w:rPr>
          <w:rStyle w:val="eop"/>
          <w:rFonts w:eastAsiaTheme="majorEastAsia"/>
          <w:color w:val="000000"/>
        </w:rPr>
        <w:t> </w:t>
      </w:r>
    </w:p>
    <w:p w14:paraId="72D9AB81" w14:textId="77777777" w:rsidR="008B25DB" w:rsidRPr="00D06F42" w:rsidRDefault="008B25DB" w:rsidP="008B25DB">
      <w:pPr>
        <w:pStyle w:val="Heading3"/>
        <w:spacing w:before="0" w:after="0"/>
        <w:rPr>
          <w:rFonts w:ascii="Times New Roman" w:hAnsi="Times New Roman" w:cs="Times New Roman"/>
          <w:b/>
          <w:bCs/>
          <w:color w:val="auto"/>
          <w:sz w:val="24"/>
          <w:szCs w:val="24"/>
        </w:rPr>
      </w:pPr>
      <w:bookmarkStart w:id="3" w:name="_Toc196921656"/>
    </w:p>
    <w:p w14:paraId="2395738B" w14:textId="352A33B3" w:rsidR="008B25DB" w:rsidRPr="00774ABC" w:rsidRDefault="008B25DB" w:rsidP="008B25DB">
      <w:pPr>
        <w:pStyle w:val="Heading3"/>
        <w:spacing w:before="0" w:after="0"/>
        <w:rPr>
          <w:rFonts w:ascii="Times New Roman" w:hAnsi="Times New Roman" w:cs="Times New Roman"/>
          <w:b/>
          <w:bCs/>
          <w:i/>
          <w:iCs/>
          <w:color w:val="auto"/>
          <w:sz w:val="24"/>
          <w:szCs w:val="24"/>
        </w:rPr>
      </w:pPr>
      <w:r w:rsidRPr="00774ABC">
        <w:rPr>
          <w:rFonts w:ascii="Times New Roman" w:hAnsi="Times New Roman" w:cs="Times New Roman"/>
          <w:b/>
          <w:bCs/>
          <w:i/>
          <w:iCs/>
          <w:color w:val="auto"/>
          <w:sz w:val="24"/>
          <w:szCs w:val="24"/>
        </w:rPr>
        <w:t>Methodological Contribution</w:t>
      </w:r>
      <w:bookmarkEnd w:id="3"/>
    </w:p>
    <w:p w14:paraId="377E62C1" w14:textId="77777777" w:rsidR="008B25DB" w:rsidRPr="00D06F42" w:rsidRDefault="008B25DB" w:rsidP="008B25DB">
      <w:pPr>
        <w:pStyle w:val="whitespace-pre-wrap"/>
        <w:spacing w:before="0" w:beforeAutospacing="0" w:after="0" w:afterAutospacing="0"/>
        <w:jc w:val="both"/>
        <w:rPr>
          <w:rFonts w:eastAsiaTheme="majorEastAsia"/>
          <w:color w:val="0F4761" w:themeColor="accent1" w:themeShade="BF"/>
        </w:rPr>
      </w:pPr>
      <w:r w:rsidRPr="00D06F42">
        <w:rPr>
          <w:color w:val="000000"/>
        </w:rPr>
        <w:t xml:space="preserve">This study builds on the literature by applying multiple modelling approaches to the WGEA dataset, with a specific focus on developing predictive models based on industry division and employer size. By comparing traditional statistical approaches with machine learning techniques across three time-series intervals, we aim to identify the most accurate and interpretable models for predicting gender pay gaps and classifying organisations according to their pay equity performance. This approach allows us to contribute methodologically to the field while providing practical insights for policy interventions targeted at the most significant structural determinants of gender pay inequity in Australian workplaces. </w:t>
      </w:r>
    </w:p>
    <w:p w14:paraId="6BBE492A" w14:textId="77777777" w:rsidR="00453D88" w:rsidRPr="00D06F42" w:rsidRDefault="00453D88" w:rsidP="001D686A">
      <w:pPr>
        <w:rPr>
          <w:rFonts w:asciiTheme="majorBidi" w:hAnsiTheme="majorBidi" w:cstheme="majorBidi"/>
          <w:b/>
          <w:bCs/>
          <w:color w:val="000000" w:themeColor="text1"/>
        </w:rPr>
      </w:pPr>
    </w:p>
    <w:p w14:paraId="42ACAE46" w14:textId="351552A6" w:rsidR="006C73FB" w:rsidRPr="00774ABC" w:rsidRDefault="004D38C5" w:rsidP="001D686A">
      <w:pPr>
        <w:rPr>
          <w:rFonts w:asciiTheme="majorBidi" w:hAnsiTheme="majorBidi" w:cstheme="majorBidi"/>
          <w:b/>
          <w:bCs/>
          <w:i/>
          <w:iCs/>
          <w:color w:val="000000" w:themeColor="text1"/>
        </w:rPr>
      </w:pPr>
      <w:r w:rsidRPr="00774ABC">
        <w:rPr>
          <w:rFonts w:asciiTheme="majorBidi" w:hAnsiTheme="majorBidi" w:cstheme="majorBidi"/>
          <w:b/>
          <w:bCs/>
          <w:i/>
          <w:iCs/>
          <w:color w:val="000000" w:themeColor="text1"/>
        </w:rPr>
        <w:t>Analytical Pipeline</w:t>
      </w:r>
    </w:p>
    <w:p w14:paraId="6B2655AA" w14:textId="1D83823D" w:rsidR="00830EC0" w:rsidRPr="00D06F42" w:rsidRDefault="008B25DB" w:rsidP="001D686A">
      <w:pPr>
        <w:rPr>
          <w:rFonts w:asciiTheme="majorBidi" w:hAnsiTheme="majorBidi" w:cstheme="majorBidi"/>
          <w:b/>
          <w:bCs/>
          <w:color w:val="000000" w:themeColor="text1"/>
        </w:rPr>
      </w:pPr>
      <w:r w:rsidRPr="00D06F42">
        <w:rPr>
          <w:color w:val="000000"/>
        </w:rPr>
        <w:t>Data preprocessing (cleaning, transformation, and encoding), statistical analysis, and model development were conducted in Python using established open-source libraries: Pandas and NumPy for data management, </w:t>
      </w:r>
      <w:proofErr w:type="spellStart"/>
      <w:r w:rsidRPr="00D06F42">
        <w:rPr>
          <w:color w:val="000000"/>
        </w:rPr>
        <w:t>Statsmodels</w:t>
      </w:r>
      <w:proofErr w:type="spellEnd"/>
      <w:r w:rsidRPr="00D06F42">
        <w:rPr>
          <w:color w:val="000000"/>
        </w:rPr>
        <w:t> for regression analysis, scikit-learn for machine learning algorithms, and </w:t>
      </w:r>
      <w:proofErr w:type="spellStart"/>
      <w:r w:rsidRPr="00D06F42">
        <w:rPr>
          <w:color w:val="000000"/>
        </w:rPr>
        <w:t>Keras</w:t>
      </w:r>
      <w:proofErr w:type="spellEnd"/>
      <w:r w:rsidRPr="00D06F42">
        <w:rPr>
          <w:color w:val="000000"/>
        </w:rPr>
        <w:t xml:space="preserve"> (with a TensorFlow backend) for deep learning </w:t>
      </w:r>
      <w:r w:rsidRPr="00D06F42">
        <w:rPr>
          <w:color w:val="000000"/>
        </w:rPr>
        <w:lastRenderedPageBreak/>
        <w:t>models (Chollet, 2015; Abadi et al., 2016). Microsoft Excel supported the initial formatting and time-interval assignment process.</w:t>
      </w:r>
    </w:p>
    <w:p w14:paraId="0599D0F3" w14:textId="77777777" w:rsidR="00830EC0" w:rsidRPr="00D06F42" w:rsidRDefault="00830EC0" w:rsidP="001D686A">
      <w:pPr>
        <w:rPr>
          <w:rFonts w:asciiTheme="majorBidi" w:hAnsiTheme="majorBidi" w:cstheme="majorBidi"/>
          <w:b/>
          <w:bCs/>
          <w:color w:val="000000" w:themeColor="text1"/>
        </w:rPr>
      </w:pPr>
    </w:p>
    <w:p w14:paraId="19804BBA" w14:textId="34F2ADA6" w:rsidR="004D38C5" w:rsidRPr="00774ABC" w:rsidRDefault="004D38C5" w:rsidP="004D38C5">
      <w:pPr>
        <w:pStyle w:val="Heading3"/>
        <w:spacing w:before="0" w:after="0"/>
        <w:rPr>
          <w:rFonts w:ascii="Times New Roman" w:hAnsi="Times New Roman" w:cs="Times New Roman"/>
          <w:b/>
          <w:bCs/>
          <w:i/>
          <w:iCs/>
          <w:color w:val="000000" w:themeColor="text1"/>
          <w:sz w:val="24"/>
          <w:szCs w:val="24"/>
        </w:rPr>
      </w:pPr>
      <w:r w:rsidRPr="00774ABC">
        <w:rPr>
          <w:rFonts w:ascii="Times New Roman" w:hAnsi="Times New Roman" w:cs="Times New Roman"/>
          <w:b/>
          <w:bCs/>
          <w:i/>
          <w:iCs/>
          <w:color w:val="000000" w:themeColor="text1"/>
          <w:sz w:val="24"/>
          <w:szCs w:val="24"/>
        </w:rPr>
        <w:t>Data Preprocessing</w:t>
      </w:r>
    </w:p>
    <w:p w14:paraId="69E5E946" w14:textId="77777777" w:rsidR="004D38C5" w:rsidRPr="00D06F42" w:rsidRDefault="004D38C5" w:rsidP="004D38C5">
      <w:pPr>
        <w:pStyle w:val="whitespace-pre-wrap"/>
        <w:spacing w:before="0" w:beforeAutospacing="0" w:after="0" w:afterAutospacing="0"/>
        <w:jc w:val="both"/>
        <w:rPr>
          <w:color w:val="000000"/>
        </w:rPr>
      </w:pPr>
      <w:r w:rsidRPr="00D06F42">
        <w:rPr>
          <w:color w:val="000000"/>
        </w:rPr>
        <w:t>The preprocessing phase began with data cleansing, where all records containing missing values or entries marked as "NC" (not calculable) for the 2022–23 median total remuneration GPG were removed. This step ensured that subsequent modelling would not be compromised by data sparsity or reporting anomalies.</w:t>
      </w:r>
    </w:p>
    <w:p w14:paraId="3432FFF1" w14:textId="77777777" w:rsidR="004D38C5" w:rsidRPr="00D06F42" w:rsidRDefault="004D38C5" w:rsidP="004D38C5">
      <w:pPr>
        <w:pStyle w:val="whitespace-pre-wrap"/>
        <w:spacing w:before="0" w:beforeAutospacing="0" w:after="0" w:afterAutospacing="0"/>
        <w:ind w:firstLine="340"/>
        <w:jc w:val="both"/>
        <w:rPr>
          <w:color w:val="000000"/>
        </w:rPr>
      </w:pPr>
      <w:r w:rsidRPr="00D06F42">
        <w:rPr>
          <w:color w:val="000000"/>
        </w:rPr>
        <w:t>To prepare the dataset for analysis, categorical variables were incorporated into the regression models using standard dummy-coding procedures. Industry division was operationalised using ANZSIC-based industry indicators, with one industry category omitted and treated as the reference category against which all other industry effects were interpreted. Similarly, for categorical organisational characteristics, one category was retained as the baseline group to avoid perfect multicollinearity. Estimated coefficients therefore represent the marginal difference in the average total remuneration gender pay gap relative to the reference category. While reference categories are required for interpretation in linear regression models, it is noted that tree-based and neural network models do not rely on reference groups in the same way, as they learn decision boundaries and feature interactions directly from the data. While gender dominance is discussed conceptually in the literature review, the empirical analysis relies on observed industry identifiers. Employer size was coded using WGEA’s five predefined organisational scale categories, which reflect increasing workforce size. These categories were label encoded from 0 to 4, preserving their ordinal structure for modelling purposes. Flexible working arrangements and secondary carer arrangements were measured as binary indicators reflecting the presence or absence of these policies at the organisational level. Additionally, any values recorded as percentages or dollar amounts were converted into numeric format in Excel prior to loading into Python.</w:t>
      </w:r>
    </w:p>
    <w:p w14:paraId="23918E67" w14:textId="77777777" w:rsidR="004D38C5" w:rsidRPr="00D06F42" w:rsidRDefault="004D38C5" w:rsidP="004D38C5">
      <w:pPr>
        <w:pStyle w:val="whitespace-pre-wrap"/>
        <w:spacing w:before="0" w:beforeAutospacing="0" w:after="0" w:afterAutospacing="0"/>
        <w:ind w:firstLine="340"/>
        <w:jc w:val="both"/>
        <w:rPr>
          <w:color w:val="000000"/>
        </w:rPr>
      </w:pPr>
      <w:r w:rsidRPr="00D06F42">
        <w:rPr>
          <w:color w:val="000000"/>
        </w:rPr>
        <w:t>We assigned each employer report to one of the three time-series intervals (T1–T3) using the reporting submission timestamp. This ensured that organisations with different payroll cycles, seasonal workforce patterns, or reporting practices could be compared within consistent temporal windows. The interval structure also facilitated analyses of GPG stability and change over time.</w:t>
      </w:r>
    </w:p>
    <w:p w14:paraId="2210D4B2" w14:textId="77777777" w:rsidR="004D38C5" w:rsidRPr="00D06F42" w:rsidRDefault="004D38C5" w:rsidP="004D38C5">
      <w:pPr>
        <w:pStyle w:val="whitespace-pre-wrap"/>
        <w:spacing w:before="0" w:beforeAutospacing="0" w:after="0" w:afterAutospacing="0"/>
        <w:ind w:firstLine="340"/>
        <w:jc w:val="both"/>
        <w:rPr>
          <w:color w:val="000000"/>
        </w:rPr>
      </w:pPr>
      <w:r w:rsidRPr="00D06F42">
        <w:rPr>
          <w:color w:val="000000"/>
        </w:rPr>
        <w:t>Workplace policy responses were derived from employer responses to the WGEA questionnaire and were included as organisational-level structural indicators rather than measures of employee experience. Specifically, binary variables were constructed to capture the presence or absence of flexible work arrangements and secondary carer leave provisions at the employer level (coded 1 = policy present; 0 = policy absent). The available data do not provide consistent information on the scope, intensity, or uptake of these policies, nor on employee satisfaction with them; consequently, the models capture policy existence rather than usage or effectiveness. This approach aligns with the study’s focus on structural workplace characteristics and allows for consistent comparison across organisations.</w:t>
      </w:r>
    </w:p>
    <w:p w14:paraId="6BCBA976" w14:textId="77777777" w:rsidR="00830EC0" w:rsidRPr="00D06F42" w:rsidRDefault="00830EC0" w:rsidP="001D686A">
      <w:pPr>
        <w:rPr>
          <w:rFonts w:asciiTheme="majorBidi" w:hAnsiTheme="majorBidi" w:cstheme="majorBidi"/>
          <w:b/>
          <w:bCs/>
          <w:color w:val="000000" w:themeColor="text1"/>
        </w:rPr>
      </w:pPr>
    </w:p>
    <w:p w14:paraId="6DF14C2D" w14:textId="55CE6DFE" w:rsidR="004D38C5" w:rsidRPr="00774ABC" w:rsidRDefault="004D38C5" w:rsidP="004D38C5">
      <w:pPr>
        <w:pStyle w:val="Heading3"/>
        <w:spacing w:before="0" w:after="0"/>
        <w:rPr>
          <w:rFonts w:ascii="Times New Roman" w:hAnsi="Times New Roman" w:cs="Times New Roman"/>
          <w:b/>
          <w:bCs/>
          <w:i/>
          <w:iCs/>
          <w:color w:val="000000" w:themeColor="text1"/>
          <w:sz w:val="24"/>
          <w:szCs w:val="24"/>
        </w:rPr>
      </w:pPr>
      <w:r w:rsidRPr="00774ABC">
        <w:rPr>
          <w:rFonts w:ascii="Times New Roman" w:hAnsi="Times New Roman" w:cs="Times New Roman"/>
          <w:b/>
          <w:bCs/>
          <w:i/>
          <w:iCs/>
          <w:color w:val="000000" w:themeColor="text1"/>
          <w:sz w:val="24"/>
          <w:szCs w:val="24"/>
        </w:rPr>
        <w:t>Variable Screening and OLS Development</w:t>
      </w:r>
    </w:p>
    <w:p w14:paraId="22E1E56F" w14:textId="77777777" w:rsidR="00D06F42" w:rsidRDefault="004D38C5" w:rsidP="00D06F42">
      <w:pPr>
        <w:rPr>
          <w:color w:val="000000"/>
        </w:rPr>
      </w:pPr>
      <w:r w:rsidRPr="00D06F42">
        <w:t>Initial statistical exploration involved calculating Pearson correlation coefficients to identify variables with significant linear relationships to the target variable: Average Total Remuneration GPG (%). Variables exhibiting low or multicollinear relationships were excluded from further modelling, including metrics such as base salary GPG measures which duplicated the explanatory variance of total remuneration indicators.</w:t>
      </w:r>
      <w:r w:rsidRPr="00D06F42">
        <w:rPr>
          <w:color w:val="000000"/>
        </w:rPr>
        <w:t xml:space="preserve"> </w:t>
      </w:r>
    </w:p>
    <w:p w14:paraId="0AFBA602" w14:textId="6C7014FB" w:rsidR="004D38C5" w:rsidRPr="00D06F42" w:rsidRDefault="004D38C5" w:rsidP="00D06F42">
      <w:pPr>
        <w:ind w:firstLine="340"/>
        <w:rPr>
          <w:color w:val="000000"/>
        </w:rPr>
      </w:pPr>
      <w:r w:rsidRPr="00D06F42">
        <w:lastRenderedPageBreak/>
        <w:t>A multiple linear regression model was fitted using the using the OLS function</w:t>
      </w:r>
      <w:r w:rsidRPr="00D06F42">
        <w:rPr>
          <w:rStyle w:val="FootnoteReference"/>
        </w:rPr>
        <w:footnoteReference w:id="1"/>
      </w:r>
      <w:r w:rsidRPr="00D06F42">
        <w:t xml:space="preserve"> from the </w:t>
      </w:r>
      <w:proofErr w:type="spellStart"/>
      <w:r w:rsidRPr="00D06F42">
        <w:t>statsmodels</w:t>
      </w:r>
      <w:proofErr w:type="spellEnd"/>
      <w:r w:rsidRPr="00D06F42">
        <w:t xml:space="preserve"> package in Python. Predictor variables with absolute correlation values greater than 0.18 were initially included for </w:t>
      </w:r>
      <w:r w:rsidRPr="00D06F42">
        <w:rPr>
          <w:i/>
          <w:iCs/>
        </w:rPr>
        <w:t>testing the waters</w:t>
      </w:r>
      <w:r w:rsidRPr="00D06F42">
        <w:t xml:space="preserve">, and the final model included all variables with statistically significant contributions (p&lt;0.05). This model and the ones following it </w:t>
      </w:r>
      <w:r w:rsidRPr="00D06F42">
        <w:rPr>
          <w:color w:val="000000"/>
        </w:rPr>
        <w:t>included the employer-level average total remuneration gender pay gap (%) as the dependent variable and incorporated industry division indicators, organizational size category, gender composition across pay quartiles (lower, lower-middle, upper-middle, and upper quartile), female representation in senior leadership, total workforce gender composition, binary indicators for the presence of flexible work arrangements and secondary carer leave provisions, and time-interval controls capturing reporting-cycle timing (T1–T3) as explanatory variables.</w:t>
      </w:r>
    </w:p>
    <w:p w14:paraId="186E8D34" w14:textId="77777777" w:rsidR="00830EC0" w:rsidRPr="00D06F42" w:rsidRDefault="00830EC0" w:rsidP="001D686A">
      <w:pPr>
        <w:rPr>
          <w:rFonts w:asciiTheme="majorBidi" w:hAnsiTheme="majorBidi" w:cstheme="majorBidi"/>
          <w:b/>
          <w:bCs/>
          <w:color w:val="000000" w:themeColor="text1"/>
        </w:rPr>
      </w:pPr>
    </w:p>
    <w:p w14:paraId="45B5382D" w14:textId="285636D0" w:rsidR="004D38C5" w:rsidRPr="00774ABC" w:rsidRDefault="004D38C5" w:rsidP="004D38C5">
      <w:pPr>
        <w:pStyle w:val="Heading3"/>
        <w:spacing w:before="0" w:after="0"/>
        <w:rPr>
          <w:rFonts w:ascii="Times New Roman" w:hAnsi="Times New Roman" w:cs="Times New Roman"/>
          <w:b/>
          <w:bCs/>
          <w:i/>
          <w:iCs/>
          <w:color w:val="000000" w:themeColor="text1"/>
          <w:sz w:val="24"/>
          <w:szCs w:val="24"/>
        </w:rPr>
      </w:pPr>
      <w:r w:rsidRPr="00774ABC">
        <w:rPr>
          <w:rFonts w:ascii="Times New Roman" w:hAnsi="Times New Roman" w:cs="Times New Roman"/>
          <w:b/>
          <w:bCs/>
          <w:i/>
          <w:iCs/>
          <w:color w:val="000000" w:themeColor="text1"/>
          <w:sz w:val="24"/>
          <w:szCs w:val="24"/>
        </w:rPr>
        <w:t>Model Benchmarking</w:t>
      </w:r>
    </w:p>
    <w:p w14:paraId="5438DDC1" w14:textId="77777777" w:rsidR="004D38C5" w:rsidRPr="00D06F42" w:rsidRDefault="004D38C5" w:rsidP="004D38C5">
      <w:pPr>
        <w:jc w:val="both"/>
      </w:pPr>
      <w:r w:rsidRPr="00D06F42">
        <w:t>To benchmark predictive performance across modelling approaches, linear regression, logistic regression, and decision tree classifiers were implemented and systematically compared against the neural network models. All models were trained and evaluated using a consistent data-handling procedure to ensure fair and reproducible comparisons.</w:t>
      </w:r>
    </w:p>
    <w:p w14:paraId="24A012ED" w14:textId="77777777" w:rsidR="004D38C5" w:rsidRPr="00D06F42" w:rsidRDefault="004D38C5" w:rsidP="004D38C5">
      <w:pPr>
        <w:ind w:firstLine="340"/>
        <w:jc w:val="both"/>
      </w:pPr>
      <w:r w:rsidRPr="00D06F42">
        <w:t>The full dataset was first partitioned into training, validation, and test subsets using a stratified 70–15–15 split. Stratification was performed on the target variable (GPG intervals) to preserve the proportional distribution of low-, medium-, and high-GPG organisations across all subsets. This approach minimised sampling bias and ensured that each model encountered similar class distributions during training and evaluation.</w:t>
      </w:r>
    </w:p>
    <w:p w14:paraId="2C02D176" w14:textId="77777777" w:rsidR="004D38C5" w:rsidRPr="00D06F42" w:rsidRDefault="004D38C5" w:rsidP="004D38C5">
      <w:pPr>
        <w:ind w:firstLine="340"/>
        <w:jc w:val="both"/>
      </w:pPr>
      <w:r w:rsidRPr="00D06F42">
        <w:t>During model development, 5-fold cross-validation was applied within the training set. This procedure involved partitioning the training data into five folds, training the model on four folds, and validating on the remaining fold, iterating until each fold had served as the validation segment. For neural network models, an additional early-stopping criterion was introduced. The validation loss was monitored across epochs, and training was halted when no improvement was observed over a predefined patience threshold. This prevented overfitting, which is particularly important in high-complexity, non-linear architectures.</w:t>
      </w:r>
    </w:p>
    <w:p w14:paraId="032A5AA9" w14:textId="77777777" w:rsidR="004D38C5" w:rsidRPr="00D06F42" w:rsidRDefault="004D38C5" w:rsidP="004D38C5">
      <w:pPr>
        <w:ind w:firstLine="340"/>
        <w:jc w:val="both"/>
      </w:pPr>
      <w:r w:rsidRPr="00D06F42">
        <w:t>All models were evaluated on the held-out test set, which was not used at any point during training or tuning. Metrics such as accuracy, precision, recall, and F1-score were calculated to capture the trade-offs between classification performance and model interpretability. For continuous regression-based outputs, RMSE and MAE were also examined to provide a consistent measure of predictive error.</w:t>
      </w:r>
    </w:p>
    <w:p w14:paraId="2C79C135" w14:textId="77777777" w:rsidR="00635F1E" w:rsidRPr="00D06F42" w:rsidRDefault="00635F1E" w:rsidP="00CB3A02">
      <w:pPr>
        <w:rPr>
          <w:rFonts w:asciiTheme="majorBidi" w:hAnsiTheme="majorBidi" w:cstheme="majorBidi"/>
          <w:b/>
          <w:bCs/>
          <w:color w:val="000000" w:themeColor="text1"/>
        </w:rPr>
      </w:pPr>
    </w:p>
    <w:p w14:paraId="3B101FD0" w14:textId="42112451" w:rsidR="00D81207" w:rsidRPr="00774ABC" w:rsidRDefault="00D81207" w:rsidP="00D81207">
      <w:pPr>
        <w:pStyle w:val="Heading3"/>
        <w:spacing w:before="0" w:after="0"/>
        <w:rPr>
          <w:rFonts w:ascii="Times New Roman" w:hAnsi="Times New Roman" w:cs="Times New Roman"/>
          <w:b/>
          <w:bCs/>
          <w:i/>
          <w:iCs/>
          <w:color w:val="000000" w:themeColor="text1"/>
          <w:sz w:val="24"/>
          <w:szCs w:val="24"/>
        </w:rPr>
      </w:pPr>
      <w:r w:rsidRPr="00774ABC">
        <w:rPr>
          <w:rFonts w:ascii="Times New Roman" w:hAnsi="Times New Roman" w:cs="Times New Roman"/>
          <w:b/>
          <w:bCs/>
          <w:i/>
          <w:iCs/>
          <w:color w:val="000000" w:themeColor="text1"/>
          <w:sz w:val="24"/>
          <w:szCs w:val="24"/>
        </w:rPr>
        <w:t>Random Forest Regression</w:t>
      </w:r>
    </w:p>
    <w:p w14:paraId="74A14687" w14:textId="77777777" w:rsidR="00D81207" w:rsidRPr="00D06F42" w:rsidRDefault="00D81207" w:rsidP="00D81207">
      <w:pPr>
        <w:jc w:val="both"/>
      </w:pPr>
      <w:r w:rsidRPr="00D06F42">
        <w:t xml:space="preserve">To move beyond the restrictive assumptions of linearity and additivity, we estimated a Random Forest (RF) regression model using the same set of predictors as in the linear specifications. Random Forests are particularly well suited to this context because they can flexibly capture non-linear relationships and higher-order interactions among remuneration, workforce composition, and organisational characteristics without requiring these relationships to be specified a priori. Model performance was assessed using the mean squared error (MSE) and the coefficient of determination (R²), yielding an MSE of 0.0053 and an R² of 0.72, indicating a strong overall fit and a modest improvement in predictive accuracy relative to the linear model (Table 2). </w:t>
      </w:r>
    </w:p>
    <w:p w14:paraId="6A1B8C52" w14:textId="77777777" w:rsidR="00D81207" w:rsidRPr="00D06F42" w:rsidRDefault="00D81207" w:rsidP="00D81207">
      <w:pPr>
        <w:ind w:firstLine="340"/>
        <w:jc w:val="both"/>
      </w:pPr>
      <w:r w:rsidRPr="00D06F42">
        <w:lastRenderedPageBreak/>
        <w:t>Beyond predictive performance, the primary contribution of the Random Forest approach lies in its feature importance analysis. As reported in Table II, the most influential predictors were the average total remuneration in the upper quartile, the percentage of women in the lower and upper pay quartiles, and measures related to lower-quartile remuneration (Table 2). The prominence of upper-quartile remuneration suggests that outcomes are disproportionately shaped by pay dynamics at the top of the distribution, consistent with arguments that inequality and leadership-level compensation exert outsized effects on aggregate organisational indicators. At the same time, the high importance assigned to the percentage of women in both the upper and lower quartiles indicates that gender composition matters differently across the pay distribution, rather than exerting a uniform effect as implied by linear regression model.</w:t>
      </w:r>
    </w:p>
    <w:p w14:paraId="3DE3198E" w14:textId="77777777" w:rsidR="00D81207" w:rsidRPr="00D06F42" w:rsidRDefault="00D81207" w:rsidP="00D81207">
      <w:pPr>
        <w:ind w:firstLine="340"/>
        <w:jc w:val="both"/>
      </w:pPr>
      <w:r w:rsidRPr="00D06F42">
        <w:t xml:space="preserve">Crucially, the RF model uncovers non-linear and interaction effects that are not detectable in linear regressions. For example, the relationship between the percentage of women in the upper quartile and the outcome variable appears to be non-monotonic: increases in women’s representation at senior pay levels are associated with disproportionately larger changes once certain thresholds are reached, rather than incremental, constant effects. Similarly, the influence of lower-quartile remuneration and gender composition is conditional on upper-quartile pay levels, suggesting a cross-quartile interaction whereby inequality within the pay structure amplifies or dampens the effect of gender representation at the bottom of the distribution. Such interactions cannot be adequately captured by linear models unless explicitly specified, and even </w:t>
      </w:r>
      <w:proofErr w:type="gramStart"/>
      <w:r w:rsidRPr="00D06F42">
        <w:t>then</w:t>
      </w:r>
      <w:proofErr w:type="gramEnd"/>
      <w:r w:rsidRPr="00D06F42">
        <w:t xml:space="preserve"> only in simplified form.</w:t>
      </w:r>
    </w:p>
    <w:p w14:paraId="4C58286A" w14:textId="77777777" w:rsidR="00D81207" w:rsidRPr="00D06F42" w:rsidRDefault="00D81207" w:rsidP="00D81207">
      <w:pPr>
        <w:ind w:firstLine="340"/>
        <w:jc w:val="both"/>
      </w:pPr>
      <w:r w:rsidRPr="00D06F42">
        <w:t>Non-linearities were also observed for total workforce gender composition and workforce size categories, where effects varied depending on the broader pay structure and industry context. For instance, increases in the overall percentage of women had relatively small effects at low or moderate levels but became more salient in organisations with extreme pay dispersion or highly skewed quartile remuneration. Additionally, industry classifications interacted with pay-quartile variables, indicating that similar levels of gender representation or remuneration can have different implications across sectors, again violating the assumption of constant marginal effects embedded in linear models.</w:t>
      </w:r>
    </w:p>
    <w:p w14:paraId="3363D698" w14:textId="77777777" w:rsidR="00635F1E" w:rsidRPr="00D06F42" w:rsidRDefault="00635F1E" w:rsidP="00CB3A02">
      <w:pPr>
        <w:rPr>
          <w:rFonts w:asciiTheme="majorBidi" w:hAnsiTheme="majorBidi" w:cstheme="majorBidi"/>
          <w:b/>
          <w:bCs/>
          <w:color w:val="000000" w:themeColor="text1"/>
        </w:rPr>
      </w:pPr>
    </w:p>
    <w:p w14:paraId="2DF3838F" w14:textId="76B7D6FA" w:rsidR="001C4020" w:rsidRPr="00774ABC" w:rsidRDefault="001C4020" w:rsidP="001C4020">
      <w:pPr>
        <w:pStyle w:val="Heading3"/>
        <w:spacing w:before="0" w:after="0"/>
        <w:rPr>
          <w:rFonts w:ascii="Times New Roman" w:hAnsi="Times New Roman" w:cs="Times New Roman"/>
          <w:b/>
          <w:bCs/>
          <w:i/>
          <w:iCs/>
          <w:color w:val="000000" w:themeColor="text1"/>
          <w:sz w:val="24"/>
          <w:szCs w:val="24"/>
        </w:rPr>
      </w:pPr>
      <w:r w:rsidRPr="00774ABC">
        <w:rPr>
          <w:rFonts w:ascii="Times New Roman" w:hAnsi="Times New Roman" w:cs="Times New Roman"/>
          <w:b/>
          <w:bCs/>
          <w:i/>
          <w:iCs/>
          <w:color w:val="000000" w:themeColor="text1"/>
          <w:sz w:val="24"/>
          <w:szCs w:val="24"/>
        </w:rPr>
        <w:t>Neural Network Classification Model</w:t>
      </w:r>
    </w:p>
    <w:p w14:paraId="720ADC8A" w14:textId="77777777" w:rsidR="001C4020" w:rsidRPr="00D06F42" w:rsidRDefault="001C4020" w:rsidP="001C4020">
      <w:pPr>
        <w:jc w:val="both"/>
      </w:pPr>
      <w:r w:rsidRPr="00D06F42">
        <w:t>For the purposes of binary classification, the probability drawn from the neural network regression output was converted into a class label using the standard threshold of 0.5 to maintain interpretability and simplicity, following conventional binary classification practice. No task-specific threshold adjustment was performed. Default hyperparameter values were used to avoid overcomplicating the model tuning process, providing a straightforward baseline for evaluation. The classifier predicted whether an employer’s gender pay gap was above or below the 2024 national average of 21.8% (WGEA, 2024). The target variable was encoded as a binary class, with 0 indicating a below-average gap and 1 representing above-average.</w:t>
      </w:r>
    </w:p>
    <w:p w14:paraId="25BB80F0" w14:textId="77777777" w:rsidR="001C4020" w:rsidRPr="00D06F42" w:rsidRDefault="001C4020" w:rsidP="001C4020">
      <w:pPr>
        <w:ind w:firstLine="340"/>
        <w:jc w:val="both"/>
      </w:pPr>
      <w:r w:rsidRPr="00D06F42">
        <w:t>The model again utilised a two-layer DNN architecture with a sigmoid output for binary classification. As demonstrated in Table 3, the classifier achieved a high accuracy of 91.9% on the test set. Sensitivity and specificity metrics were balanced, with 313 true positives and 1120 true negatives. Notably, 70 false positives were recorded – suggesting a slight bias towards predicting above-average GPG when actual values were below average.</w:t>
      </w:r>
    </w:p>
    <w:p w14:paraId="254E32C2" w14:textId="77777777" w:rsidR="001C4020" w:rsidRPr="00D06F42" w:rsidRDefault="001C4020" w:rsidP="001C4020">
      <w:pPr>
        <w:ind w:firstLine="340"/>
        <w:jc w:val="both"/>
      </w:pPr>
      <w:r w:rsidRPr="00D06F42">
        <w:t>These results indicate that the classifier has strong practical utility, particularly for regulatory or policy-making contexts where early identification of high-risk employers is crucial.</w:t>
      </w:r>
    </w:p>
    <w:p w14:paraId="43FDFF76" w14:textId="77777777" w:rsidR="001C4020" w:rsidRPr="00D06F42" w:rsidRDefault="001C4020" w:rsidP="001C4020">
      <w:pPr>
        <w:ind w:firstLine="340"/>
        <w:jc w:val="both"/>
      </w:pPr>
      <w:r w:rsidRPr="00D06F42">
        <w:lastRenderedPageBreak/>
        <w:t>To contextualise the neural network’s performance, classification accuracy benchmarks were also computed for logistic regression and decision tree classifiers. These models achieved accuracies of 86.14% and 83.71% respectively, confirming the superior predictive capacity of the deep learning classifier (See Appendix A for details). While numerically seeming modest, a 6-7.5% difference in accuracy translates to hundreds of misclassified employers in practice, which is substantively meaningful for regulators.</w:t>
      </w:r>
    </w:p>
    <w:p w14:paraId="601EB6D1" w14:textId="77777777" w:rsidR="00405871" w:rsidRPr="00D06F42" w:rsidRDefault="00405871" w:rsidP="001C4020">
      <w:pPr>
        <w:rPr>
          <w:rFonts w:asciiTheme="majorBidi" w:hAnsiTheme="majorBidi" w:cstheme="majorBidi"/>
          <w:b/>
          <w:bCs/>
          <w:color w:val="000000" w:themeColor="text1"/>
        </w:rPr>
      </w:pPr>
    </w:p>
    <w:p w14:paraId="146FF26F" w14:textId="3CA654C1" w:rsidR="001C4020" w:rsidRPr="00774ABC" w:rsidRDefault="001C4020" w:rsidP="001C4020">
      <w:pPr>
        <w:pStyle w:val="Heading3"/>
        <w:spacing w:before="0" w:after="0"/>
        <w:rPr>
          <w:rFonts w:ascii="Times New Roman" w:hAnsi="Times New Roman" w:cs="Times New Roman"/>
          <w:b/>
          <w:bCs/>
          <w:i/>
          <w:iCs/>
          <w:color w:val="000000" w:themeColor="text1"/>
          <w:sz w:val="24"/>
          <w:szCs w:val="24"/>
        </w:rPr>
      </w:pPr>
      <w:r w:rsidRPr="00774ABC">
        <w:rPr>
          <w:rFonts w:ascii="Times New Roman" w:hAnsi="Times New Roman" w:cs="Times New Roman"/>
          <w:b/>
          <w:bCs/>
          <w:i/>
          <w:iCs/>
          <w:color w:val="000000" w:themeColor="text1"/>
          <w:sz w:val="24"/>
          <w:szCs w:val="24"/>
        </w:rPr>
        <w:t>Summary of Predictive Insights</w:t>
      </w:r>
    </w:p>
    <w:p w14:paraId="25B43E5A" w14:textId="77777777" w:rsidR="001C4020" w:rsidRPr="00D06F42" w:rsidRDefault="001C4020" w:rsidP="001C4020">
      <w:pPr>
        <w:pStyle w:val="NormalWeb"/>
        <w:spacing w:before="0" w:beforeAutospacing="0" w:after="0" w:afterAutospacing="0"/>
        <w:rPr>
          <w:color w:val="000000"/>
        </w:rPr>
      </w:pPr>
      <w:r w:rsidRPr="00D06F42">
        <w:rPr>
          <w:color w:val="000000"/>
        </w:rPr>
        <w:t>Regardless of varying time intervals (T1–T3) and whether linear regression, ensemble methods like random forests, or complex neural networks were employed, the data consistently pointed to several key organizational characteristics, emerging as consistent predictors of gender pay gaps. These included the gender composition within both upper and lower pay quartiles – a critical indicator of vertical segregation. Additionally, employer size, categorized to capture its varying influence, and the specific industry sector an organization operated within, proved to be highly significant. Finally, the presence or absence of certain policy-related indicators, such as flexible work arrangements and secondary carer leave provisions, also played a discernible role. The remarkable consistency of these findings across diverse analytical techniques significantly strengthens their validity and underscores the systemic nature of these disparities.</w:t>
      </w:r>
    </w:p>
    <w:p w14:paraId="0EC8BBAA" w14:textId="77777777" w:rsidR="001C4020" w:rsidRPr="00D06F42" w:rsidRDefault="001C4020" w:rsidP="001C4020">
      <w:pPr>
        <w:pStyle w:val="NormalWeb"/>
        <w:spacing w:before="0" w:beforeAutospacing="0" w:after="0" w:afterAutospacing="0"/>
        <w:ind w:firstLine="340"/>
        <w:rPr>
          <w:color w:val="000000"/>
        </w:rPr>
      </w:pPr>
      <w:r w:rsidRPr="00D06F42">
        <w:rPr>
          <w:color w:val="000000"/>
        </w:rPr>
        <w:t>While all models provided valuable insights, the neural network models, both for regression and classification tasks, demonstrated a superior ability to capture the intricate and often non-linear underlying trends within gender pay inequality. Their advanced architecture allowed for a more nuanced understanding of how these structural factors interact and contribute to pay disparities. This augmented performance suggests that the relationships between organizational characteristics and pay outcomes are more complex than simpler linear associations might suggest, highlighting the power of machine learning in uncovering deeper patterns within large datasets. The clarity with which these models identified key drivers provides a robust foundation for understanding and ultimately addressing the pervasive challenge of the GPG.</w:t>
      </w:r>
    </w:p>
    <w:p w14:paraId="365C9031" w14:textId="77777777" w:rsidR="001C4020" w:rsidRPr="00D06F42" w:rsidRDefault="001C4020" w:rsidP="001C4020">
      <w:pPr>
        <w:rPr>
          <w:rFonts w:asciiTheme="majorBidi" w:hAnsiTheme="majorBidi" w:cstheme="majorBidi"/>
          <w:b/>
          <w:bCs/>
          <w:color w:val="000000" w:themeColor="text1"/>
        </w:rPr>
      </w:pPr>
    </w:p>
    <w:p w14:paraId="0BE7DA55" w14:textId="7DA94FA3" w:rsidR="001C4020" w:rsidRPr="00774ABC" w:rsidRDefault="001C4020" w:rsidP="001C4020">
      <w:pPr>
        <w:pStyle w:val="Heading3"/>
        <w:spacing w:before="0" w:after="0"/>
        <w:rPr>
          <w:rFonts w:ascii="Times New Roman" w:hAnsi="Times New Roman" w:cs="Times New Roman"/>
          <w:b/>
          <w:bCs/>
          <w:i/>
          <w:iCs/>
          <w:color w:val="000000" w:themeColor="text1"/>
          <w:sz w:val="24"/>
          <w:szCs w:val="24"/>
          <w:lang w:eastAsia="en-GB"/>
        </w:rPr>
      </w:pPr>
      <w:bookmarkStart w:id="4" w:name="_Toc196921675"/>
      <w:r w:rsidRPr="00774ABC">
        <w:rPr>
          <w:rFonts w:ascii="Times New Roman" w:hAnsi="Times New Roman" w:cs="Times New Roman"/>
          <w:b/>
          <w:bCs/>
          <w:i/>
          <w:iCs/>
          <w:color w:val="000000" w:themeColor="text1"/>
          <w:sz w:val="24"/>
          <w:szCs w:val="24"/>
          <w:lang w:eastAsia="en-GB"/>
        </w:rPr>
        <w:t>Interpretation of results</w:t>
      </w:r>
      <w:bookmarkEnd w:id="4"/>
    </w:p>
    <w:p w14:paraId="58AFB336" w14:textId="77777777" w:rsidR="001C4020" w:rsidRPr="00D06F42" w:rsidRDefault="001C4020" w:rsidP="001C4020">
      <w:pPr>
        <w:jc w:val="both"/>
        <w:rPr>
          <w:color w:val="000000"/>
        </w:rPr>
      </w:pPr>
      <w:r w:rsidRPr="00D06F42">
        <w:rPr>
          <w:color w:val="000000"/>
        </w:rPr>
        <w:t xml:space="preserve">The results from both linear regression and machine learning models strongly reinforce the alternative hypothesis that structural workplace characteristics play a significant role in determining GPG outcomes across Australian employers. The superior performance of the neural network models in both predicting GPG values and classifying organisations as above or below the national average suggests that the relationships between structural factors and pay outcomes are complex and non-linear. </w:t>
      </w:r>
    </w:p>
    <w:p w14:paraId="677B11A1" w14:textId="77777777" w:rsidR="001C4020" w:rsidRPr="00D06F42" w:rsidRDefault="001C4020" w:rsidP="001C4020">
      <w:pPr>
        <w:ind w:firstLine="340"/>
        <w:jc w:val="both"/>
        <w:rPr>
          <w:color w:val="000000"/>
        </w:rPr>
      </w:pPr>
      <w:r w:rsidRPr="00D06F42">
        <w:rPr>
          <w:color w:val="000000"/>
        </w:rPr>
        <w:t>The multiple linear regression model confirmed that higher representation of women in senior pay quartiles is associated with lower GPGs. This aligns with previous studies, including Charlesworth and Smith (2018) and WGEA (2023), which highlight the influence of vertical segregation and the systemic undervaluation of female-dominated roles. This result reinforces the argument that addressing representation at leadership levels can have a tangible impact on pay equity outcomes.</w:t>
      </w:r>
    </w:p>
    <w:p w14:paraId="776046B8" w14:textId="77777777" w:rsidR="001C4020" w:rsidRPr="00D06F42" w:rsidRDefault="001C4020" w:rsidP="001C4020">
      <w:pPr>
        <w:ind w:firstLine="340"/>
        <w:jc w:val="both"/>
        <w:rPr>
          <w:color w:val="000000"/>
        </w:rPr>
      </w:pPr>
      <w:r w:rsidRPr="00D06F42">
        <w:rPr>
          <w:color w:val="000000"/>
        </w:rPr>
        <w:t xml:space="preserve">Industry division emerged as another significant predictor, with sectors such as Construction, Mining, and Financial Services demonstrating consistently higher GPGs. This mirrors findings in earlier work by IBISWorld (2023) and Fitzsimmons </w:t>
      </w:r>
      <w:r w:rsidRPr="00D06F42">
        <w:rPr>
          <w:i/>
          <w:iCs/>
          <w:color w:val="000000"/>
        </w:rPr>
        <w:t>et al. (</w:t>
      </w:r>
      <w:r w:rsidRPr="00D06F42">
        <w:rPr>
          <w:color w:val="000000"/>
        </w:rPr>
        <w:t xml:space="preserve">2021), who attributed embedded wage structures and discretionary remuneration approaches in male-dominated industries to GPG outcomes. The results here strengthen the view that pay gaps are not simply organisational </w:t>
      </w:r>
      <w:r w:rsidRPr="00D06F42">
        <w:rPr>
          <w:color w:val="000000"/>
        </w:rPr>
        <w:lastRenderedPageBreak/>
        <w:t>anomalies but are influenced by long-standing sector-specific norms and structural workplace factors.</w:t>
      </w:r>
    </w:p>
    <w:p w14:paraId="4385FD00" w14:textId="77777777" w:rsidR="001C4020" w:rsidRPr="00D06F42" w:rsidRDefault="001C4020" w:rsidP="001C4020">
      <w:pPr>
        <w:ind w:firstLine="340"/>
        <w:jc w:val="both"/>
        <w:rPr>
          <w:color w:val="000000"/>
        </w:rPr>
      </w:pPr>
      <w:r w:rsidRPr="00D06F42">
        <w:rPr>
          <w:color w:val="000000"/>
        </w:rPr>
        <w:t>Interestingly, regression analysis also revealed that organisations with flexible work policies (+3.15% GPG) and secondary carer leave provisions (+1.5% GPG) tend to report higher GPGs. Although this appears counterintuitive, it supports the argument by Cooper and Baird (2022) that these policies are often introduced reactively, after disparities have already been identified, rather than as part of proactive structural change. As such, these policies may indicate an awareness of inequity rather than maturity in managing it. The relationship between flexible work policies and gender pay gaps is explored further, which shows a +3.15% higher GPG for organisations with flexible work arrangements which may reflect employers’ response to existing inequities, rather than preventing them. Their link to higher GPGs highlights reactive, not proactive, organisational behaviour. Accordingly, when flexible work is stigmatized, associated with lower-status roles, or interpreted as a signal of reduced commitment, it can reinforce occupational segregation and widen gendered pay differences (Kelliher &amp; Anderson, 2010). On the contrary, when flexible hours or remote-work options are genuinely supported, they may help especially women who continue to shoulder disproportionate caregiving responsibilities maintain stronger labour-market attachment and avoid career interruptions, reducing pay disparities (Chung &amp; Van der Horst, 2018; Goldin, 2014). Thus, the impact of flexible work on the GPG depends heavily on organizational norms and whether flexible arrangements are equally valued and accessible across genders.</w:t>
      </w:r>
    </w:p>
    <w:p w14:paraId="0647C218" w14:textId="77777777" w:rsidR="001C4020" w:rsidRPr="00D06F42" w:rsidRDefault="001C4020" w:rsidP="001C4020">
      <w:pPr>
        <w:ind w:firstLine="340"/>
        <w:jc w:val="both"/>
        <w:rPr>
          <w:color w:val="000000"/>
        </w:rPr>
      </w:pPr>
      <w:r w:rsidRPr="00D06F42">
        <w:rPr>
          <w:color w:val="000000"/>
        </w:rPr>
        <w:t>The neural network regression model produced an R² value of 0.7452, with the structural factors considered explaining nearly 75% of the variation in gender pay outcomes</w:t>
      </w:r>
      <w:r w:rsidRPr="00D06F42">
        <w:t xml:space="preserve">. Furthermore, </w:t>
      </w:r>
      <w:r w:rsidRPr="00D06F42">
        <w:rPr>
          <w:color w:val="000000"/>
        </w:rPr>
        <w:t>the binary classification model achieved 91.9% accuracy in predicting whether an employer's GPG would exceed the national average. These results from the WGEA dataset demonstrate that non-linear relationships and underlying structural factors such as employer size, industry division, and the distribution of employees across pay quartiles contribute substantially to gender pay disparities and are reliable indicators of GPG outcomes in the Australian context.</w:t>
      </w:r>
    </w:p>
    <w:p w14:paraId="6698B86B" w14:textId="77777777" w:rsidR="001C4020" w:rsidRPr="00D06F42" w:rsidRDefault="001C4020" w:rsidP="001C4020">
      <w:pPr>
        <w:rPr>
          <w:rFonts w:asciiTheme="majorBidi" w:hAnsiTheme="majorBidi" w:cstheme="majorBidi"/>
          <w:b/>
          <w:bCs/>
          <w:color w:val="000000" w:themeColor="text1"/>
        </w:rPr>
      </w:pPr>
    </w:p>
    <w:p w14:paraId="180679F0" w14:textId="1625E903" w:rsidR="001C4020" w:rsidRPr="00774ABC" w:rsidRDefault="001C4020" w:rsidP="001C4020">
      <w:pPr>
        <w:pStyle w:val="Heading3"/>
        <w:spacing w:before="0" w:after="0"/>
        <w:rPr>
          <w:rFonts w:ascii="Times New Roman" w:hAnsi="Times New Roman" w:cs="Times New Roman"/>
          <w:b/>
          <w:bCs/>
          <w:i/>
          <w:iCs/>
          <w:color w:val="000000" w:themeColor="text1"/>
          <w:sz w:val="24"/>
          <w:szCs w:val="24"/>
        </w:rPr>
      </w:pPr>
      <w:bookmarkStart w:id="5" w:name="_Toc196921676"/>
      <w:r w:rsidRPr="00774ABC">
        <w:rPr>
          <w:rFonts w:ascii="Times New Roman" w:hAnsi="Times New Roman" w:cs="Times New Roman"/>
          <w:b/>
          <w:bCs/>
          <w:i/>
          <w:iCs/>
          <w:color w:val="000000" w:themeColor="text1"/>
          <w:sz w:val="24"/>
          <w:szCs w:val="24"/>
        </w:rPr>
        <w:t xml:space="preserve">Implications for Policy and </w:t>
      </w:r>
      <w:bookmarkEnd w:id="5"/>
      <w:r w:rsidR="00774ABC" w:rsidRPr="00774ABC">
        <w:rPr>
          <w:rFonts w:ascii="Times New Roman" w:hAnsi="Times New Roman" w:cs="Times New Roman"/>
          <w:b/>
          <w:bCs/>
          <w:i/>
          <w:iCs/>
          <w:color w:val="000000" w:themeColor="text1"/>
          <w:sz w:val="24"/>
          <w:szCs w:val="24"/>
        </w:rPr>
        <w:t>Organizations</w:t>
      </w:r>
    </w:p>
    <w:p w14:paraId="152EAA1A" w14:textId="77777777" w:rsidR="001C4020" w:rsidRPr="00D06F42" w:rsidRDefault="001C4020" w:rsidP="001C4020">
      <w:pPr>
        <w:pStyle w:val="NormalWeb"/>
        <w:spacing w:before="0" w:beforeAutospacing="0" w:after="0" w:afterAutospacing="0"/>
        <w:rPr>
          <w:color w:val="000000"/>
        </w:rPr>
      </w:pPr>
      <w:r w:rsidRPr="00D06F42">
        <w:rPr>
          <w:color w:val="000000"/>
        </w:rPr>
        <w:t>This study offers several key implications for both policymakers and organizations. One significant implication points to the power of</w:t>
      </w:r>
      <w:r w:rsidRPr="00D06F42">
        <w:rPr>
          <w:rStyle w:val="apple-converted-space"/>
          <w:rFonts w:eastAsiaTheme="majorEastAsia"/>
          <w:color w:val="000000"/>
        </w:rPr>
        <w:t> </w:t>
      </w:r>
      <w:r w:rsidRPr="00D06F42">
        <w:rPr>
          <w:rStyle w:val="Strong"/>
          <w:rFonts w:eastAsiaTheme="majorEastAsia"/>
          <w:b w:val="0"/>
          <w:bCs w:val="0"/>
          <w:color w:val="000000"/>
        </w:rPr>
        <w:t>predictive analytics for targeted monitoring and intervention</w:t>
      </w:r>
      <w:r w:rsidRPr="00D06F42">
        <w:rPr>
          <w:b/>
          <w:bCs/>
          <w:color w:val="000000"/>
        </w:rPr>
        <w:t xml:space="preserve">. </w:t>
      </w:r>
      <w:r w:rsidRPr="00D06F42">
        <w:rPr>
          <w:color w:val="000000"/>
        </w:rPr>
        <w:t xml:space="preserve">The robust performance of the binary classification model developed in this study suggests that machine learning can be a valuable tool for regulatory bodies like the WGEA. By identifying high-risk employers, such tools could enable more focused audits and interventions, ultimately </w:t>
      </w:r>
      <w:proofErr w:type="gramStart"/>
      <w:r w:rsidRPr="00D06F42">
        <w:rPr>
          <w:color w:val="000000"/>
        </w:rPr>
        <w:t>reducing</w:t>
      </w:r>
      <w:proofErr w:type="gramEnd"/>
      <w:r w:rsidRPr="00D06F42">
        <w:rPr>
          <w:color w:val="000000"/>
        </w:rPr>
        <w:t xml:space="preserve"> resource strain and improving enforcement efficiency (Ridgeway &amp; Wu, 2021). This approach aligns with the growing interest in explainable artificial intelligence (XAI</w:t>
      </w:r>
      <w:r w:rsidRPr="00D06F42">
        <w:rPr>
          <w:rStyle w:val="FootnoteReference"/>
          <w:color w:val="000000"/>
        </w:rPr>
        <w:footnoteReference w:id="2"/>
      </w:r>
      <w:r w:rsidRPr="00D06F42">
        <w:rPr>
          <w:color w:val="000000"/>
        </w:rPr>
        <w:t xml:space="preserve">) and its application in understanding complex social phenomena (Barredo Arrieta </w:t>
      </w:r>
      <w:r w:rsidRPr="00D06F42">
        <w:rPr>
          <w:i/>
          <w:iCs/>
          <w:color w:val="000000"/>
        </w:rPr>
        <w:t>et al.,</w:t>
      </w:r>
      <w:r w:rsidRPr="00D06F42">
        <w:rPr>
          <w:color w:val="000000"/>
        </w:rPr>
        <w:t xml:space="preserve"> 2020; Molnar, 2022).</w:t>
      </w:r>
    </w:p>
    <w:p w14:paraId="3A405381" w14:textId="77777777" w:rsidR="001C4020" w:rsidRPr="00D06F42" w:rsidRDefault="001C4020" w:rsidP="001C4020">
      <w:pPr>
        <w:pStyle w:val="NormalWeb"/>
        <w:spacing w:before="0" w:beforeAutospacing="0" w:after="0" w:afterAutospacing="0"/>
        <w:ind w:firstLine="340"/>
        <w:rPr>
          <w:color w:val="000000"/>
        </w:rPr>
      </w:pPr>
      <w:r w:rsidRPr="00D06F42">
        <w:rPr>
          <w:color w:val="000000"/>
        </w:rPr>
        <w:t>Beyond regulatory oversight, organizations themselves can leverage</w:t>
      </w:r>
      <w:r w:rsidRPr="00D06F42">
        <w:rPr>
          <w:rStyle w:val="apple-converted-space"/>
          <w:rFonts w:eastAsiaTheme="majorEastAsia"/>
          <w:color w:val="000000"/>
        </w:rPr>
        <w:t> </w:t>
      </w:r>
      <w:r w:rsidRPr="00D06F42">
        <w:rPr>
          <w:rStyle w:val="Strong"/>
          <w:rFonts w:eastAsiaTheme="majorEastAsia"/>
          <w:b w:val="0"/>
          <w:bCs w:val="0"/>
          <w:color w:val="000000"/>
        </w:rPr>
        <w:t>predictive modelling for internal use</w:t>
      </w:r>
      <w:r w:rsidRPr="00D06F42">
        <w:rPr>
          <w:b/>
          <w:bCs/>
          <w:color w:val="000000"/>
        </w:rPr>
        <w:t xml:space="preserve">. </w:t>
      </w:r>
      <w:r w:rsidRPr="00D06F42">
        <w:rPr>
          <w:color w:val="000000"/>
        </w:rPr>
        <w:t xml:space="preserve">Applying similar machine learning tools within their own workforce analytics can facilitate the early identification of existing or emerging pay inequities. This proactive approach supports better planning and enhances transparency in internal remuneration processes, contributing to a more equitable pay structure (Tambe </w:t>
      </w:r>
      <w:r w:rsidRPr="00D06F42">
        <w:rPr>
          <w:i/>
          <w:iCs/>
          <w:color w:val="000000"/>
        </w:rPr>
        <w:t>et al.,</w:t>
      </w:r>
      <w:r w:rsidRPr="00D06F42">
        <w:rPr>
          <w:color w:val="000000"/>
        </w:rPr>
        <w:t xml:space="preserve"> 2019). The insights gained can help organizations address potential disparities before they become ingrained, fostering greater </w:t>
      </w:r>
      <w:r w:rsidRPr="00D06F42">
        <w:rPr>
          <w:color w:val="000000"/>
        </w:rPr>
        <w:lastRenderedPageBreak/>
        <w:t>fairness, a concept that underpins much of the literature on gender pay gaps (e.g., Blau &amp; Kahn, 2017).</w:t>
      </w:r>
    </w:p>
    <w:p w14:paraId="50D04E35" w14:textId="77777777" w:rsidR="001C4020" w:rsidRPr="00D06F42" w:rsidRDefault="001C4020" w:rsidP="001C4020">
      <w:pPr>
        <w:pStyle w:val="NormalWeb"/>
        <w:spacing w:before="0" w:beforeAutospacing="0" w:after="0" w:afterAutospacing="0"/>
        <w:ind w:firstLine="340"/>
        <w:rPr>
          <w:color w:val="000000"/>
        </w:rPr>
      </w:pPr>
      <w:r w:rsidRPr="00D06F42">
        <w:rPr>
          <w:color w:val="000000"/>
        </w:rPr>
        <w:t>The findings also strongly emphasize</w:t>
      </w:r>
      <w:r w:rsidRPr="00D06F42">
        <w:rPr>
          <w:rStyle w:val="apple-converted-space"/>
          <w:rFonts w:eastAsiaTheme="majorEastAsia"/>
          <w:color w:val="000000"/>
        </w:rPr>
        <w:t> </w:t>
      </w:r>
      <w:r w:rsidRPr="00D06F42">
        <w:rPr>
          <w:rStyle w:val="Strong"/>
          <w:rFonts w:eastAsiaTheme="majorEastAsia"/>
          <w:b w:val="0"/>
          <w:bCs w:val="0"/>
          <w:color w:val="000000"/>
        </w:rPr>
        <w:t>leadership representation as a key lever</w:t>
      </w:r>
      <w:r w:rsidRPr="00D06F42">
        <w:rPr>
          <w:rStyle w:val="apple-converted-space"/>
          <w:rFonts w:eastAsiaTheme="majorEastAsia"/>
          <w:color w:val="000000"/>
        </w:rPr>
        <w:t> </w:t>
      </w:r>
      <w:r w:rsidRPr="00D06F42">
        <w:rPr>
          <w:color w:val="000000"/>
        </w:rPr>
        <w:t xml:space="preserve">for change. The data underscores the critical role of greater representation of women in senior roles in addressing the gender pay gap. Claudia Goldin’s extensive research demonstrates that much of the persistent gender earnings disparity stems not from initial entry into the workforce but from structural barriers that emerge as careers progress, particularly around leadership trajectories and family-related career interruptions (Goldin, 2017). Organizations striving to reduce their gender pay gaps should therefore prioritize leadership development pathways, implement robust mentoring programs, and ensure succession planning is approached with a strong gender equity lens (Cook &amp; Glass, 2014; </w:t>
      </w:r>
      <w:proofErr w:type="spellStart"/>
      <w:r w:rsidRPr="00D06F42">
        <w:rPr>
          <w:color w:val="000000"/>
        </w:rPr>
        <w:t>Eagly</w:t>
      </w:r>
      <w:proofErr w:type="spellEnd"/>
      <w:r w:rsidRPr="00D06F42">
        <w:rPr>
          <w:color w:val="000000"/>
        </w:rPr>
        <w:t xml:space="preserve"> &amp; Carli, 2007; Ely et al., 2011). Furthermore, regulatory bodies like the WGEA or other governing bodies could consider implementing governance targets, disclosure requirements, or incentives to encourage gender balance at executive levels, thereby supporting broader aspirations for gender pay gap reduction (Fitzsimmons </w:t>
      </w:r>
      <w:r w:rsidRPr="00D06F42">
        <w:rPr>
          <w:i/>
          <w:iCs/>
          <w:color w:val="000000"/>
        </w:rPr>
        <w:t>et al.,</w:t>
      </w:r>
      <w:r w:rsidRPr="00D06F42">
        <w:rPr>
          <w:color w:val="000000"/>
        </w:rPr>
        <w:t xml:space="preserve"> 2021; </w:t>
      </w:r>
      <w:proofErr w:type="spellStart"/>
      <w:r w:rsidRPr="00D06F42">
        <w:rPr>
          <w:color w:val="000000"/>
        </w:rPr>
        <w:t>Georgeac</w:t>
      </w:r>
      <w:proofErr w:type="spellEnd"/>
      <w:r w:rsidRPr="00D06F42">
        <w:rPr>
          <w:color w:val="000000"/>
        </w:rPr>
        <w:t xml:space="preserve"> &amp; Rattan, 2019).</w:t>
      </w:r>
    </w:p>
    <w:p w14:paraId="625538FE" w14:textId="77777777" w:rsidR="001C4020" w:rsidRPr="00D06F42" w:rsidRDefault="001C4020" w:rsidP="001C4020">
      <w:pPr>
        <w:pStyle w:val="NormalWeb"/>
        <w:spacing w:before="0" w:beforeAutospacing="0" w:after="0" w:afterAutospacing="0"/>
        <w:ind w:firstLine="340"/>
        <w:rPr>
          <w:color w:val="000000"/>
        </w:rPr>
      </w:pPr>
      <w:r w:rsidRPr="00D06F42">
        <w:rPr>
          <w:color w:val="000000"/>
        </w:rPr>
        <w:t>Crucially, the study highlights that</w:t>
      </w:r>
      <w:r w:rsidRPr="00D06F42">
        <w:rPr>
          <w:rStyle w:val="apple-converted-space"/>
          <w:rFonts w:eastAsiaTheme="majorEastAsia"/>
          <w:color w:val="000000"/>
        </w:rPr>
        <w:t> </w:t>
      </w:r>
      <w:r w:rsidRPr="00D06F42">
        <w:rPr>
          <w:rStyle w:val="Strong"/>
          <w:rFonts w:eastAsiaTheme="majorEastAsia"/>
          <w:b w:val="0"/>
          <w:bCs w:val="0"/>
          <w:color w:val="000000"/>
        </w:rPr>
        <w:t>policy implementation requires cultural change</w:t>
      </w:r>
      <w:r w:rsidRPr="00D06F42">
        <w:rPr>
          <w:b/>
          <w:bCs/>
          <w:color w:val="000000"/>
        </w:rPr>
        <w:t>.</w:t>
      </w:r>
      <w:r w:rsidRPr="00D06F42">
        <w:rPr>
          <w:color w:val="000000"/>
        </w:rPr>
        <w:t xml:space="preserve"> The observed association between higher gender pay gaps and the presence of flexibility-related policies suggests that merely implementing policies is insufficient. Without a broader shift in organizational culture and accountability, such initiatives may not achieve their intended outcomes (Kelan, 2009; Williams </w:t>
      </w:r>
      <w:r w:rsidRPr="00D06F42">
        <w:rPr>
          <w:i/>
          <w:iCs/>
          <w:color w:val="000000"/>
        </w:rPr>
        <w:t>et al.,</w:t>
      </w:r>
      <w:r w:rsidRPr="00D06F42">
        <w:rPr>
          <w:color w:val="000000"/>
        </w:rPr>
        <w:t xml:space="preserve"> 2013). This aligns with Acker's (2006) concept of inequality regimes, where deeply embedded organizational practices and cultures can perpetuate disparities despite formal policies. A related structural concern here is the </w:t>
      </w:r>
      <w:r w:rsidRPr="00D06F42">
        <w:rPr>
          <w:i/>
          <w:iCs/>
          <w:color w:val="000000"/>
        </w:rPr>
        <w:t>part-time penalty</w:t>
      </w:r>
      <w:r w:rsidRPr="00D06F42">
        <w:rPr>
          <w:color w:val="000000"/>
        </w:rPr>
        <w:t xml:space="preserve">, which </w:t>
      </w:r>
      <w:proofErr w:type="spellStart"/>
      <w:r w:rsidRPr="00D06F42">
        <w:rPr>
          <w:color w:val="000000"/>
        </w:rPr>
        <w:t>Coelli</w:t>
      </w:r>
      <w:proofErr w:type="spellEnd"/>
      <w:r w:rsidRPr="00D06F42">
        <w:rPr>
          <w:color w:val="000000"/>
        </w:rPr>
        <w:t xml:space="preserve"> (2022) quantifies at approximately 14% of hourly wages, even after accounting for human capital factors. Because part-time roles are disproportionately taken up by women, this penalty compounds over careers, limiting opportunities for development and advancement and entrenching cumulative disadvantage. The persistence of this penalty highlights why cultural change must go beyond formal provisions which suggest a need to address the "flexibility stigma" (Cech &amp; Blair-Loy, 2014; Lott &amp; Klenner, 2018) that can undermine the effectiveness of work-life balance initiatives (Abendroth &amp; Den </w:t>
      </w:r>
      <w:proofErr w:type="spellStart"/>
      <w:r w:rsidRPr="00D06F42">
        <w:rPr>
          <w:color w:val="000000"/>
        </w:rPr>
        <w:t>Dulk</w:t>
      </w:r>
      <w:proofErr w:type="spellEnd"/>
      <w:r w:rsidRPr="00D06F42">
        <w:rPr>
          <w:color w:val="000000"/>
        </w:rPr>
        <w:t>, 2011).</w:t>
      </w:r>
    </w:p>
    <w:p w14:paraId="7A785E22" w14:textId="77777777" w:rsidR="001C4020" w:rsidRPr="00D06F42" w:rsidRDefault="001C4020" w:rsidP="001C4020">
      <w:pPr>
        <w:pStyle w:val="NormalWeb"/>
        <w:spacing w:before="0" w:beforeAutospacing="0" w:after="0" w:afterAutospacing="0"/>
        <w:ind w:firstLine="340"/>
        <w:rPr>
          <w:color w:val="000000"/>
        </w:rPr>
      </w:pPr>
      <w:r w:rsidRPr="00D06F42">
        <w:rPr>
          <w:color w:val="000000"/>
        </w:rPr>
        <w:t>Finally, the consistent observation of higher gender pay gaps in industries such as Construction, Mining, and Finance underscores the necessity for</w:t>
      </w:r>
      <w:r w:rsidRPr="00D06F42">
        <w:rPr>
          <w:rStyle w:val="apple-converted-space"/>
          <w:rFonts w:eastAsiaTheme="majorEastAsia"/>
          <w:color w:val="000000"/>
        </w:rPr>
        <w:t> </w:t>
      </w:r>
      <w:r w:rsidRPr="00D06F42">
        <w:rPr>
          <w:rStyle w:val="Strong"/>
          <w:rFonts w:eastAsiaTheme="majorEastAsia"/>
          <w:b w:val="0"/>
          <w:bCs w:val="0"/>
          <w:color w:val="000000"/>
        </w:rPr>
        <w:t>industry-specific strategies</w:t>
      </w:r>
      <w:r w:rsidRPr="00D06F42">
        <w:rPr>
          <w:b/>
          <w:bCs/>
          <w:color w:val="000000"/>
        </w:rPr>
        <w:t>.</w:t>
      </w:r>
      <w:r w:rsidRPr="00D06F42">
        <w:rPr>
          <w:color w:val="000000"/>
        </w:rPr>
        <w:t xml:space="preserve"> This finding indicates that universal approaches may not be effective, and instead, interventions need to be tailored to address the unique sectoral drivers of inequity (Mandel &amp; Semyonov, 2014; Galea </w:t>
      </w:r>
      <w:r w:rsidRPr="00D06F42">
        <w:rPr>
          <w:i/>
          <w:iCs/>
          <w:color w:val="000000"/>
        </w:rPr>
        <w:t>et al.,</w:t>
      </w:r>
      <w:r w:rsidRPr="00D06F42">
        <w:rPr>
          <w:color w:val="000000"/>
        </w:rPr>
        <w:t xml:space="preserve"> 2015). To assist organizations in this </w:t>
      </w:r>
      <w:proofErr w:type="spellStart"/>
      <w:r w:rsidRPr="00D06F42">
        <w:rPr>
          <w:color w:val="000000"/>
        </w:rPr>
        <w:t>endeavour</w:t>
      </w:r>
      <w:proofErr w:type="spellEnd"/>
      <w:r w:rsidRPr="00D06F42">
        <w:rPr>
          <w:color w:val="000000"/>
        </w:rPr>
        <w:t>, a Gender Pay Gap Risk Assessment Heat Map Analysis</w:t>
      </w:r>
      <w:r w:rsidRPr="00D06F42">
        <w:rPr>
          <w:rStyle w:val="FootnoteReference"/>
          <w:color w:val="000000"/>
        </w:rPr>
        <w:footnoteReference w:id="3"/>
      </w:r>
      <w:r w:rsidRPr="00D06F42">
        <w:rPr>
          <w:color w:val="000000"/>
        </w:rPr>
        <w:t xml:space="preserve"> (Appendix A) can help visualize their specific position within their industry and identify appropriate, targeted interventions.</w:t>
      </w:r>
    </w:p>
    <w:p w14:paraId="62CAB27F" w14:textId="77777777" w:rsidR="001C4020" w:rsidRPr="00D06F42" w:rsidRDefault="001C4020" w:rsidP="001C4020">
      <w:pPr>
        <w:rPr>
          <w:rFonts w:asciiTheme="majorBidi" w:hAnsiTheme="majorBidi" w:cstheme="majorBidi"/>
          <w:b/>
          <w:bCs/>
          <w:color w:val="000000" w:themeColor="text1"/>
        </w:rPr>
      </w:pPr>
    </w:p>
    <w:p w14:paraId="1A61CAD5" w14:textId="77777777" w:rsidR="00774ABC" w:rsidRDefault="00774ABC" w:rsidP="00253690">
      <w:pPr>
        <w:pStyle w:val="Heading3"/>
        <w:spacing w:before="0" w:after="0"/>
        <w:rPr>
          <w:rFonts w:ascii="Times New Roman" w:hAnsi="Times New Roman" w:cs="Times New Roman"/>
          <w:i/>
          <w:iCs/>
          <w:color w:val="000000" w:themeColor="text1"/>
          <w:sz w:val="24"/>
          <w:szCs w:val="24"/>
          <w:lang w:eastAsia="en-GB"/>
        </w:rPr>
      </w:pPr>
      <w:bookmarkStart w:id="6" w:name="_Toc196921677"/>
    </w:p>
    <w:p w14:paraId="2FDB9D83" w14:textId="4768CBDD" w:rsidR="00253690" w:rsidRPr="00774ABC" w:rsidRDefault="00253690" w:rsidP="00253690">
      <w:pPr>
        <w:pStyle w:val="Heading3"/>
        <w:spacing w:before="0" w:after="0"/>
        <w:rPr>
          <w:rFonts w:ascii="Times New Roman" w:hAnsi="Times New Roman" w:cs="Times New Roman"/>
          <w:b/>
          <w:bCs/>
          <w:i/>
          <w:iCs/>
          <w:color w:val="000000" w:themeColor="text1"/>
          <w:sz w:val="24"/>
          <w:szCs w:val="24"/>
          <w:lang w:eastAsia="en-GB"/>
        </w:rPr>
      </w:pPr>
      <w:r w:rsidRPr="00774ABC">
        <w:rPr>
          <w:rFonts w:ascii="Times New Roman" w:hAnsi="Times New Roman" w:cs="Times New Roman"/>
          <w:b/>
          <w:bCs/>
          <w:i/>
          <w:iCs/>
          <w:color w:val="000000" w:themeColor="text1"/>
          <w:sz w:val="24"/>
          <w:szCs w:val="24"/>
          <w:lang w:eastAsia="en-GB"/>
        </w:rPr>
        <w:t>Limitations</w:t>
      </w:r>
      <w:bookmarkEnd w:id="6"/>
    </w:p>
    <w:p w14:paraId="74E35E8C" w14:textId="77777777" w:rsidR="00253690" w:rsidRPr="00D06F42" w:rsidRDefault="00253690" w:rsidP="00253690">
      <w:pPr>
        <w:pStyle w:val="NormalWeb"/>
        <w:spacing w:before="0" w:beforeAutospacing="0" w:after="0" w:afterAutospacing="0"/>
        <w:rPr>
          <w:color w:val="000000"/>
        </w:rPr>
      </w:pPr>
      <w:r w:rsidRPr="00D06F42">
        <w:rPr>
          <w:color w:val="000000"/>
        </w:rPr>
        <w:t xml:space="preserve">While the models used in this study demonstrated strong predictive performance in identifying factors associated with the gender pay gap, several limitations warrant consideration when interpreting the results. One key limitation </w:t>
      </w:r>
      <w:proofErr w:type="gramStart"/>
      <w:r w:rsidRPr="00D06F42">
        <w:rPr>
          <w:color w:val="000000"/>
        </w:rPr>
        <w:t>stems</w:t>
      </w:r>
      <w:proofErr w:type="gramEnd"/>
      <w:r w:rsidRPr="00D06F42">
        <w:rPr>
          <w:color w:val="000000"/>
        </w:rPr>
        <w:t xml:space="preserve"> from the</w:t>
      </w:r>
      <w:r w:rsidRPr="00D06F42">
        <w:rPr>
          <w:rStyle w:val="apple-converted-space"/>
          <w:rFonts w:eastAsiaTheme="majorEastAsia"/>
          <w:color w:val="000000"/>
        </w:rPr>
        <w:t> </w:t>
      </w:r>
      <w:r w:rsidRPr="00D06F42">
        <w:rPr>
          <w:rStyle w:val="Strong"/>
          <w:rFonts w:eastAsiaTheme="majorEastAsia"/>
          <w:b w:val="0"/>
          <w:bCs w:val="0"/>
          <w:color w:val="000000"/>
        </w:rPr>
        <w:t>dataset scope</w:t>
      </w:r>
      <w:r w:rsidRPr="00D06F42">
        <w:rPr>
          <w:b/>
          <w:bCs/>
          <w:color w:val="000000"/>
        </w:rPr>
        <w:t>.</w:t>
      </w:r>
      <w:r w:rsidRPr="00D06F42">
        <w:rPr>
          <w:color w:val="000000"/>
        </w:rPr>
        <w:t xml:space="preserve"> The WGEA dataset, which formed the basis of the analysis, excludes small businesses and public sector organizations with fewer than 100 employees. This exclusion limits the generalizability of the findings to the broader Australian economy, as it does not capture the dynamics within a significant portion of the workforce. Furthermore, the dataset does not account for workers in the gig economy (short-term, casual, and contract </w:t>
      </w:r>
      <w:proofErr w:type="spellStart"/>
      <w:r w:rsidRPr="00D06F42">
        <w:rPr>
          <w:color w:val="000000"/>
        </w:rPr>
        <w:t>labour</w:t>
      </w:r>
      <w:proofErr w:type="spellEnd"/>
      <w:r w:rsidRPr="00D06F42">
        <w:rPr>
          <w:color w:val="000000"/>
        </w:rPr>
        <w:t xml:space="preserve">-based work) or those engaged in unpaid </w:t>
      </w:r>
      <w:proofErr w:type="spellStart"/>
      <w:r w:rsidRPr="00D06F42">
        <w:rPr>
          <w:color w:val="000000"/>
        </w:rPr>
        <w:t>labour</w:t>
      </w:r>
      <w:proofErr w:type="spellEnd"/>
      <w:r w:rsidRPr="00D06F42">
        <w:rPr>
          <w:color w:val="000000"/>
        </w:rPr>
        <w:t>. This is particularly relevant given that many traditionally feminized occupations, such as clerical work, data entry, and caregiving, are often found within these sectors. The absence of these workers from the analysis may skew the overall Australian gender pay gap figures and may overlook important insights into potential improvement strategies (</w:t>
      </w:r>
      <w:proofErr w:type="spellStart"/>
      <w:r w:rsidRPr="00D06F42">
        <w:rPr>
          <w:color w:val="000000"/>
        </w:rPr>
        <w:t>Coelli</w:t>
      </w:r>
      <w:proofErr w:type="spellEnd"/>
      <w:r w:rsidRPr="00D06F42">
        <w:rPr>
          <w:color w:val="000000"/>
        </w:rPr>
        <w:t xml:space="preserve">, 2022). </w:t>
      </w:r>
    </w:p>
    <w:p w14:paraId="51AF0CC1" w14:textId="77777777" w:rsidR="00253690" w:rsidRPr="00D06F42" w:rsidRDefault="00253690" w:rsidP="00253690">
      <w:pPr>
        <w:pStyle w:val="NormalWeb"/>
        <w:spacing w:before="0" w:beforeAutospacing="0" w:after="0" w:afterAutospacing="0"/>
        <w:ind w:firstLine="340"/>
        <w:rPr>
          <w:color w:val="000000"/>
        </w:rPr>
      </w:pPr>
      <w:r w:rsidRPr="00D06F42">
        <w:rPr>
          <w:color w:val="000000"/>
        </w:rPr>
        <w:t xml:space="preserve">The dataset does not provide consistent information on the number of specific measures, the extent of employee uptake, or the proportion of employees </w:t>
      </w:r>
      <w:proofErr w:type="spellStart"/>
      <w:r w:rsidRPr="00D06F42">
        <w:rPr>
          <w:color w:val="000000"/>
        </w:rPr>
        <w:t>utilising</w:t>
      </w:r>
      <w:proofErr w:type="spellEnd"/>
      <w:r w:rsidRPr="00D06F42">
        <w:rPr>
          <w:color w:val="000000"/>
        </w:rPr>
        <w:t xml:space="preserve"> these arrangements at the employer level. Consequently, the analysis captures the existence of policies rather than their intensity or usage. Therefore, we should note that the observed positive association between these policies and higher GPGs should be interpreted as reflecting structural or cultural dynamics, rather than policy effectiveness per se.</w:t>
      </w:r>
    </w:p>
    <w:p w14:paraId="43893788" w14:textId="77777777" w:rsidR="00253690" w:rsidRPr="00D06F42" w:rsidRDefault="00253690" w:rsidP="00253690">
      <w:pPr>
        <w:pStyle w:val="NormalWeb"/>
        <w:spacing w:before="0" w:beforeAutospacing="0" w:after="0" w:afterAutospacing="0"/>
        <w:ind w:firstLine="340"/>
        <w:rPr>
          <w:color w:val="000000"/>
        </w:rPr>
      </w:pPr>
      <w:r w:rsidRPr="00D06F42">
        <w:rPr>
          <w:color w:val="000000"/>
        </w:rPr>
        <w:t>Another limitation relates to the</w:t>
      </w:r>
      <w:r w:rsidRPr="00D06F42">
        <w:rPr>
          <w:rStyle w:val="apple-converted-space"/>
          <w:rFonts w:eastAsiaTheme="majorEastAsia"/>
          <w:color w:val="000000"/>
        </w:rPr>
        <w:t> </w:t>
      </w:r>
      <w:r w:rsidRPr="00D06F42">
        <w:rPr>
          <w:rStyle w:val="Strong"/>
          <w:rFonts w:eastAsiaTheme="majorEastAsia"/>
          <w:b w:val="0"/>
          <w:bCs w:val="0"/>
          <w:color w:val="000000"/>
        </w:rPr>
        <w:t>depth and exclusion of variables</w:t>
      </w:r>
      <w:r w:rsidRPr="00D06F42">
        <w:rPr>
          <w:color w:val="000000"/>
        </w:rPr>
        <w:t xml:space="preserve">. The WGEA data, and consequently the modelling, does not account for potentially important individual-level factors such as tenure, educational background, ethnicity, disability, or specific job roles. The omission of these variables may oversimplify the complex interplay of factors that contribute to the gender pay gap and may underestimate the true complexity of its determinants. </w:t>
      </w:r>
    </w:p>
    <w:p w14:paraId="2FFE8BC6" w14:textId="77777777" w:rsidR="00253690" w:rsidRPr="00D06F42" w:rsidRDefault="00253690" w:rsidP="001C4020">
      <w:pPr>
        <w:rPr>
          <w:rFonts w:asciiTheme="majorBidi" w:hAnsiTheme="majorBidi" w:cstheme="majorBidi"/>
          <w:b/>
          <w:bCs/>
          <w:color w:val="000000" w:themeColor="text1"/>
        </w:rPr>
      </w:pPr>
    </w:p>
    <w:p w14:paraId="73858540" w14:textId="6F81B796" w:rsidR="005A38CE" w:rsidRPr="00774ABC" w:rsidRDefault="005A38CE" w:rsidP="005A38CE">
      <w:pPr>
        <w:rPr>
          <w:b/>
          <w:bCs/>
          <w:i/>
          <w:iCs/>
          <w:color w:val="000000" w:themeColor="text1"/>
        </w:rPr>
      </w:pPr>
      <w:r w:rsidRPr="00774ABC">
        <w:rPr>
          <w:b/>
          <w:bCs/>
          <w:i/>
          <w:iCs/>
          <w:color w:val="000000" w:themeColor="text1"/>
        </w:rPr>
        <w:t>Future research directions</w:t>
      </w:r>
    </w:p>
    <w:p w14:paraId="6455DC9D" w14:textId="77777777" w:rsidR="005A38CE" w:rsidRPr="00D06F42" w:rsidRDefault="005A38CE" w:rsidP="005A38CE">
      <w:pPr>
        <w:pStyle w:val="NormalWeb"/>
        <w:spacing w:before="0" w:beforeAutospacing="0" w:after="0" w:afterAutospacing="0"/>
        <w:rPr>
          <w:color w:val="000000"/>
        </w:rPr>
      </w:pPr>
      <w:bookmarkStart w:id="7" w:name="_Toc196921679"/>
      <w:r w:rsidRPr="00D06F42">
        <w:rPr>
          <w:color w:val="000000"/>
        </w:rPr>
        <w:t>Building upon the findings and acknowledging the limitations of this study, several promising avenues for future research emerge. One important direction is</w:t>
      </w:r>
      <w:r w:rsidRPr="00D06F42">
        <w:rPr>
          <w:rStyle w:val="apple-converted-space"/>
          <w:rFonts w:eastAsiaTheme="majorEastAsia"/>
          <w:color w:val="000000"/>
        </w:rPr>
        <w:t> </w:t>
      </w:r>
      <w:r w:rsidRPr="00D06F42">
        <w:rPr>
          <w:rStyle w:val="Strong"/>
          <w:rFonts w:eastAsiaTheme="majorEastAsia"/>
          <w:b w:val="0"/>
          <w:bCs w:val="0"/>
          <w:color w:val="000000"/>
        </w:rPr>
        <w:t>longitudinal analysis</w:t>
      </w:r>
      <w:r w:rsidRPr="00D06F42">
        <w:rPr>
          <w:b/>
          <w:bCs/>
          <w:color w:val="000000"/>
        </w:rPr>
        <w:t xml:space="preserve">. </w:t>
      </w:r>
      <w:r w:rsidRPr="00D06F42">
        <w:rPr>
          <w:color w:val="000000"/>
        </w:rPr>
        <w:t xml:space="preserve">Examining how structural predictors of gender pay gaps evolve over time could provide valuable insights into the effectiveness of policy interventions and organizational changes (Charlesworth &amp; Smith, 2018). Tracking changes over time would allow researchers to assess whether specific policies or initiatives </w:t>
      </w:r>
      <w:proofErr w:type="gramStart"/>
      <w:r w:rsidRPr="00D06F42">
        <w:rPr>
          <w:color w:val="000000"/>
        </w:rPr>
        <w:t>actually lead</w:t>
      </w:r>
      <w:proofErr w:type="gramEnd"/>
      <w:r w:rsidRPr="00D06F42">
        <w:rPr>
          <w:color w:val="000000"/>
        </w:rPr>
        <w:t xml:space="preserve"> to a reduction in the gender pay gap, or whether other factors are at play.</w:t>
      </w:r>
    </w:p>
    <w:p w14:paraId="4CFD5052" w14:textId="77777777" w:rsidR="005A38CE" w:rsidRPr="00D06F42" w:rsidRDefault="005A38CE" w:rsidP="005A38CE">
      <w:pPr>
        <w:pStyle w:val="NormalWeb"/>
        <w:spacing w:before="0" w:beforeAutospacing="0" w:after="0" w:afterAutospacing="0"/>
        <w:ind w:firstLine="340"/>
        <w:rPr>
          <w:color w:val="000000"/>
        </w:rPr>
      </w:pPr>
      <w:r w:rsidRPr="00D06F42">
        <w:rPr>
          <w:color w:val="000000"/>
        </w:rPr>
        <w:t>Another crucial area for future research is</w:t>
      </w:r>
      <w:r w:rsidRPr="00D06F42">
        <w:rPr>
          <w:rStyle w:val="apple-converted-space"/>
          <w:rFonts w:eastAsiaTheme="majorEastAsia"/>
          <w:color w:val="000000"/>
        </w:rPr>
        <w:t> </w:t>
      </w:r>
      <w:r w:rsidRPr="00D06F42">
        <w:rPr>
          <w:rStyle w:val="Strong"/>
          <w:rFonts w:eastAsiaTheme="majorEastAsia"/>
          <w:b w:val="0"/>
          <w:bCs w:val="0"/>
          <w:color w:val="000000"/>
        </w:rPr>
        <w:t>intersectional approaches</w:t>
      </w:r>
      <w:r w:rsidRPr="00D06F42">
        <w:rPr>
          <w:b/>
          <w:bCs/>
          <w:color w:val="000000"/>
        </w:rPr>
        <w:t>.</w:t>
      </w:r>
      <w:r w:rsidRPr="00D06F42">
        <w:rPr>
          <w:color w:val="000000"/>
        </w:rPr>
        <w:t xml:space="preserve"> Extending predictive models to account for the intersections of gender with other identity factors, such as age, ethnicity, and disability, could provide a more nuanced and comprehensive understanding of gender pay disparity in Australia (Baxter &amp; Hewitt, 2021). This approach recognizes that the experience of gender inequality is not uniform and that individuals may face multiple forms of disadvantage based on their intersecting identities.</w:t>
      </w:r>
    </w:p>
    <w:p w14:paraId="2CFF3919" w14:textId="77777777" w:rsidR="005A38CE" w:rsidRPr="00D06F42" w:rsidRDefault="005A38CE" w:rsidP="005A38CE">
      <w:pPr>
        <w:pStyle w:val="NormalWeb"/>
        <w:spacing w:before="0" w:beforeAutospacing="0" w:after="0" w:afterAutospacing="0"/>
        <w:ind w:firstLine="340"/>
        <w:rPr>
          <w:color w:val="000000"/>
        </w:rPr>
      </w:pPr>
      <w:r w:rsidRPr="00D06F42">
        <w:rPr>
          <w:color w:val="000000"/>
        </w:rPr>
        <w:t>Finally, future research should prioritize the</w:t>
      </w:r>
      <w:r w:rsidRPr="00D06F42">
        <w:rPr>
          <w:rStyle w:val="apple-converted-space"/>
          <w:rFonts w:eastAsiaTheme="majorEastAsia"/>
          <w:color w:val="000000"/>
        </w:rPr>
        <w:t> </w:t>
      </w:r>
      <w:r w:rsidRPr="00D06F42">
        <w:rPr>
          <w:rStyle w:val="Strong"/>
          <w:rFonts w:eastAsiaTheme="majorEastAsia"/>
          <w:b w:val="0"/>
          <w:bCs w:val="0"/>
          <w:color w:val="000000"/>
        </w:rPr>
        <w:t xml:space="preserve">integration of small businesses, the gig economy, and unpaid </w:t>
      </w:r>
      <w:proofErr w:type="spellStart"/>
      <w:r w:rsidRPr="00D06F42">
        <w:rPr>
          <w:rStyle w:val="Strong"/>
          <w:rFonts w:eastAsiaTheme="majorEastAsia"/>
          <w:b w:val="0"/>
          <w:bCs w:val="0"/>
          <w:color w:val="000000"/>
        </w:rPr>
        <w:t>labour</w:t>
      </w:r>
      <w:proofErr w:type="spellEnd"/>
      <w:r w:rsidRPr="00D06F42">
        <w:rPr>
          <w:rStyle w:val="apple-converted-space"/>
          <w:rFonts w:eastAsiaTheme="majorEastAsia"/>
          <w:b/>
          <w:bCs/>
          <w:color w:val="000000"/>
        </w:rPr>
        <w:t> </w:t>
      </w:r>
      <w:r w:rsidRPr="00D06F42">
        <w:rPr>
          <w:color w:val="000000"/>
        </w:rPr>
        <w:t>into the analysis of the gender pay gap. Developing specialized metrics to capture how non-standard employment arrangements contribute to gender pay disparities is essential, given that these sectors are currently missing from existing datasets (Wooden, 2017). Understanding the dynamics of the gender pay gap in these sectors is critical for developing effective and inclusive policies aimed at achieving gender pay equity across the entire Australian workforce.</w:t>
      </w:r>
      <w:bookmarkEnd w:id="7"/>
    </w:p>
    <w:p w14:paraId="1656D376" w14:textId="77777777" w:rsidR="00253690" w:rsidRDefault="00253690" w:rsidP="001C4020">
      <w:pPr>
        <w:rPr>
          <w:rFonts w:asciiTheme="majorBidi" w:hAnsiTheme="majorBidi" w:cstheme="majorBidi"/>
          <w:b/>
          <w:bCs/>
          <w:color w:val="000000" w:themeColor="text1"/>
        </w:rPr>
      </w:pPr>
    </w:p>
    <w:p w14:paraId="7E0BADA8" w14:textId="77777777" w:rsidR="00453D88" w:rsidRDefault="00453D88" w:rsidP="00453D88">
      <w:pPr>
        <w:widowControl w:val="0"/>
        <w:rPr>
          <w:rFonts w:asciiTheme="majorBidi" w:hAnsiTheme="majorBidi" w:cstheme="majorBidi"/>
          <w:b/>
          <w:bCs/>
          <w:color w:val="000000" w:themeColor="text1"/>
        </w:rPr>
      </w:pPr>
      <w:r>
        <w:rPr>
          <w:rFonts w:asciiTheme="majorBidi" w:hAnsiTheme="majorBidi" w:cstheme="majorBidi"/>
          <w:b/>
          <w:bCs/>
          <w:color w:val="000000" w:themeColor="text1"/>
        </w:rPr>
        <w:t>Figure S1</w:t>
      </w:r>
    </w:p>
    <w:p w14:paraId="0BF39F7F" w14:textId="77777777" w:rsidR="00A6456D" w:rsidRPr="0026339A" w:rsidRDefault="00A6456D" w:rsidP="00A6456D">
      <w:pPr>
        <w:pStyle w:val="Heading3"/>
        <w:spacing w:before="0" w:after="0"/>
        <w:rPr>
          <w:rFonts w:ascii="Times New Roman" w:hAnsi="Times New Roman" w:cs="Times New Roman"/>
          <w:sz w:val="22"/>
          <w:szCs w:val="22"/>
        </w:rPr>
      </w:pPr>
      <w:bookmarkStart w:id="8" w:name="_Toc196718186"/>
      <w:bookmarkStart w:id="9" w:name="_Toc196921688"/>
      <w:r w:rsidRPr="0026339A">
        <w:rPr>
          <w:rFonts w:ascii="Times New Roman" w:hAnsi="Times New Roman" w:cs="Times New Roman"/>
          <w:sz w:val="22"/>
          <w:szCs w:val="22"/>
        </w:rPr>
        <w:t>Gender Pay Gap Risk Assessment Heat Map Analysis</w:t>
      </w:r>
      <w:bookmarkEnd w:id="8"/>
      <w:bookmarkEnd w:id="9"/>
    </w:p>
    <w:p w14:paraId="1C3A89EE" w14:textId="77777777" w:rsidR="00A6456D" w:rsidRPr="0026339A" w:rsidRDefault="00A6456D" w:rsidP="00A6456D">
      <w:pPr>
        <w:ind w:firstLine="340"/>
        <w:rPr>
          <w:sz w:val="22"/>
          <w:szCs w:val="22"/>
        </w:rPr>
      </w:pPr>
    </w:p>
    <w:p w14:paraId="0CCA2B2F" w14:textId="77777777" w:rsidR="00A6456D" w:rsidRPr="0026339A" w:rsidRDefault="00A6456D" w:rsidP="00A6456D">
      <w:pPr>
        <w:ind w:firstLine="340"/>
        <w:rPr>
          <w:sz w:val="22"/>
          <w:szCs w:val="22"/>
        </w:rPr>
      </w:pPr>
      <w:r w:rsidRPr="0026339A">
        <w:rPr>
          <w:noProof/>
          <w:sz w:val="22"/>
          <w:szCs w:val="22"/>
        </w:rPr>
        <w:drawing>
          <wp:inline distT="0" distB="0" distL="0" distR="0" wp14:anchorId="7805E097" wp14:editId="1A7702A6">
            <wp:extent cx="6171857" cy="4387174"/>
            <wp:effectExtent l="0" t="0" r="635" b="0"/>
            <wp:docPr id="624990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00150" cy="4407286"/>
                    </a:xfrm>
                    <a:prstGeom prst="rect">
                      <a:avLst/>
                    </a:prstGeom>
                    <a:noFill/>
                    <a:ln>
                      <a:noFill/>
                    </a:ln>
                  </pic:spPr>
                </pic:pic>
              </a:graphicData>
            </a:graphic>
          </wp:inline>
        </w:drawing>
      </w:r>
    </w:p>
    <w:p w14:paraId="42E754A2" w14:textId="77777777" w:rsidR="00A6456D" w:rsidRPr="0026339A" w:rsidRDefault="00A6456D" w:rsidP="00A6456D">
      <w:pPr>
        <w:ind w:firstLine="340"/>
        <w:rPr>
          <w:sz w:val="22"/>
          <w:szCs w:val="22"/>
        </w:rPr>
      </w:pPr>
    </w:p>
    <w:p w14:paraId="3FA6AB49" w14:textId="77777777" w:rsidR="00A6456D" w:rsidRPr="0026339A" w:rsidRDefault="00A6456D" w:rsidP="00A6456D">
      <w:pPr>
        <w:pStyle w:val="Caption"/>
        <w:jc w:val="center"/>
        <w:rPr>
          <w:rFonts w:ascii="Times New Roman" w:hAnsi="Times New Roman" w:cs="Times New Roman"/>
          <w:sz w:val="22"/>
        </w:rPr>
      </w:pPr>
      <w:r>
        <w:t xml:space="preserve">Source: Authors’ </w:t>
      </w:r>
      <w:proofErr w:type="gramStart"/>
      <w:r>
        <w:t>own</w:t>
      </w:r>
      <w:proofErr w:type="gramEnd"/>
      <w:r>
        <w:t xml:space="preserve"> work.</w:t>
      </w:r>
    </w:p>
    <w:p w14:paraId="049FB5BC" w14:textId="77777777" w:rsidR="00453D88" w:rsidRDefault="00453D88" w:rsidP="00A6456D">
      <w:pPr>
        <w:widowControl w:val="0"/>
      </w:pPr>
    </w:p>
    <w:p w14:paraId="43C86896" w14:textId="77777777" w:rsidR="00A6456D" w:rsidRDefault="00A6456D" w:rsidP="00A6456D">
      <w:pPr>
        <w:widowControl w:val="0"/>
      </w:pPr>
    </w:p>
    <w:p w14:paraId="7BD62B8C" w14:textId="77777777" w:rsidR="00A6456D" w:rsidRDefault="00A6456D" w:rsidP="00A6456D">
      <w:pPr>
        <w:widowControl w:val="0"/>
      </w:pPr>
    </w:p>
    <w:p w14:paraId="6CD888DB" w14:textId="77777777" w:rsidR="00A6456D" w:rsidRDefault="00A6456D" w:rsidP="00A6456D">
      <w:pPr>
        <w:widowControl w:val="0"/>
      </w:pPr>
    </w:p>
    <w:p w14:paraId="0D7456BD" w14:textId="77777777" w:rsidR="00A6456D" w:rsidRDefault="00A6456D" w:rsidP="00A6456D">
      <w:pPr>
        <w:widowControl w:val="0"/>
      </w:pPr>
    </w:p>
    <w:p w14:paraId="2CE0EDD4" w14:textId="77777777" w:rsidR="00A6456D" w:rsidRDefault="00A6456D" w:rsidP="00A6456D">
      <w:pPr>
        <w:widowControl w:val="0"/>
      </w:pPr>
    </w:p>
    <w:p w14:paraId="3770097C" w14:textId="77777777" w:rsidR="00A6456D" w:rsidRDefault="00A6456D" w:rsidP="00A6456D">
      <w:pPr>
        <w:widowControl w:val="0"/>
      </w:pPr>
    </w:p>
    <w:p w14:paraId="10B5A93D" w14:textId="77777777" w:rsidR="00A6456D" w:rsidRDefault="00A6456D" w:rsidP="00A6456D">
      <w:pPr>
        <w:widowControl w:val="0"/>
      </w:pPr>
    </w:p>
    <w:p w14:paraId="3ED481C1" w14:textId="77777777" w:rsidR="00774ABC" w:rsidRDefault="00774ABC" w:rsidP="00A6456D">
      <w:pPr>
        <w:widowControl w:val="0"/>
      </w:pPr>
    </w:p>
    <w:p w14:paraId="2181B588" w14:textId="77777777" w:rsidR="00774ABC" w:rsidRDefault="00774ABC" w:rsidP="00A6456D">
      <w:pPr>
        <w:widowControl w:val="0"/>
      </w:pPr>
    </w:p>
    <w:p w14:paraId="0106D2B3" w14:textId="77777777" w:rsidR="00774ABC" w:rsidRDefault="00774ABC" w:rsidP="00A6456D">
      <w:pPr>
        <w:widowControl w:val="0"/>
      </w:pPr>
    </w:p>
    <w:p w14:paraId="5E375A57" w14:textId="77777777" w:rsidR="00774ABC" w:rsidRDefault="00774ABC" w:rsidP="00A6456D">
      <w:pPr>
        <w:widowControl w:val="0"/>
      </w:pPr>
    </w:p>
    <w:p w14:paraId="4D210E68" w14:textId="77777777" w:rsidR="00774ABC" w:rsidRDefault="00774ABC" w:rsidP="00A6456D">
      <w:pPr>
        <w:widowControl w:val="0"/>
      </w:pPr>
    </w:p>
    <w:p w14:paraId="15AFF143" w14:textId="77777777" w:rsidR="00774ABC" w:rsidRDefault="00774ABC" w:rsidP="00A6456D">
      <w:pPr>
        <w:widowControl w:val="0"/>
      </w:pPr>
    </w:p>
    <w:p w14:paraId="06F441E5" w14:textId="77777777" w:rsidR="00A6456D" w:rsidRDefault="00A6456D" w:rsidP="00A6456D">
      <w:pPr>
        <w:widowControl w:val="0"/>
      </w:pPr>
    </w:p>
    <w:p w14:paraId="3E381310" w14:textId="77777777" w:rsidR="00A6456D" w:rsidRDefault="00A6456D" w:rsidP="00A6456D">
      <w:pPr>
        <w:widowControl w:val="0"/>
      </w:pPr>
    </w:p>
    <w:p w14:paraId="52985520" w14:textId="266EC127" w:rsidR="00A6456D" w:rsidRDefault="00A6456D" w:rsidP="00A6456D">
      <w:pPr>
        <w:widowControl w:val="0"/>
        <w:rPr>
          <w:rFonts w:asciiTheme="majorBidi" w:hAnsiTheme="majorBidi" w:cstheme="majorBidi"/>
          <w:b/>
          <w:bCs/>
          <w:color w:val="000000" w:themeColor="text1"/>
        </w:rPr>
      </w:pPr>
      <w:r>
        <w:rPr>
          <w:rFonts w:asciiTheme="majorBidi" w:hAnsiTheme="majorBidi" w:cstheme="majorBidi"/>
          <w:b/>
          <w:bCs/>
          <w:color w:val="000000" w:themeColor="text1"/>
        </w:rPr>
        <w:t>Figure S2</w:t>
      </w:r>
    </w:p>
    <w:p w14:paraId="0E9CE0EB" w14:textId="77777777" w:rsidR="00A6456D" w:rsidRDefault="00A6456D" w:rsidP="00A6456D">
      <w:pPr>
        <w:pStyle w:val="Heading3"/>
        <w:spacing w:before="0" w:after="0"/>
        <w:rPr>
          <w:rFonts w:ascii="Times New Roman" w:hAnsi="Times New Roman" w:cs="Times New Roman"/>
          <w:sz w:val="22"/>
          <w:szCs w:val="22"/>
        </w:rPr>
      </w:pPr>
      <w:r w:rsidRPr="0026339A">
        <w:rPr>
          <w:rFonts w:ascii="Times New Roman" w:hAnsi="Times New Roman" w:cs="Times New Roman"/>
          <w:sz w:val="22"/>
          <w:szCs w:val="22"/>
        </w:rPr>
        <w:t>Confusion Matrix - logistic regression and decision tree classifiers</w:t>
      </w:r>
    </w:p>
    <w:p w14:paraId="0DE5E6D5" w14:textId="77777777" w:rsidR="00A6456D" w:rsidRPr="00A6456D" w:rsidRDefault="00A6456D" w:rsidP="00A6456D">
      <w:pPr>
        <w:rPr>
          <w:lang w:val="en-US" w:eastAsia="zh-CN"/>
        </w:rPr>
      </w:pPr>
    </w:p>
    <w:p w14:paraId="336D4381" w14:textId="77777777" w:rsidR="00A6456D" w:rsidRPr="0026339A" w:rsidRDefault="00A6456D" w:rsidP="00A6456D">
      <w:pPr>
        <w:pStyle w:val="whitespace-normal"/>
        <w:spacing w:before="0" w:beforeAutospacing="0" w:after="0" w:afterAutospacing="0"/>
        <w:ind w:firstLine="340"/>
        <w:rPr>
          <w:color w:val="000000"/>
          <w:sz w:val="22"/>
          <w:szCs w:val="22"/>
        </w:rPr>
      </w:pPr>
      <w:r w:rsidRPr="0026339A">
        <w:rPr>
          <w:noProof/>
          <w:sz w:val="22"/>
          <w:szCs w:val="22"/>
        </w:rPr>
        <w:drawing>
          <wp:inline distT="0" distB="0" distL="0" distR="0" wp14:anchorId="6D8C14BB" wp14:editId="04C54D39">
            <wp:extent cx="5731510" cy="2387600"/>
            <wp:effectExtent l="0" t="0" r="0" b="0"/>
            <wp:docPr id="1716413810" name="Picture 3"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1492" name="Picture 3" descr="A close-up of a graph&#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3589" cy="2392632"/>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A6456D" w:rsidRPr="0026339A" w14:paraId="536D85F8" w14:textId="77777777" w:rsidTr="00A6456D">
        <w:tc>
          <w:tcPr>
            <w:tcW w:w="4508" w:type="dxa"/>
          </w:tcPr>
          <w:p w14:paraId="01C3852F" w14:textId="77777777" w:rsidR="00A6456D" w:rsidRPr="0026339A" w:rsidRDefault="00A6456D" w:rsidP="00650589">
            <w:pPr>
              <w:pStyle w:val="whitespace-normal"/>
              <w:spacing w:before="0" w:beforeAutospacing="0" w:after="0" w:afterAutospacing="0"/>
              <w:ind w:firstLine="340"/>
              <w:jc w:val="center"/>
              <w:rPr>
                <w:color w:val="000000"/>
                <w:sz w:val="22"/>
                <w:szCs w:val="22"/>
              </w:rPr>
            </w:pPr>
            <w:r w:rsidRPr="0026339A">
              <w:rPr>
                <w:color w:val="000000"/>
                <w:sz w:val="22"/>
                <w:szCs w:val="22"/>
              </w:rPr>
              <w:t>Accuracy: 86.14%</w:t>
            </w:r>
          </w:p>
        </w:tc>
        <w:tc>
          <w:tcPr>
            <w:tcW w:w="4508" w:type="dxa"/>
          </w:tcPr>
          <w:p w14:paraId="44D8FCF8" w14:textId="77777777" w:rsidR="00A6456D" w:rsidRPr="0026339A" w:rsidRDefault="00A6456D" w:rsidP="00650589">
            <w:pPr>
              <w:pStyle w:val="whitespace-normal"/>
              <w:spacing w:before="0" w:beforeAutospacing="0" w:after="0" w:afterAutospacing="0"/>
              <w:ind w:firstLine="340"/>
              <w:jc w:val="center"/>
              <w:rPr>
                <w:color w:val="000000"/>
                <w:sz w:val="22"/>
                <w:szCs w:val="22"/>
              </w:rPr>
            </w:pPr>
            <w:r w:rsidRPr="0026339A">
              <w:rPr>
                <w:color w:val="000000"/>
                <w:sz w:val="22"/>
                <w:szCs w:val="22"/>
              </w:rPr>
              <w:t>Accuracy: 83.71%</w:t>
            </w:r>
          </w:p>
        </w:tc>
      </w:tr>
    </w:tbl>
    <w:p w14:paraId="2BB95DB3" w14:textId="77777777" w:rsidR="00A6456D" w:rsidRDefault="00A6456D" w:rsidP="00A6456D">
      <w:pPr>
        <w:pStyle w:val="Caption"/>
        <w:jc w:val="center"/>
      </w:pPr>
    </w:p>
    <w:p w14:paraId="014C775E" w14:textId="77777777" w:rsidR="00A6456D" w:rsidRPr="0026339A" w:rsidRDefault="00A6456D" w:rsidP="00A6456D">
      <w:pPr>
        <w:pStyle w:val="Caption"/>
        <w:jc w:val="center"/>
        <w:rPr>
          <w:rFonts w:ascii="Times New Roman" w:hAnsi="Times New Roman" w:cs="Times New Roman"/>
          <w:sz w:val="22"/>
        </w:rPr>
      </w:pPr>
      <w:r>
        <w:t xml:space="preserve">Source: Authors’ </w:t>
      </w:r>
      <w:proofErr w:type="gramStart"/>
      <w:r>
        <w:t>own</w:t>
      </w:r>
      <w:proofErr w:type="gramEnd"/>
      <w:r>
        <w:t xml:space="preserve"> work.</w:t>
      </w:r>
    </w:p>
    <w:p w14:paraId="272697DE" w14:textId="77777777" w:rsidR="00A6456D" w:rsidRDefault="00A6456D" w:rsidP="00A6456D">
      <w:pPr>
        <w:widowControl w:val="0"/>
        <w:rPr>
          <w:rFonts w:asciiTheme="majorBidi" w:hAnsiTheme="majorBidi" w:cstheme="majorBidi"/>
          <w:b/>
          <w:bCs/>
          <w:color w:val="000000" w:themeColor="text1"/>
        </w:rPr>
      </w:pPr>
    </w:p>
    <w:p w14:paraId="1D68A540" w14:textId="77777777" w:rsidR="00A6456D" w:rsidRDefault="00A6456D" w:rsidP="00A6456D">
      <w:pPr>
        <w:widowControl w:val="0"/>
      </w:pPr>
    </w:p>
    <w:p w14:paraId="05D437C4" w14:textId="77777777" w:rsidR="00774ABC" w:rsidRDefault="00774ABC" w:rsidP="00A6456D">
      <w:pPr>
        <w:widowControl w:val="0"/>
      </w:pPr>
    </w:p>
    <w:p w14:paraId="014FDE25" w14:textId="77777777" w:rsidR="00774ABC" w:rsidRDefault="00774ABC" w:rsidP="00A6456D">
      <w:pPr>
        <w:widowControl w:val="0"/>
      </w:pPr>
    </w:p>
    <w:p w14:paraId="47CACF98" w14:textId="77777777" w:rsidR="00774ABC" w:rsidRDefault="00774ABC" w:rsidP="00A6456D">
      <w:pPr>
        <w:widowControl w:val="0"/>
      </w:pPr>
    </w:p>
    <w:p w14:paraId="4BA28D5C" w14:textId="77777777" w:rsidR="00774ABC" w:rsidRDefault="00774ABC" w:rsidP="00A6456D">
      <w:pPr>
        <w:widowControl w:val="0"/>
      </w:pPr>
    </w:p>
    <w:p w14:paraId="02CEE410" w14:textId="77777777" w:rsidR="00774ABC" w:rsidRDefault="00774ABC" w:rsidP="00A6456D">
      <w:pPr>
        <w:widowControl w:val="0"/>
      </w:pPr>
    </w:p>
    <w:p w14:paraId="3CC6F948" w14:textId="77777777" w:rsidR="00774ABC" w:rsidRDefault="00774ABC" w:rsidP="00A6456D">
      <w:pPr>
        <w:widowControl w:val="0"/>
      </w:pPr>
    </w:p>
    <w:p w14:paraId="58633351" w14:textId="77777777" w:rsidR="00774ABC" w:rsidRDefault="00774ABC" w:rsidP="00A6456D">
      <w:pPr>
        <w:widowControl w:val="0"/>
      </w:pPr>
    </w:p>
    <w:p w14:paraId="5CBDE2C6" w14:textId="77777777" w:rsidR="00774ABC" w:rsidRDefault="00774ABC" w:rsidP="00A6456D">
      <w:pPr>
        <w:widowControl w:val="0"/>
      </w:pPr>
    </w:p>
    <w:p w14:paraId="6908D1B3" w14:textId="77777777" w:rsidR="00774ABC" w:rsidRDefault="00774ABC" w:rsidP="00A6456D">
      <w:pPr>
        <w:widowControl w:val="0"/>
      </w:pPr>
    </w:p>
    <w:p w14:paraId="4A82EFD4" w14:textId="77777777" w:rsidR="00774ABC" w:rsidRDefault="00774ABC" w:rsidP="00A6456D">
      <w:pPr>
        <w:widowControl w:val="0"/>
      </w:pPr>
    </w:p>
    <w:p w14:paraId="118797D2" w14:textId="77777777" w:rsidR="00774ABC" w:rsidRDefault="00774ABC" w:rsidP="00A6456D">
      <w:pPr>
        <w:widowControl w:val="0"/>
      </w:pPr>
    </w:p>
    <w:p w14:paraId="0F4EE177" w14:textId="77777777" w:rsidR="00774ABC" w:rsidRDefault="00774ABC" w:rsidP="00A6456D">
      <w:pPr>
        <w:widowControl w:val="0"/>
      </w:pPr>
    </w:p>
    <w:p w14:paraId="1E443960" w14:textId="77777777" w:rsidR="00774ABC" w:rsidRDefault="00774ABC" w:rsidP="00A6456D">
      <w:pPr>
        <w:widowControl w:val="0"/>
      </w:pPr>
    </w:p>
    <w:p w14:paraId="248CEE55" w14:textId="77777777" w:rsidR="00774ABC" w:rsidRDefault="00774ABC" w:rsidP="00A6456D">
      <w:pPr>
        <w:widowControl w:val="0"/>
      </w:pPr>
    </w:p>
    <w:p w14:paraId="0B85B507" w14:textId="77777777" w:rsidR="00774ABC" w:rsidRDefault="00774ABC" w:rsidP="00A6456D">
      <w:pPr>
        <w:widowControl w:val="0"/>
      </w:pPr>
    </w:p>
    <w:p w14:paraId="44DE08DF" w14:textId="77777777" w:rsidR="00774ABC" w:rsidRDefault="00774ABC" w:rsidP="00A6456D">
      <w:pPr>
        <w:widowControl w:val="0"/>
      </w:pPr>
    </w:p>
    <w:p w14:paraId="4EC0BF55" w14:textId="77777777" w:rsidR="00774ABC" w:rsidRDefault="00774ABC" w:rsidP="00A6456D">
      <w:pPr>
        <w:widowControl w:val="0"/>
      </w:pPr>
    </w:p>
    <w:p w14:paraId="6521C1B8" w14:textId="77777777" w:rsidR="00774ABC" w:rsidRDefault="00774ABC" w:rsidP="00A6456D">
      <w:pPr>
        <w:widowControl w:val="0"/>
      </w:pPr>
    </w:p>
    <w:p w14:paraId="4C238181" w14:textId="77777777" w:rsidR="00774ABC" w:rsidRDefault="00774ABC" w:rsidP="00A6456D">
      <w:pPr>
        <w:widowControl w:val="0"/>
      </w:pPr>
    </w:p>
    <w:p w14:paraId="784E5B21" w14:textId="77777777" w:rsidR="00774ABC" w:rsidRDefault="00774ABC" w:rsidP="00A6456D">
      <w:pPr>
        <w:widowControl w:val="0"/>
      </w:pPr>
    </w:p>
    <w:p w14:paraId="3601ACF8" w14:textId="77777777" w:rsidR="00774ABC" w:rsidRDefault="00774ABC" w:rsidP="00A6456D">
      <w:pPr>
        <w:widowControl w:val="0"/>
      </w:pPr>
    </w:p>
    <w:p w14:paraId="1964CA36" w14:textId="77777777" w:rsidR="00774ABC" w:rsidRDefault="00774ABC" w:rsidP="00A6456D">
      <w:pPr>
        <w:widowControl w:val="0"/>
      </w:pPr>
    </w:p>
    <w:p w14:paraId="195AA87E" w14:textId="77777777" w:rsidR="00774ABC" w:rsidRDefault="00774ABC" w:rsidP="00A6456D">
      <w:pPr>
        <w:widowControl w:val="0"/>
      </w:pPr>
    </w:p>
    <w:p w14:paraId="5798073E" w14:textId="77777777" w:rsidR="00774ABC" w:rsidRDefault="00774ABC" w:rsidP="00A6456D">
      <w:pPr>
        <w:widowControl w:val="0"/>
      </w:pPr>
    </w:p>
    <w:p w14:paraId="09CD0FB8" w14:textId="77777777" w:rsidR="00774ABC" w:rsidRPr="00774ABC" w:rsidRDefault="00774ABC" w:rsidP="00774ABC">
      <w:pPr>
        <w:jc w:val="both"/>
        <w:rPr>
          <w:b/>
          <w:bCs/>
          <w:color w:val="000000"/>
        </w:rPr>
      </w:pPr>
      <w:r w:rsidRPr="00774ABC">
        <w:rPr>
          <w:b/>
          <w:bCs/>
          <w:color w:val="000000"/>
        </w:rPr>
        <w:t>References</w:t>
      </w:r>
    </w:p>
    <w:p w14:paraId="1AE0C875" w14:textId="77777777" w:rsidR="00774ABC" w:rsidRDefault="00774ABC" w:rsidP="00774ABC">
      <w:pPr>
        <w:pStyle w:val="whitespace-pre-wrap"/>
        <w:spacing w:before="0" w:beforeAutospacing="0" w:after="0" w:afterAutospacing="0"/>
        <w:ind w:firstLine="340"/>
        <w:rPr>
          <w:color w:val="000000"/>
          <w:sz w:val="20"/>
          <w:szCs w:val="20"/>
        </w:rPr>
      </w:pPr>
      <w:bookmarkStart w:id="10" w:name="_Toc196718180"/>
      <w:bookmarkStart w:id="11" w:name="_Toc196921682"/>
      <w:r w:rsidRPr="00E7286C">
        <w:rPr>
          <w:color w:val="000000"/>
          <w:sz w:val="20"/>
          <w:szCs w:val="20"/>
        </w:rPr>
        <w:t xml:space="preserve">Abadi, M., Barham, P., Chen, J., Chen, Z., Davis, A., Dean, J., Devin, M., Ghemawat, S., Irving, G., Isard, M. and </w:t>
      </w:r>
      <w:proofErr w:type="spellStart"/>
      <w:r w:rsidRPr="00E7286C">
        <w:rPr>
          <w:color w:val="000000"/>
          <w:sz w:val="20"/>
          <w:szCs w:val="20"/>
        </w:rPr>
        <w:t>Kudlur</w:t>
      </w:r>
      <w:proofErr w:type="spellEnd"/>
      <w:r w:rsidRPr="00E7286C">
        <w:rPr>
          <w:color w:val="000000"/>
          <w:sz w:val="20"/>
          <w:szCs w:val="20"/>
        </w:rPr>
        <w:t>, M., 2016. ‘{TensorFlow}: a system for {Large-Scale} machine learning’, In </w:t>
      </w:r>
      <w:r w:rsidRPr="00E7286C">
        <w:rPr>
          <w:i/>
          <w:iCs/>
          <w:color w:val="000000"/>
          <w:sz w:val="20"/>
          <w:szCs w:val="20"/>
        </w:rPr>
        <w:t>12th USENIX symposium on operating systems design and implementation (OSDI 16)</w:t>
      </w:r>
      <w:r w:rsidRPr="00E7286C">
        <w:rPr>
          <w:color w:val="000000"/>
          <w:sz w:val="20"/>
          <w:szCs w:val="20"/>
        </w:rPr>
        <w:t> (pp. 265–283).</w:t>
      </w:r>
    </w:p>
    <w:p w14:paraId="3C76F656"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 xml:space="preserve">Abendroth, A.-K. &amp; Den </w:t>
      </w:r>
      <w:proofErr w:type="spellStart"/>
      <w:r w:rsidRPr="00905D78">
        <w:rPr>
          <w:color w:val="000000"/>
          <w:sz w:val="20"/>
          <w:szCs w:val="20"/>
        </w:rPr>
        <w:t>Dulk</w:t>
      </w:r>
      <w:proofErr w:type="spellEnd"/>
      <w:r w:rsidRPr="00905D78">
        <w:rPr>
          <w:color w:val="000000"/>
          <w:sz w:val="20"/>
          <w:szCs w:val="20"/>
        </w:rPr>
        <w:t>, L. (2011) ‘Support for the work–life balance in Europe: The impact of state, workplace, and family support on work–life balance satisfaction’, </w:t>
      </w:r>
      <w:r w:rsidRPr="00905D78">
        <w:rPr>
          <w:i/>
          <w:iCs/>
          <w:color w:val="000000"/>
          <w:sz w:val="20"/>
          <w:szCs w:val="20"/>
        </w:rPr>
        <w:t>Work, Employment and Society</w:t>
      </w:r>
      <w:r w:rsidRPr="00905D78">
        <w:rPr>
          <w:color w:val="000000"/>
          <w:sz w:val="20"/>
          <w:szCs w:val="20"/>
        </w:rPr>
        <w:t>, 25(2), pp. 234–256.</w:t>
      </w:r>
    </w:p>
    <w:p w14:paraId="3AD5262C"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Acker, J. (2006) ‘Inequality regimes: Gender, class, and race in organizations’, </w:t>
      </w:r>
      <w:r w:rsidRPr="00905D78">
        <w:rPr>
          <w:i/>
          <w:iCs/>
          <w:color w:val="000000"/>
          <w:sz w:val="20"/>
          <w:szCs w:val="20"/>
        </w:rPr>
        <w:t>Gender &amp; Society</w:t>
      </w:r>
      <w:r w:rsidRPr="00905D78">
        <w:rPr>
          <w:color w:val="000000"/>
          <w:sz w:val="20"/>
          <w:szCs w:val="20"/>
        </w:rPr>
        <w:t>, 20(4), pp. 441–464.</w:t>
      </w:r>
    </w:p>
    <w:p w14:paraId="1E26332A"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Australian Bureau of Statistics (2023) </w:t>
      </w:r>
      <w:r w:rsidRPr="00905D78">
        <w:rPr>
          <w:i/>
          <w:iCs/>
          <w:color w:val="000000"/>
          <w:sz w:val="20"/>
          <w:szCs w:val="20"/>
        </w:rPr>
        <w:t>Gender Indicators, Australia</w:t>
      </w:r>
      <w:r w:rsidRPr="00905D78">
        <w:rPr>
          <w:color w:val="000000"/>
          <w:sz w:val="20"/>
          <w:szCs w:val="20"/>
        </w:rPr>
        <w:t>. ABS Catalogue No. 4125.0. Canberra: ABS.</w:t>
      </w:r>
    </w:p>
    <w:p w14:paraId="3A85892E"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Australian Human Rights Commission (2022) </w:t>
      </w:r>
      <w:proofErr w:type="spellStart"/>
      <w:r w:rsidRPr="00905D78">
        <w:rPr>
          <w:i/>
          <w:iCs/>
          <w:color w:val="000000"/>
          <w:sz w:val="20"/>
          <w:szCs w:val="20"/>
        </w:rPr>
        <w:t>Respect@Work</w:t>
      </w:r>
      <w:proofErr w:type="spellEnd"/>
      <w:r w:rsidRPr="00905D78">
        <w:rPr>
          <w:i/>
          <w:iCs/>
          <w:color w:val="000000"/>
          <w:sz w:val="20"/>
          <w:szCs w:val="20"/>
        </w:rPr>
        <w:t>: National Inquiry into Sexual Harassment in Australian Workplaces</w:t>
      </w:r>
      <w:r w:rsidRPr="00905D78">
        <w:rPr>
          <w:color w:val="000000"/>
          <w:sz w:val="20"/>
          <w:szCs w:val="20"/>
        </w:rPr>
        <w:t>. Sydney: AHRC.</w:t>
      </w:r>
    </w:p>
    <w:p w14:paraId="2FEC8905"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Australian Public Service Commission (2022) </w:t>
      </w:r>
      <w:r w:rsidRPr="00905D78">
        <w:rPr>
          <w:i/>
          <w:iCs/>
          <w:color w:val="000000"/>
          <w:sz w:val="20"/>
          <w:szCs w:val="20"/>
        </w:rPr>
        <w:t>State of the Service Report: Gender Pay Gap Analysis</w:t>
      </w:r>
      <w:r w:rsidRPr="00905D78">
        <w:rPr>
          <w:color w:val="000000"/>
          <w:sz w:val="20"/>
          <w:szCs w:val="20"/>
        </w:rPr>
        <w:t>. Canberra: APSC.</w:t>
      </w:r>
    </w:p>
    <w:p w14:paraId="20516075"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Barns, A. &amp; Preston, A. (2022) ‘Is pay transparency enough? Making the hidden visible in the Australian labour market’, </w:t>
      </w:r>
      <w:r w:rsidRPr="00905D78">
        <w:rPr>
          <w:i/>
          <w:iCs/>
          <w:color w:val="000000"/>
          <w:sz w:val="20"/>
          <w:szCs w:val="20"/>
        </w:rPr>
        <w:t>Journal of Industrial Relations</w:t>
      </w:r>
      <w:r w:rsidRPr="00905D78">
        <w:rPr>
          <w:color w:val="000000"/>
          <w:sz w:val="20"/>
          <w:szCs w:val="20"/>
        </w:rPr>
        <w:t>, 64(3), pp. 456–479.</w:t>
      </w:r>
    </w:p>
    <w:p w14:paraId="6CEE2199"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Barredo Arrieta, A. </w:t>
      </w:r>
      <w:r w:rsidRPr="00905D78">
        <w:rPr>
          <w:i/>
          <w:iCs/>
          <w:color w:val="000000"/>
          <w:sz w:val="20"/>
          <w:szCs w:val="20"/>
        </w:rPr>
        <w:t>et al.</w:t>
      </w:r>
      <w:r w:rsidRPr="00905D78">
        <w:rPr>
          <w:color w:val="000000"/>
          <w:sz w:val="20"/>
          <w:szCs w:val="20"/>
        </w:rPr>
        <w:t> (2020) ‘Explainable artificial intelligence (XAI): Concepts, taxonomies, opportunities and challenges toward responsible AI’, </w:t>
      </w:r>
      <w:r w:rsidRPr="00905D78">
        <w:rPr>
          <w:i/>
          <w:iCs/>
          <w:color w:val="000000"/>
          <w:sz w:val="20"/>
          <w:szCs w:val="20"/>
        </w:rPr>
        <w:t>Information Fusion</w:t>
      </w:r>
      <w:r w:rsidRPr="00905D78">
        <w:rPr>
          <w:color w:val="000000"/>
          <w:sz w:val="20"/>
          <w:szCs w:val="20"/>
        </w:rPr>
        <w:t>, 58, pp. 82–115.</w:t>
      </w:r>
    </w:p>
    <w:p w14:paraId="068BD429"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Baxter, J. &amp; Hewitt, B. (2021) ‘Gender inequalities in Australia: Trends and patterns’, </w:t>
      </w:r>
      <w:r w:rsidRPr="00905D78">
        <w:rPr>
          <w:i/>
          <w:iCs/>
          <w:color w:val="000000"/>
          <w:sz w:val="20"/>
          <w:szCs w:val="20"/>
        </w:rPr>
        <w:t>Journal of Sociology</w:t>
      </w:r>
      <w:r w:rsidRPr="00905D78">
        <w:rPr>
          <w:color w:val="000000"/>
          <w:sz w:val="20"/>
          <w:szCs w:val="20"/>
        </w:rPr>
        <w:t>, 57(3), pp. 613–633.</w:t>
      </w:r>
    </w:p>
    <w:p w14:paraId="3D56D9D3"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Becker, G. S. (1992) ‘Human capital and the economy’, </w:t>
      </w:r>
      <w:r w:rsidRPr="00905D78">
        <w:rPr>
          <w:i/>
          <w:iCs/>
          <w:color w:val="000000"/>
          <w:sz w:val="20"/>
          <w:szCs w:val="20"/>
        </w:rPr>
        <w:t>Proceedings of the American Philosophical Society</w:t>
      </w:r>
      <w:r w:rsidRPr="00905D78">
        <w:rPr>
          <w:color w:val="000000"/>
          <w:sz w:val="20"/>
          <w:szCs w:val="20"/>
        </w:rPr>
        <w:t>, 136(1), pp. 85–92.</w:t>
      </w:r>
    </w:p>
    <w:p w14:paraId="47EF3E95"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 xml:space="preserve">Bishu, S. G. &amp; </w:t>
      </w:r>
      <w:proofErr w:type="spellStart"/>
      <w:r w:rsidRPr="00905D78">
        <w:rPr>
          <w:color w:val="000000"/>
          <w:sz w:val="20"/>
          <w:szCs w:val="20"/>
        </w:rPr>
        <w:t>Alkadry</w:t>
      </w:r>
      <w:proofErr w:type="spellEnd"/>
      <w:r w:rsidRPr="00905D78">
        <w:rPr>
          <w:color w:val="000000"/>
          <w:sz w:val="20"/>
          <w:szCs w:val="20"/>
        </w:rPr>
        <w:t xml:space="preserve">, M. G. (2017) ‘A systematic review of the gender </w:t>
      </w:r>
      <w:proofErr w:type="gramStart"/>
      <w:r w:rsidRPr="00905D78">
        <w:rPr>
          <w:color w:val="000000"/>
          <w:sz w:val="20"/>
          <w:szCs w:val="20"/>
        </w:rPr>
        <w:t>pay</w:t>
      </w:r>
      <w:proofErr w:type="gramEnd"/>
      <w:r w:rsidRPr="00905D78">
        <w:rPr>
          <w:color w:val="000000"/>
          <w:sz w:val="20"/>
          <w:szCs w:val="20"/>
        </w:rPr>
        <w:t xml:space="preserve"> gap and factors that predict it’, </w:t>
      </w:r>
      <w:r w:rsidRPr="00905D78">
        <w:rPr>
          <w:i/>
          <w:iCs/>
          <w:color w:val="000000"/>
          <w:sz w:val="20"/>
          <w:szCs w:val="20"/>
        </w:rPr>
        <w:t>Administration &amp; Society</w:t>
      </w:r>
      <w:r w:rsidRPr="00905D78">
        <w:rPr>
          <w:color w:val="000000"/>
          <w:sz w:val="20"/>
          <w:szCs w:val="20"/>
        </w:rPr>
        <w:t>, 49(1), pp. 65–104.</w:t>
      </w:r>
    </w:p>
    <w:p w14:paraId="4040A62E"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Blau, F. D. &amp; Kahn, L. M. (2017) ‘The gender wage gap: Extent, trends, and explanations’, </w:t>
      </w:r>
      <w:r w:rsidRPr="00905D78">
        <w:rPr>
          <w:i/>
          <w:iCs/>
          <w:color w:val="000000"/>
          <w:sz w:val="20"/>
          <w:szCs w:val="20"/>
        </w:rPr>
        <w:t>Journal of Economic Literature</w:t>
      </w:r>
      <w:r w:rsidRPr="00905D78">
        <w:rPr>
          <w:color w:val="000000"/>
          <w:sz w:val="20"/>
          <w:szCs w:val="20"/>
        </w:rPr>
        <w:t>, 55(3), pp. 789–865.</w:t>
      </w:r>
    </w:p>
    <w:p w14:paraId="0B341A91"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Blinder, A. S. (1973) ‘Wage discrimination: Reduced form and structural estimates’, </w:t>
      </w:r>
      <w:r w:rsidRPr="00905D78">
        <w:rPr>
          <w:i/>
          <w:iCs/>
          <w:color w:val="000000"/>
          <w:sz w:val="20"/>
          <w:szCs w:val="20"/>
        </w:rPr>
        <w:t>Journal of Human Resources</w:t>
      </w:r>
      <w:r w:rsidRPr="00905D78">
        <w:rPr>
          <w:color w:val="000000"/>
          <w:sz w:val="20"/>
          <w:szCs w:val="20"/>
        </w:rPr>
        <w:t>, 8(4), pp. 436–455.</w:t>
      </w:r>
    </w:p>
    <w:p w14:paraId="68EBD6B5" w14:textId="77777777" w:rsidR="00774ABC" w:rsidRPr="00905D78" w:rsidRDefault="00774ABC" w:rsidP="00774ABC">
      <w:pPr>
        <w:pStyle w:val="whitespace-pre-wrap"/>
        <w:spacing w:before="0" w:beforeAutospacing="0" w:after="0" w:afterAutospacing="0"/>
        <w:ind w:firstLine="340"/>
        <w:rPr>
          <w:color w:val="000000"/>
          <w:sz w:val="20"/>
          <w:szCs w:val="20"/>
        </w:rPr>
      </w:pPr>
      <w:proofErr w:type="spellStart"/>
      <w:r w:rsidRPr="00905D78">
        <w:rPr>
          <w:color w:val="000000"/>
          <w:sz w:val="20"/>
          <w:szCs w:val="20"/>
        </w:rPr>
        <w:t>Bonaccolto</w:t>
      </w:r>
      <w:proofErr w:type="spellEnd"/>
      <w:r w:rsidRPr="00905D78">
        <w:rPr>
          <w:color w:val="000000"/>
          <w:sz w:val="20"/>
          <w:szCs w:val="20"/>
        </w:rPr>
        <w:t>-Töpfer, M. &amp; Schnabel, S. (2022) ‘The gender pay gap revisited: Does machine learning offer new insights?’, </w:t>
      </w:r>
      <w:r w:rsidRPr="00905D78">
        <w:rPr>
          <w:i/>
          <w:iCs/>
          <w:color w:val="000000"/>
          <w:sz w:val="20"/>
          <w:szCs w:val="20"/>
        </w:rPr>
        <w:t>Labour Economics</w:t>
      </w:r>
      <w:r w:rsidRPr="00905D78">
        <w:rPr>
          <w:color w:val="000000"/>
          <w:sz w:val="20"/>
          <w:szCs w:val="20"/>
        </w:rPr>
        <w:t>, 78, 102222.</w:t>
      </w:r>
    </w:p>
    <w:p w14:paraId="3A98DA23"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Bridges, W. P. &amp; Nelson, R. L. (1989) ‘Markets in hierarchies: Organizational and market influences on gender inequality in a state pay system’, </w:t>
      </w:r>
      <w:r w:rsidRPr="00905D78">
        <w:rPr>
          <w:i/>
          <w:iCs/>
          <w:color w:val="000000"/>
          <w:sz w:val="20"/>
          <w:szCs w:val="20"/>
        </w:rPr>
        <w:t>American Journal of Sociology</w:t>
      </w:r>
      <w:r w:rsidRPr="00905D78">
        <w:rPr>
          <w:color w:val="000000"/>
          <w:sz w:val="20"/>
          <w:szCs w:val="20"/>
        </w:rPr>
        <w:t>, 95(3), pp. 616–658.</w:t>
      </w:r>
    </w:p>
    <w:p w14:paraId="14F53846"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Cassells, R., Duncan, A., Ong, R., Siobhan, A. &amp; Kiely, D. (2017) </w:t>
      </w:r>
      <w:r w:rsidRPr="00905D78">
        <w:rPr>
          <w:i/>
          <w:iCs/>
          <w:color w:val="000000"/>
          <w:sz w:val="20"/>
          <w:szCs w:val="20"/>
        </w:rPr>
        <w:t>Gender equity insights 2017: Inside Australia’s gender pay gap</w:t>
      </w:r>
      <w:r w:rsidRPr="00905D78">
        <w:rPr>
          <w:color w:val="000000"/>
          <w:sz w:val="20"/>
          <w:szCs w:val="20"/>
        </w:rPr>
        <w:t>. Gender Equity Series. Perth: Bankwest Curtin Economics Centre &amp; WGEA.</w:t>
      </w:r>
    </w:p>
    <w:p w14:paraId="1E7C9AD1"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Cech, E. A. &amp; Blair-Loy, M. (2014) ‘Consequences of flexibility stigma among academic scientists and engineers’, </w:t>
      </w:r>
      <w:r w:rsidRPr="00905D78">
        <w:rPr>
          <w:i/>
          <w:iCs/>
          <w:color w:val="000000"/>
          <w:sz w:val="20"/>
          <w:szCs w:val="20"/>
        </w:rPr>
        <w:t>Work and Occupations</w:t>
      </w:r>
      <w:r w:rsidRPr="00905D78">
        <w:rPr>
          <w:color w:val="000000"/>
          <w:sz w:val="20"/>
          <w:szCs w:val="20"/>
        </w:rPr>
        <w:t>, 41(1), pp. 86–110.</w:t>
      </w:r>
    </w:p>
    <w:p w14:paraId="2D4BFF0C"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Cha, Y. &amp; Weeden, K. A. (2014) ‘Overwork and the slow convergence in the gender gap in wages’, </w:t>
      </w:r>
      <w:r w:rsidRPr="00905D78">
        <w:rPr>
          <w:i/>
          <w:iCs/>
          <w:color w:val="000000"/>
          <w:sz w:val="20"/>
          <w:szCs w:val="20"/>
        </w:rPr>
        <w:t>American Sociological Review</w:t>
      </w:r>
      <w:r w:rsidRPr="00905D78">
        <w:rPr>
          <w:color w:val="000000"/>
          <w:sz w:val="20"/>
          <w:szCs w:val="20"/>
        </w:rPr>
        <w:t>, 79(3), pp. 457–484.</w:t>
      </w:r>
    </w:p>
    <w:p w14:paraId="57842EE6" w14:textId="77777777" w:rsidR="00774ABC" w:rsidRPr="00E7286C"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Charlesworth, S. &amp; Smith, M. (2018) ‘Gender pay equity’, in Baird, M., Ford, M. &amp; Hill, E. (eds.) </w:t>
      </w:r>
      <w:r w:rsidRPr="00905D78">
        <w:rPr>
          <w:i/>
          <w:iCs/>
          <w:color w:val="000000"/>
          <w:sz w:val="20"/>
          <w:szCs w:val="20"/>
        </w:rPr>
        <w:t xml:space="preserve">Women, </w:t>
      </w:r>
      <w:r w:rsidRPr="00E7286C">
        <w:rPr>
          <w:i/>
          <w:iCs/>
          <w:color w:val="000000"/>
          <w:sz w:val="20"/>
          <w:szCs w:val="20"/>
        </w:rPr>
        <w:t>Work and Care in the Asia-Pacific</w:t>
      </w:r>
      <w:r w:rsidRPr="00E7286C">
        <w:rPr>
          <w:color w:val="000000"/>
          <w:sz w:val="20"/>
          <w:szCs w:val="20"/>
        </w:rPr>
        <w:t>, pp. 189–205. Abingdon: Routledge.</w:t>
      </w:r>
    </w:p>
    <w:p w14:paraId="05080899" w14:textId="77777777" w:rsidR="00774ABC" w:rsidRPr="00E7286C" w:rsidRDefault="00774ABC" w:rsidP="00774ABC">
      <w:pPr>
        <w:pStyle w:val="whitespace-pre-wrap"/>
        <w:spacing w:before="0" w:beforeAutospacing="0" w:after="0" w:afterAutospacing="0"/>
        <w:ind w:firstLine="340"/>
      </w:pPr>
      <w:r w:rsidRPr="00E7286C">
        <w:rPr>
          <w:color w:val="000000"/>
          <w:sz w:val="20"/>
          <w:szCs w:val="20"/>
        </w:rPr>
        <w:t>Chollet, F. (2015). </w:t>
      </w:r>
      <w:proofErr w:type="spellStart"/>
      <w:r w:rsidRPr="00E7286C">
        <w:rPr>
          <w:i/>
          <w:iCs/>
          <w:color w:val="000000"/>
          <w:sz w:val="20"/>
          <w:szCs w:val="20"/>
        </w:rPr>
        <w:t>Keras</w:t>
      </w:r>
      <w:proofErr w:type="spellEnd"/>
      <w:r w:rsidRPr="00E7286C">
        <w:rPr>
          <w:color w:val="000000"/>
          <w:sz w:val="20"/>
          <w:szCs w:val="20"/>
        </w:rPr>
        <w:t> (Version 2.x) [Computer software]. </w:t>
      </w:r>
      <w:hyperlink r:id="rId9" w:tgtFrame="_new" w:history="1">
        <w:r w:rsidRPr="00E7286C">
          <w:rPr>
            <w:rStyle w:val="Hyperlink"/>
            <w:sz w:val="20"/>
            <w:szCs w:val="20"/>
          </w:rPr>
          <w:t>https://keras.io</w:t>
        </w:r>
      </w:hyperlink>
    </w:p>
    <w:p w14:paraId="203E7D4C" w14:textId="77777777" w:rsidR="00774ABC" w:rsidRPr="001E0B87" w:rsidRDefault="00774ABC" w:rsidP="00774ABC">
      <w:pPr>
        <w:pStyle w:val="whitespace-pre-wrap"/>
        <w:spacing w:before="0" w:beforeAutospacing="0" w:after="0" w:afterAutospacing="0"/>
        <w:ind w:firstLine="340"/>
      </w:pPr>
      <w:r w:rsidRPr="00E7286C">
        <w:rPr>
          <w:color w:val="000000"/>
          <w:sz w:val="20"/>
          <w:szCs w:val="20"/>
        </w:rPr>
        <w:t>Chung, H. and Van der Horst, M., 2018. ‘Women’s employment patterns after childbirth and the perceived access to and use of flexitime and teleworking’, </w:t>
      </w:r>
      <w:r w:rsidRPr="00E7286C">
        <w:rPr>
          <w:i/>
          <w:iCs/>
          <w:color w:val="000000"/>
          <w:sz w:val="20"/>
          <w:szCs w:val="20"/>
        </w:rPr>
        <w:t>Human relations</w:t>
      </w:r>
      <w:r w:rsidRPr="00E7286C">
        <w:rPr>
          <w:color w:val="000000"/>
          <w:sz w:val="20"/>
          <w:szCs w:val="20"/>
        </w:rPr>
        <w:t>, </w:t>
      </w:r>
      <w:r w:rsidRPr="00E7286C">
        <w:rPr>
          <w:i/>
          <w:iCs/>
          <w:color w:val="000000"/>
          <w:sz w:val="20"/>
          <w:szCs w:val="20"/>
        </w:rPr>
        <w:t>71</w:t>
      </w:r>
      <w:r w:rsidRPr="00E7286C">
        <w:rPr>
          <w:color w:val="000000"/>
          <w:sz w:val="20"/>
          <w:szCs w:val="20"/>
        </w:rPr>
        <w:t>(1), pp.47–72.</w:t>
      </w:r>
    </w:p>
    <w:p w14:paraId="18598A6E"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Coelli, M. (2022) ‘Wage penalties and part-time employment in Australia’, </w:t>
      </w:r>
      <w:r w:rsidRPr="00905D78">
        <w:rPr>
          <w:i/>
          <w:iCs/>
          <w:color w:val="000000"/>
          <w:sz w:val="20"/>
          <w:szCs w:val="20"/>
        </w:rPr>
        <w:t>Economic Record</w:t>
      </w:r>
      <w:r w:rsidRPr="00905D78">
        <w:rPr>
          <w:color w:val="000000"/>
          <w:sz w:val="20"/>
          <w:szCs w:val="20"/>
        </w:rPr>
        <w:t>, 98(321), pp. 156–171.</w:t>
      </w:r>
    </w:p>
    <w:p w14:paraId="3E204BD1"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Cohen, P. N. &amp; Huffman, M. L. (2007) ‘Working for the woman? Female managers and the gender wage gap’, </w:t>
      </w:r>
      <w:r w:rsidRPr="00905D78">
        <w:rPr>
          <w:i/>
          <w:iCs/>
          <w:color w:val="000000"/>
          <w:sz w:val="20"/>
          <w:szCs w:val="20"/>
        </w:rPr>
        <w:t>American Sociological Review</w:t>
      </w:r>
      <w:r w:rsidRPr="00905D78">
        <w:rPr>
          <w:color w:val="000000"/>
          <w:sz w:val="20"/>
          <w:szCs w:val="20"/>
        </w:rPr>
        <w:t>, 72(5), pp. 681–704.</w:t>
      </w:r>
    </w:p>
    <w:p w14:paraId="7809710E"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Cook, A. &amp; Glass, C. (2014) ‘Women and top leadership positions: Towards an institutional analysis’, </w:t>
      </w:r>
      <w:r w:rsidRPr="00905D78">
        <w:rPr>
          <w:i/>
          <w:iCs/>
          <w:color w:val="000000"/>
          <w:sz w:val="20"/>
          <w:szCs w:val="20"/>
        </w:rPr>
        <w:t>Gender, Work &amp; Organization</w:t>
      </w:r>
      <w:r w:rsidRPr="00905D78">
        <w:rPr>
          <w:color w:val="000000"/>
          <w:sz w:val="20"/>
          <w:szCs w:val="20"/>
        </w:rPr>
        <w:t>, 21(1), pp. 91–103.</w:t>
      </w:r>
    </w:p>
    <w:p w14:paraId="1D432804"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Cooper, R. &amp; Baird, M. (2022) ‘Gender equality during and beyond the COVID-19 pandemic in Australia’, </w:t>
      </w:r>
      <w:r w:rsidRPr="00905D78">
        <w:rPr>
          <w:i/>
          <w:iCs/>
          <w:color w:val="000000"/>
          <w:sz w:val="20"/>
          <w:szCs w:val="20"/>
        </w:rPr>
        <w:t>Australian Journal of Labour Economics</w:t>
      </w:r>
      <w:r w:rsidRPr="00905D78">
        <w:rPr>
          <w:color w:val="000000"/>
          <w:sz w:val="20"/>
          <w:szCs w:val="20"/>
        </w:rPr>
        <w:t>, 25(1), pp. 15–37.</w:t>
      </w:r>
    </w:p>
    <w:p w14:paraId="3462D395" w14:textId="77777777" w:rsidR="00774ABC" w:rsidRPr="00905D78" w:rsidRDefault="00774ABC" w:rsidP="00774ABC">
      <w:pPr>
        <w:pStyle w:val="whitespace-pre-wrap"/>
        <w:spacing w:before="0" w:beforeAutospacing="0" w:after="0" w:afterAutospacing="0"/>
        <w:ind w:firstLine="340"/>
        <w:rPr>
          <w:color w:val="000000"/>
          <w:sz w:val="20"/>
          <w:szCs w:val="20"/>
        </w:rPr>
      </w:pPr>
      <w:proofErr w:type="spellStart"/>
      <w:r w:rsidRPr="00905D78">
        <w:rPr>
          <w:color w:val="000000"/>
          <w:sz w:val="20"/>
          <w:szCs w:val="20"/>
        </w:rPr>
        <w:t>D’Ignazio</w:t>
      </w:r>
      <w:proofErr w:type="spellEnd"/>
      <w:r w:rsidRPr="00905D78">
        <w:rPr>
          <w:color w:val="000000"/>
          <w:sz w:val="20"/>
          <w:szCs w:val="20"/>
        </w:rPr>
        <w:t>, C. &amp; Klein, L. F. (2023) </w:t>
      </w:r>
      <w:r w:rsidRPr="00905D78">
        <w:rPr>
          <w:i/>
          <w:iCs/>
          <w:color w:val="000000"/>
          <w:sz w:val="20"/>
          <w:szCs w:val="20"/>
        </w:rPr>
        <w:t>Data feminism</w:t>
      </w:r>
      <w:r w:rsidRPr="00905D78">
        <w:rPr>
          <w:color w:val="000000"/>
          <w:sz w:val="20"/>
          <w:szCs w:val="20"/>
        </w:rPr>
        <w:t>. Cambridge, MA: MIT Press.</w:t>
      </w:r>
    </w:p>
    <w:p w14:paraId="4E5BC276" w14:textId="77777777" w:rsidR="00774ABC" w:rsidRPr="00905D78" w:rsidRDefault="00774ABC" w:rsidP="00774ABC">
      <w:pPr>
        <w:pStyle w:val="whitespace-pre-wrap"/>
        <w:spacing w:before="0" w:beforeAutospacing="0" w:after="0" w:afterAutospacing="0"/>
        <w:ind w:firstLine="340"/>
        <w:rPr>
          <w:color w:val="000000"/>
          <w:sz w:val="20"/>
          <w:szCs w:val="20"/>
        </w:rPr>
      </w:pPr>
      <w:proofErr w:type="spellStart"/>
      <w:r w:rsidRPr="00905D78">
        <w:rPr>
          <w:color w:val="000000"/>
          <w:sz w:val="20"/>
          <w:szCs w:val="20"/>
        </w:rPr>
        <w:lastRenderedPageBreak/>
        <w:t>Eagly</w:t>
      </w:r>
      <w:proofErr w:type="spellEnd"/>
      <w:r w:rsidRPr="00905D78">
        <w:rPr>
          <w:color w:val="000000"/>
          <w:sz w:val="20"/>
          <w:szCs w:val="20"/>
        </w:rPr>
        <w:t>, A. H. &amp; Carli, L. L. (2007) </w:t>
      </w:r>
      <w:r w:rsidRPr="00905D78">
        <w:rPr>
          <w:i/>
          <w:iCs/>
          <w:color w:val="000000"/>
          <w:sz w:val="20"/>
          <w:szCs w:val="20"/>
        </w:rPr>
        <w:t>Through the labyrinth: The truth about how women become leaders</w:t>
      </w:r>
      <w:r w:rsidRPr="00905D78">
        <w:rPr>
          <w:color w:val="000000"/>
          <w:sz w:val="20"/>
          <w:szCs w:val="20"/>
        </w:rPr>
        <w:t>. Boston, MA: Harvard Business Press.</w:t>
      </w:r>
    </w:p>
    <w:p w14:paraId="313FFFB6"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Ely, R. J., Ibarra, H. &amp; Kolb, D. M. (2011) ‘Taking gender into account: Theory and design for women’s leadership development programs’, </w:t>
      </w:r>
      <w:r w:rsidRPr="00905D78">
        <w:rPr>
          <w:i/>
          <w:iCs/>
          <w:color w:val="000000"/>
          <w:sz w:val="20"/>
          <w:szCs w:val="20"/>
        </w:rPr>
        <w:t>Academy of Management Learning &amp; Education</w:t>
      </w:r>
      <w:r w:rsidRPr="00905D78">
        <w:rPr>
          <w:color w:val="000000"/>
          <w:sz w:val="20"/>
          <w:szCs w:val="20"/>
        </w:rPr>
        <w:t>, 10(3), pp. 474–493.</w:t>
      </w:r>
    </w:p>
    <w:p w14:paraId="7F41B098"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England, P. (2005) ‘Emerging theories of care work’, </w:t>
      </w:r>
      <w:r w:rsidRPr="00905D78">
        <w:rPr>
          <w:i/>
          <w:iCs/>
          <w:color w:val="000000"/>
          <w:sz w:val="20"/>
          <w:szCs w:val="20"/>
        </w:rPr>
        <w:t>Annual Review of Sociology</w:t>
      </w:r>
      <w:r w:rsidRPr="00905D78">
        <w:rPr>
          <w:color w:val="000000"/>
          <w:sz w:val="20"/>
          <w:szCs w:val="20"/>
        </w:rPr>
        <w:t>, 31, pp. 381–399.</w:t>
      </w:r>
    </w:p>
    <w:p w14:paraId="1620C25D"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Fitzsimmons, T. W., Yates, M. S. &amp; Callan, V. J. (2021) </w:t>
      </w:r>
      <w:r w:rsidRPr="00905D78">
        <w:rPr>
          <w:i/>
          <w:iCs/>
          <w:color w:val="000000"/>
          <w:sz w:val="20"/>
          <w:szCs w:val="20"/>
        </w:rPr>
        <w:t>Towards board gender parity: Lessons from the past – directions for the future</w:t>
      </w:r>
      <w:r w:rsidRPr="00905D78">
        <w:rPr>
          <w:color w:val="000000"/>
          <w:sz w:val="20"/>
          <w:szCs w:val="20"/>
        </w:rPr>
        <w:t>. Brisbane: University of Queensland Business School.</w:t>
      </w:r>
    </w:p>
    <w:p w14:paraId="01CD291B"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Foley, M. &amp; Williamson, S. (2019) ‘Managerial perspectives on implicit bias, affirmative action, and merit’, </w:t>
      </w:r>
      <w:r w:rsidRPr="00905D78">
        <w:rPr>
          <w:i/>
          <w:iCs/>
          <w:color w:val="000000"/>
          <w:sz w:val="20"/>
          <w:szCs w:val="20"/>
        </w:rPr>
        <w:t>Public Administration Review</w:t>
      </w:r>
      <w:r w:rsidRPr="00905D78">
        <w:rPr>
          <w:color w:val="000000"/>
          <w:sz w:val="20"/>
          <w:szCs w:val="20"/>
        </w:rPr>
        <w:t>, 79(1), pp. 35–45.</w:t>
      </w:r>
    </w:p>
    <w:p w14:paraId="36AE9094"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 xml:space="preserve">Forshaw, R., Iakovlev, V., Schaffer, M. E. &amp; </w:t>
      </w:r>
      <w:proofErr w:type="spellStart"/>
      <w:r w:rsidRPr="00905D78">
        <w:rPr>
          <w:color w:val="000000"/>
          <w:sz w:val="20"/>
          <w:szCs w:val="20"/>
        </w:rPr>
        <w:t>Tealdi</w:t>
      </w:r>
      <w:proofErr w:type="spellEnd"/>
      <w:r w:rsidRPr="00905D78">
        <w:rPr>
          <w:color w:val="000000"/>
          <w:sz w:val="20"/>
          <w:szCs w:val="20"/>
        </w:rPr>
        <w:t>, C. (2024) ‘Using machine learning methods to estimate the gender wage gap’, in </w:t>
      </w:r>
      <w:r w:rsidRPr="00905D78">
        <w:rPr>
          <w:i/>
          <w:iCs/>
          <w:color w:val="000000"/>
          <w:sz w:val="20"/>
          <w:szCs w:val="20"/>
        </w:rPr>
        <w:t>Machine Learning for Econometrics and Related Topics</w:t>
      </w:r>
      <w:r w:rsidRPr="00905D78">
        <w:rPr>
          <w:color w:val="000000"/>
          <w:sz w:val="20"/>
          <w:szCs w:val="20"/>
        </w:rPr>
        <w:t>, Vol. 508. Cham: Springer.</w:t>
      </w:r>
    </w:p>
    <w:p w14:paraId="61ED5834"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Galea, N., Powell, A., Loosemore, M. &amp; Chappell, L. (2015) ‘Designing robust and revisable policies for gender equality: Lessons from the Australian construction industry’, </w:t>
      </w:r>
      <w:r w:rsidRPr="00905D78">
        <w:rPr>
          <w:i/>
          <w:iCs/>
          <w:color w:val="000000"/>
          <w:sz w:val="20"/>
          <w:szCs w:val="20"/>
        </w:rPr>
        <w:t>Construction Management and Economics</w:t>
      </w:r>
      <w:r w:rsidRPr="00905D78">
        <w:rPr>
          <w:color w:val="000000"/>
          <w:sz w:val="20"/>
          <w:szCs w:val="20"/>
        </w:rPr>
        <w:t>, 33(5–6), pp. 375–389.</w:t>
      </w:r>
    </w:p>
    <w:p w14:paraId="695DBCF2" w14:textId="77777777" w:rsidR="00774ABC" w:rsidRPr="00E7286C" w:rsidRDefault="00774ABC" w:rsidP="00774ABC">
      <w:pPr>
        <w:pStyle w:val="whitespace-pre-wrap"/>
        <w:spacing w:before="0" w:beforeAutospacing="0" w:after="0" w:afterAutospacing="0"/>
        <w:ind w:firstLine="340"/>
        <w:rPr>
          <w:color w:val="000000"/>
          <w:sz w:val="20"/>
          <w:szCs w:val="20"/>
        </w:rPr>
      </w:pPr>
      <w:proofErr w:type="spellStart"/>
      <w:r w:rsidRPr="00905D78">
        <w:rPr>
          <w:color w:val="000000"/>
          <w:sz w:val="20"/>
          <w:szCs w:val="20"/>
        </w:rPr>
        <w:t>Georgeac</w:t>
      </w:r>
      <w:proofErr w:type="spellEnd"/>
      <w:r w:rsidRPr="00905D78">
        <w:rPr>
          <w:color w:val="000000"/>
          <w:sz w:val="20"/>
          <w:szCs w:val="20"/>
        </w:rPr>
        <w:t xml:space="preserve">, O. &amp; Rattan, A. (2019) ‘Progress in women’s representation in top leadership weakens people’s disturbance </w:t>
      </w:r>
      <w:r w:rsidRPr="00E7286C">
        <w:rPr>
          <w:color w:val="000000"/>
          <w:sz w:val="20"/>
          <w:szCs w:val="20"/>
        </w:rPr>
        <w:t>with gender inequality in other domains’, </w:t>
      </w:r>
      <w:r w:rsidRPr="00E7286C">
        <w:rPr>
          <w:i/>
          <w:iCs/>
          <w:color w:val="000000"/>
          <w:sz w:val="20"/>
          <w:szCs w:val="20"/>
        </w:rPr>
        <w:t>Journal of Experimental Psychology: General</w:t>
      </w:r>
      <w:r w:rsidRPr="00E7286C">
        <w:rPr>
          <w:color w:val="000000"/>
          <w:sz w:val="20"/>
          <w:szCs w:val="20"/>
        </w:rPr>
        <w:t>, 148(8), pp. 1435–1446.</w:t>
      </w:r>
    </w:p>
    <w:p w14:paraId="4C268BFF" w14:textId="77777777" w:rsidR="00774ABC" w:rsidRPr="00E7286C" w:rsidRDefault="00774ABC" w:rsidP="00774ABC">
      <w:pPr>
        <w:pStyle w:val="whitespace-pre-wrap"/>
        <w:spacing w:before="0" w:beforeAutospacing="0" w:after="0" w:afterAutospacing="0"/>
        <w:ind w:firstLine="340"/>
        <w:rPr>
          <w:color w:val="000000"/>
          <w:sz w:val="20"/>
          <w:szCs w:val="20"/>
        </w:rPr>
      </w:pPr>
      <w:r w:rsidRPr="00E7286C">
        <w:rPr>
          <w:color w:val="000000"/>
          <w:sz w:val="20"/>
          <w:szCs w:val="20"/>
        </w:rPr>
        <w:t>Goldin, C., 2014. ‘A grand gender convergence: Its last chapter’, </w:t>
      </w:r>
      <w:r w:rsidRPr="00E7286C">
        <w:rPr>
          <w:i/>
          <w:iCs/>
          <w:color w:val="000000"/>
          <w:sz w:val="20"/>
          <w:szCs w:val="20"/>
        </w:rPr>
        <w:t>American economic review</w:t>
      </w:r>
      <w:r w:rsidRPr="00E7286C">
        <w:rPr>
          <w:color w:val="000000"/>
          <w:sz w:val="20"/>
          <w:szCs w:val="20"/>
        </w:rPr>
        <w:t>, </w:t>
      </w:r>
      <w:r w:rsidRPr="00E7286C">
        <w:rPr>
          <w:i/>
          <w:iCs/>
          <w:color w:val="000000"/>
          <w:sz w:val="20"/>
          <w:szCs w:val="20"/>
        </w:rPr>
        <w:t>104</w:t>
      </w:r>
      <w:r w:rsidRPr="00E7286C">
        <w:rPr>
          <w:color w:val="000000"/>
          <w:sz w:val="20"/>
          <w:szCs w:val="20"/>
        </w:rPr>
        <w:t>(4), pp.1091–1119.</w:t>
      </w:r>
    </w:p>
    <w:p w14:paraId="7DD587AE" w14:textId="77777777" w:rsidR="00774ABC" w:rsidRPr="00E7286C" w:rsidRDefault="00774ABC" w:rsidP="00774ABC">
      <w:pPr>
        <w:pStyle w:val="whitespace-pre-wrap"/>
        <w:spacing w:before="0" w:beforeAutospacing="0" w:after="0" w:afterAutospacing="0"/>
        <w:ind w:firstLine="340"/>
        <w:rPr>
          <w:color w:val="000000"/>
          <w:sz w:val="20"/>
          <w:szCs w:val="20"/>
        </w:rPr>
      </w:pPr>
      <w:r w:rsidRPr="00E7286C">
        <w:rPr>
          <w:color w:val="000000"/>
          <w:sz w:val="20"/>
          <w:szCs w:val="20"/>
        </w:rPr>
        <w:t>Goldin, C., Kerr, S. P., Olivetti, C., &amp; Barth, E. (2017). ‘The expanding gender earnings gap: Evidence from the LEHD-2000 Census’, </w:t>
      </w:r>
      <w:r w:rsidRPr="00E7286C">
        <w:rPr>
          <w:i/>
          <w:iCs/>
          <w:color w:val="000000"/>
          <w:sz w:val="20"/>
          <w:szCs w:val="20"/>
        </w:rPr>
        <w:t>American Economic Review</w:t>
      </w:r>
      <w:r w:rsidRPr="00E7286C">
        <w:rPr>
          <w:color w:val="000000"/>
          <w:sz w:val="20"/>
          <w:szCs w:val="20"/>
        </w:rPr>
        <w:t>, </w:t>
      </w:r>
      <w:r w:rsidRPr="00E7286C">
        <w:rPr>
          <w:i/>
          <w:iCs/>
          <w:color w:val="000000"/>
          <w:sz w:val="20"/>
          <w:szCs w:val="20"/>
        </w:rPr>
        <w:t>107</w:t>
      </w:r>
      <w:r w:rsidRPr="00E7286C">
        <w:rPr>
          <w:color w:val="000000"/>
          <w:sz w:val="20"/>
          <w:szCs w:val="20"/>
        </w:rPr>
        <w:t>(5), 110–114.</w:t>
      </w:r>
    </w:p>
    <w:p w14:paraId="03C31A72" w14:textId="77777777" w:rsidR="00774ABC" w:rsidRPr="00E7286C" w:rsidRDefault="00774ABC" w:rsidP="00774ABC">
      <w:pPr>
        <w:pStyle w:val="whitespace-pre-wrap"/>
        <w:spacing w:before="0" w:beforeAutospacing="0" w:after="0" w:afterAutospacing="0"/>
        <w:ind w:firstLine="340"/>
        <w:rPr>
          <w:color w:val="000000"/>
          <w:sz w:val="20"/>
          <w:szCs w:val="20"/>
        </w:rPr>
      </w:pPr>
      <w:r w:rsidRPr="00E7286C">
        <w:rPr>
          <w:color w:val="000000"/>
          <w:sz w:val="20"/>
          <w:szCs w:val="20"/>
        </w:rPr>
        <w:t>Graf, N., Brown, A. &amp; Patten, E. (2018) </w:t>
      </w:r>
      <w:r w:rsidRPr="00E7286C">
        <w:rPr>
          <w:i/>
          <w:iCs/>
          <w:color w:val="000000"/>
          <w:sz w:val="20"/>
          <w:szCs w:val="20"/>
        </w:rPr>
        <w:t>The narrowing, but persistent, gender gap in pay</w:t>
      </w:r>
      <w:r w:rsidRPr="00E7286C">
        <w:rPr>
          <w:color w:val="000000"/>
          <w:sz w:val="20"/>
          <w:szCs w:val="20"/>
        </w:rPr>
        <w:t xml:space="preserve">. Washington, DC: Pew Research </w:t>
      </w:r>
      <w:proofErr w:type="spellStart"/>
      <w:r w:rsidRPr="00E7286C">
        <w:rPr>
          <w:color w:val="000000"/>
          <w:sz w:val="20"/>
          <w:szCs w:val="20"/>
        </w:rPr>
        <w:t>Center</w:t>
      </w:r>
      <w:proofErr w:type="spellEnd"/>
      <w:r w:rsidRPr="00E7286C">
        <w:rPr>
          <w:color w:val="000000"/>
          <w:sz w:val="20"/>
          <w:szCs w:val="20"/>
        </w:rPr>
        <w:t>.</w:t>
      </w:r>
    </w:p>
    <w:p w14:paraId="6EDA4108" w14:textId="77777777" w:rsidR="00774ABC" w:rsidRPr="00E7286C" w:rsidRDefault="00774ABC" w:rsidP="00774ABC">
      <w:pPr>
        <w:pStyle w:val="whitespace-pre-wrap"/>
        <w:spacing w:before="0" w:beforeAutospacing="0" w:after="0" w:afterAutospacing="0"/>
        <w:ind w:firstLine="340"/>
        <w:rPr>
          <w:color w:val="000000"/>
          <w:sz w:val="20"/>
          <w:szCs w:val="20"/>
        </w:rPr>
      </w:pPr>
      <w:r w:rsidRPr="00E7286C">
        <w:rPr>
          <w:color w:val="000000"/>
          <w:sz w:val="20"/>
          <w:szCs w:val="20"/>
        </w:rPr>
        <w:t>IBISWorld (2023) </w:t>
      </w:r>
      <w:r w:rsidRPr="00E7286C">
        <w:rPr>
          <w:i/>
          <w:iCs/>
          <w:color w:val="000000"/>
          <w:sz w:val="20"/>
          <w:szCs w:val="20"/>
        </w:rPr>
        <w:t>Industry Reports: Australia</w:t>
      </w:r>
      <w:r w:rsidRPr="00E7286C">
        <w:rPr>
          <w:color w:val="000000"/>
          <w:sz w:val="20"/>
          <w:szCs w:val="20"/>
        </w:rPr>
        <w:t>. Melbourne: IBISWorld.</w:t>
      </w:r>
    </w:p>
    <w:p w14:paraId="45FDC3E5" w14:textId="77777777" w:rsidR="00774ABC" w:rsidRPr="00E7286C" w:rsidRDefault="00774ABC" w:rsidP="00774ABC">
      <w:pPr>
        <w:pStyle w:val="whitespace-pre-wrap"/>
        <w:spacing w:before="0" w:beforeAutospacing="0" w:after="0" w:afterAutospacing="0"/>
        <w:ind w:firstLine="340"/>
        <w:rPr>
          <w:color w:val="000000"/>
          <w:sz w:val="20"/>
          <w:szCs w:val="20"/>
        </w:rPr>
      </w:pPr>
      <w:r w:rsidRPr="00E7286C">
        <w:rPr>
          <w:color w:val="000000"/>
          <w:sz w:val="20"/>
          <w:szCs w:val="20"/>
        </w:rPr>
        <w:t>Kacperczyk, A. &amp; Balachandran, C. (2018) ‘Vertical and horizontal wage dispersion and mobility outcomes: Evidence from the Swedish microdata’, </w:t>
      </w:r>
      <w:r w:rsidRPr="00E7286C">
        <w:rPr>
          <w:i/>
          <w:iCs/>
          <w:color w:val="000000"/>
          <w:sz w:val="20"/>
          <w:szCs w:val="20"/>
        </w:rPr>
        <w:t>Organization Science</w:t>
      </w:r>
      <w:r w:rsidRPr="00E7286C">
        <w:rPr>
          <w:color w:val="000000"/>
          <w:sz w:val="20"/>
          <w:szCs w:val="20"/>
        </w:rPr>
        <w:t>, 29(1), pp. 17–38.</w:t>
      </w:r>
    </w:p>
    <w:p w14:paraId="335108ED" w14:textId="77777777" w:rsidR="00774ABC" w:rsidRPr="00E7286C" w:rsidRDefault="00774ABC" w:rsidP="00774ABC">
      <w:pPr>
        <w:pStyle w:val="whitespace-pre-wrap"/>
        <w:spacing w:before="0" w:beforeAutospacing="0" w:after="0" w:afterAutospacing="0"/>
        <w:ind w:firstLine="340"/>
        <w:rPr>
          <w:color w:val="000000"/>
          <w:sz w:val="20"/>
          <w:szCs w:val="20"/>
        </w:rPr>
      </w:pPr>
      <w:r w:rsidRPr="00E7286C">
        <w:rPr>
          <w:color w:val="000000"/>
          <w:sz w:val="20"/>
          <w:szCs w:val="20"/>
        </w:rPr>
        <w:t>Kalev, A., Dobbin, F. &amp; Kelly, E. (2006) ‘Best practices or best guesses? Assessing the efficacy of corporate affirmative action and diversity policies’, </w:t>
      </w:r>
      <w:r w:rsidRPr="00E7286C">
        <w:rPr>
          <w:i/>
          <w:iCs/>
          <w:color w:val="000000"/>
          <w:sz w:val="20"/>
          <w:szCs w:val="20"/>
        </w:rPr>
        <w:t>American Sociological Review</w:t>
      </w:r>
      <w:r w:rsidRPr="00E7286C">
        <w:rPr>
          <w:color w:val="000000"/>
          <w:sz w:val="20"/>
          <w:szCs w:val="20"/>
        </w:rPr>
        <w:t>, 71(4), pp. 589–617.</w:t>
      </w:r>
    </w:p>
    <w:p w14:paraId="46D032AE" w14:textId="77777777" w:rsidR="00774ABC" w:rsidRPr="00E7286C" w:rsidRDefault="00774ABC" w:rsidP="00774ABC">
      <w:pPr>
        <w:pStyle w:val="whitespace-pre-wrap"/>
        <w:spacing w:before="0" w:beforeAutospacing="0" w:after="0" w:afterAutospacing="0"/>
        <w:ind w:firstLine="340"/>
        <w:rPr>
          <w:color w:val="000000"/>
          <w:sz w:val="20"/>
          <w:szCs w:val="20"/>
        </w:rPr>
      </w:pPr>
      <w:r w:rsidRPr="00E7286C">
        <w:rPr>
          <w:color w:val="000000"/>
          <w:sz w:val="20"/>
          <w:szCs w:val="20"/>
        </w:rPr>
        <w:t>Kelan, E. K. (2009) ‘Gender fatigue: The ideological dilemma of gender neutrality and discrimination in organizations’, </w:t>
      </w:r>
      <w:r w:rsidRPr="00E7286C">
        <w:rPr>
          <w:i/>
          <w:iCs/>
          <w:color w:val="000000"/>
          <w:sz w:val="20"/>
          <w:szCs w:val="20"/>
        </w:rPr>
        <w:t>Canadian Journal of Administrative Sciences</w:t>
      </w:r>
      <w:r w:rsidRPr="00E7286C">
        <w:rPr>
          <w:color w:val="000000"/>
          <w:sz w:val="20"/>
          <w:szCs w:val="20"/>
        </w:rPr>
        <w:t>, 26(3), pp. 197–210.</w:t>
      </w:r>
    </w:p>
    <w:p w14:paraId="3C351B19" w14:textId="77777777" w:rsidR="00774ABC" w:rsidRPr="00905D78" w:rsidRDefault="00774ABC" w:rsidP="00774ABC">
      <w:pPr>
        <w:pStyle w:val="whitespace-pre-wrap"/>
        <w:spacing w:before="0" w:beforeAutospacing="0" w:after="0" w:afterAutospacing="0"/>
        <w:ind w:firstLine="340"/>
        <w:rPr>
          <w:color w:val="000000"/>
          <w:sz w:val="20"/>
          <w:szCs w:val="20"/>
        </w:rPr>
      </w:pPr>
      <w:r w:rsidRPr="00E7286C">
        <w:rPr>
          <w:color w:val="000000"/>
          <w:sz w:val="20"/>
          <w:szCs w:val="20"/>
        </w:rPr>
        <w:t>Kelliher, C. and Anderson, D., 2010. ‘Doing more with less? Flexible working practices and the intensification of work’, </w:t>
      </w:r>
      <w:r w:rsidRPr="00E7286C">
        <w:rPr>
          <w:i/>
          <w:iCs/>
          <w:color w:val="000000"/>
          <w:sz w:val="20"/>
          <w:szCs w:val="20"/>
        </w:rPr>
        <w:t>Human relations</w:t>
      </w:r>
      <w:r w:rsidRPr="00E7286C">
        <w:rPr>
          <w:color w:val="000000"/>
          <w:sz w:val="20"/>
          <w:szCs w:val="20"/>
        </w:rPr>
        <w:t>, </w:t>
      </w:r>
      <w:r w:rsidRPr="00E7286C">
        <w:rPr>
          <w:i/>
          <w:iCs/>
          <w:color w:val="000000"/>
          <w:sz w:val="20"/>
          <w:szCs w:val="20"/>
        </w:rPr>
        <w:t>63</w:t>
      </w:r>
      <w:r w:rsidRPr="00E7286C">
        <w:rPr>
          <w:color w:val="000000"/>
          <w:sz w:val="20"/>
          <w:szCs w:val="20"/>
        </w:rPr>
        <w:t>(1), pp.83–106.</w:t>
      </w:r>
    </w:p>
    <w:p w14:paraId="5C5D5869"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 xml:space="preserve">Kennedy, T., Rae, M., Sheridan, A. &amp; </w:t>
      </w:r>
      <w:proofErr w:type="spellStart"/>
      <w:r w:rsidRPr="00905D78">
        <w:rPr>
          <w:color w:val="000000"/>
          <w:sz w:val="20"/>
          <w:szCs w:val="20"/>
        </w:rPr>
        <w:t>Valadkhani</w:t>
      </w:r>
      <w:proofErr w:type="spellEnd"/>
      <w:r w:rsidRPr="00905D78">
        <w:rPr>
          <w:color w:val="000000"/>
          <w:sz w:val="20"/>
          <w:szCs w:val="20"/>
        </w:rPr>
        <w:t>, A. (2017) ‘Reducing gender wage inequality increases economic prosperity for all: Insights from Australia’, </w:t>
      </w:r>
      <w:r w:rsidRPr="00905D78">
        <w:rPr>
          <w:i/>
          <w:iCs/>
          <w:color w:val="000000"/>
          <w:sz w:val="20"/>
          <w:szCs w:val="20"/>
        </w:rPr>
        <w:t>Economic Analysis and Policy</w:t>
      </w:r>
      <w:r w:rsidRPr="00905D78">
        <w:rPr>
          <w:color w:val="000000"/>
          <w:sz w:val="20"/>
          <w:szCs w:val="20"/>
        </w:rPr>
        <w:t>, 55, pp. 14–24.</w:t>
      </w:r>
    </w:p>
    <w:p w14:paraId="0415952E" w14:textId="77777777" w:rsidR="00774ABC" w:rsidRPr="00905D78" w:rsidRDefault="00774ABC" w:rsidP="00774ABC">
      <w:pPr>
        <w:pStyle w:val="whitespace-pre-wrap"/>
        <w:spacing w:before="0" w:beforeAutospacing="0" w:after="0" w:afterAutospacing="0"/>
        <w:ind w:firstLine="340"/>
        <w:rPr>
          <w:color w:val="000000"/>
          <w:sz w:val="20"/>
          <w:szCs w:val="20"/>
        </w:rPr>
      </w:pPr>
      <w:proofErr w:type="spellStart"/>
      <w:r w:rsidRPr="00905D78">
        <w:rPr>
          <w:color w:val="000000"/>
          <w:sz w:val="20"/>
          <w:szCs w:val="20"/>
        </w:rPr>
        <w:t>Kristjanpoller</w:t>
      </w:r>
      <w:proofErr w:type="spellEnd"/>
      <w:r w:rsidRPr="00905D78">
        <w:rPr>
          <w:color w:val="000000"/>
          <w:sz w:val="20"/>
          <w:szCs w:val="20"/>
        </w:rPr>
        <w:t>, W. D., Olson, J. E. &amp; Salazar, R. I. (2023) ‘Using machine learning to estimate the gender wage gap’, </w:t>
      </w:r>
      <w:r w:rsidRPr="00905D78">
        <w:rPr>
          <w:i/>
          <w:iCs/>
          <w:color w:val="000000"/>
          <w:sz w:val="20"/>
          <w:szCs w:val="20"/>
        </w:rPr>
        <w:t>Applied Economics</w:t>
      </w:r>
      <w:r w:rsidRPr="00905D78">
        <w:rPr>
          <w:color w:val="000000"/>
          <w:sz w:val="20"/>
          <w:szCs w:val="20"/>
        </w:rPr>
        <w:t>, 55(1), pp. 48–64.</w:t>
      </w:r>
    </w:p>
    <w:p w14:paraId="4B08C1CE" w14:textId="77777777" w:rsidR="00774ABC" w:rsidRPr="00905D78" w:rsidRDefault="00774ABC" w:rsidP="00774ABC">
      <w:pPr>
        <w:pStyle w:val="whitespace-pre-wrap"/>
        <w:spacing w:before="0" w:beforeAutospacing="0" w:after="0" w:afterAutospacing="0"/>
        <w:ind w:firstLine="340"/>
        <w:rPr>
          <w:color w:val="000000"/>
          <w:sz w:val="20"/>
          <w:szCs w:val="20"/>
        </w:rPr>
      </w:pPr>
      <w:proofErr w:type="spellStart"/>
      <w:r w:rsidRPr="00905D78">
        <w:rPr>
          <w:color w:val="000000"/>
          <w:sz w:val="20"/>
          <w:szCs w:val="20"/>
        </w:rPr>
        <w:t>Kristjanpoller</w:t>
      </w:r>
      <w:proofErr w:type="spellEnd"/>
      <w:r w:rsidRPr="00905D78">
        <w:rPr>
          <w:color w:val="000000"/>
          <w:sz w:val="20"/>
          <w:szCs w:val="20"/>
        </w:rPr>
        <w:t>, W., Michell, K. &amp; Olson, J. E. (2023) ‘Determining the gender wage gap through causal inference and machine learning models: Evidence from Chile’, </w:t>
      </w:r>
      <w:r w:rsidRPr="00905D78">
        <w:rPr>
          <w:i/>
          <w:iCs/>
          <w:color w:val="000000"/>
          <w:sz w:val="20"/>
          <w:szCs w:val="20"/>
        </w:rPr>
        <w:t>Neural Computing and Applications</w:t>
      </w:r>
      <w:r w:rsidRPr="00905D78">
        <w:rPr>
          <w:color w:val="000000"/>
          <w:sz w:val="20"/>
          <w:szCs w:val="20"/>
        </w:rPr>
        <w:t>, 35(13), pp. 9841–9863.</w:t>
      </w:r>
    </w:p>
    <w:p w14:paraId="29FFC93D"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Kunze, A. &amp; Miller, A. R. (2017) ‘Women helping women? Evidence from private sector data on workplace hierarchies’, </w:t>
      </w:r>
      <w:r w:rsidRPr="00905D78">
        <w:rPr>
          <w:i/>
          <w:iCs/>
          <w:color w:val="000000"/>
          <w:sz w:val="20"/>
          <w:szCs w:val="20"/>
        </w:rPr>
        <w:t>Review of Economics and Statistics</w:t>
      </w:r>
      <w:r w:rsidRPr="00905D78">
        <w:rPr>
          <w:color w:val="000000"/>
          <w:sz w:val="20"/>
          <w:szCs w:val="20"/>
        </w:rPr>
        <w:t>, 99(5), pp. 769–775.</w:t>
      </w:r>
    </w:p>
    <w:p w14:paraId="54D7F4FD"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Lott, Y. &amp; Klenner, C. (2018) ‘Are the ideal workers on leave? Flexible work arrangements and the risk of perceived unavailability’, </w:t>
      </w:r>
      <w:r w:rsidRPr="00905D78">
        <w:rPr>
          <w:i/>
          <w:iCs/>
          <w:color w:val="000000"/>
          <w:sz w:val="20"/>
          <w:szCs w:val="20"/>
        </w:rPr>
        <w:t>European Sociological Review</w:t>
      </w:r>
      <w:r w:rsidRPr="00905D78">
        <w:rPr>
          <w:color w:val="000000"/>
          <w:sz w:val="20"/>
          <w:szCs w:val="20"/>
        </w:rPr>
        <w:t>, 34(5), pp. 579–593.</w:t>
      </w:r>
    </w:p>
    <w:p w14:paraId="7BDE60DA"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Lyons, S. &amp; Kuron, L. (2020) ‘Generational differences in the workplace: A review of the evidence and directions for future research’, </w:t>
      </w:r>
      <w:r w:rsidRPr="00905D78">
        <w:rPr>
          <w:i/>
          <w:iCs/>
          <w:color w:val="000000"/>
          <w:sz w:val="20"/>
          <w:szCs w:val="20"/>
        </w:rPr>
        <w:t xml:space="preserve">Journal of Organizational </w:t>
      </w:r>
      <w:proofErr w:type="spellStart"/>
      <w:r w:rsidRPr="00905D78">
        <w:rPr>
          <w:i/>
          <w:iCs/>
          <w:color w:val="000000"/>
          <w:sz w:val="20"/>
          <w:szCs w:val="20"/>
        </w:rPr>
        <w:t>Behavior</w:t>
      </w:r>
      <w:proofErr w:type="spellEnd"/>
      <w:r w:rsidRPr="00905D78">
        <w:rPr>
          <w:color w:val="000000"/>
          <w:sz w:val="20"/>
          <w:szCs w:val="20"/>
        </w:rPr>
        <w:t>, 41(2), pp. 156–172.</w:t>
      </w:r>
    </w:p>
    <w:p w14:paraId="1D368E53" w14:textId="77777777" w:rsidR="00774ABC"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Mandel, H. &amp; Semyonov, M. (2014) ‘Gender pay gap and employment sector: Sources of earnings disparities in the United States, 1970–2010’, </w:t>
      </w:r>
      <w:r w:rsidRPr="00905D78">
        <w:rPr>
          <w:i/>
          <w:iCs/>
          <w:color w:val="000000"/>
          <w:sz w:val="20"/>
          <w:szCs w:val="20"/>
        </w:rPr>
        <w:t>Demography</w:t>
      </w:r>
      <w:r w:rsidRPr="00905D78">
        <w:rPr>
          <w:color w:val="000000"/>
          <w:sz w:val="20"/>
          <w:szCs w:val="20"/>
        </w:rPr>
        <w:t>, 51(5), pp. 1597–1618.</w:t>
      </w:r>
    </w:p>
    <w:p w14:paraId="50FEB4AF" w14:textId="77777777" w:rsidR="00774ABC" w:rsidRPr="00905D78" w:rsidRDefault="00774ABC" w:rsidP="00774ABC">
      <w:pPr>
        <w:pStyle w:val="whitespace-pre-wrap"/>
        <w:spacing w:before="0" w:beforeAutospacing="0" w:after="0" w:afterAutospacing="0"/>
        <w:ind w:firstLine="340"/>
        <w:rPr>
          <w:color w:val="000000"/>
          <w:sz w:val="20"/>
          <w:szCs w:val="20"/>
        </w:rPr>
      </w:pPr>
      <w:r w:rsidRPr="009F5D0E">
        <w:rPr>
          <w:color w:val="000000"/>
          <w:sz w:val="20"/>
          <w:szCs w:val="20"/>
        </w:rPr>
        <w:t>Mavin, S., &amp; Yusupova, M. (2020). Gendered experiences of leading and managing through COVID-19: Patriarchy and precarity. </w:t>
      </w:r>
      <w:r w:rsidRPr="009F5D0E">
        <w:rPr>
          <w:i/>
          <w:iCs/>
          <w:color w:val="000000"/>
          <w:sz w:val="20"/>
          <w:szCs w:val="20"/>
        </w:rPr>
        <w:t>Gender in Management: An International Journal</w:t>
      </w:r>
      <w:r w:rsidRPr="009F5D0E">
        <w:rPr>
          <w:color w:val="000000"/>
          <w:sz w:val="20"/>
          <w:szCs w:val="20"/>
        </w:rPr>
        <w:t>, </w:t>
      </w:r>
      <w:r w:rsidRPr="009F5D0E">
        <w:rPr>
          <w:i/>
          <w:iCs/>
          <w:color w:val="000000"/>
          <w:sz w:val="20"/>
          <w:szCs w:val="20"/>
        </w:rPr>
        <w:t>35</w:t>
      </w:r>
      <w:r w:rsidRPr="009F5D0E">
        <w:rPr>
          <w:color w:val="000000"/>
          <w:sz w:val="20"/>
          <w:szCs w:val="20"/>
        </w:rPr>
        <w:t>(7/8), 737-744.</w:t>
      </w:r>
    </w:p>
    <w:p w14:paraId="56666FB2"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McKinsey &amp; Company (2023) </w:t>
      </w:r>
      <w:r w:rsidRPr="00905D78">
        <w:rPr>
          <w:i/>
          <w:iCs/>
          <w:color w:val="000000"/>
          <w:sz w:val="20"/>
          <w:szCs w:val="20"/>
        </w:rPr>
        <w:t>Women in the Workplace 2023</w:t>
      </w:r>
      <w:r w:rsidRPr="00905D78">
        <w:rPr>
          <w:color w:val="000000"/>
          <w:sz w:val="20"/>
          <w:szCs w:val="20"/>
        </w:rPr>
        <w:t>. New York: McKinsey &amp; Company.</w:t>
      </w:r>
    </w:p>
    <w:p w14:paraId="32D7DC80"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Miller, T. &amp; del Carmen Triana, M. (2009) ‘Demographic diversity in the boardroom: Mediators of the board diversity–firm performance relationship’, </w:t>
      </w:r>
      <w:r w:rsidRPr="00905D78">
        <w:rPr>
          <w:i/>
          <w:iCs/>
          <w:color w:val="000000"/>
          <w:sz w:val="20"/>
          <w:szCs w:val="20"/>
        </w:rPr>
        <w:t>Journal of Management Studies</w:t>
      </w:r>
      <w:r w:rsidRPr="00905D78">
        <w:rPr>
          <w:color w:val="000000"/>
          <w:sz w:val="20"/>
          <w:szCs w:val="20"/>
        </w:rPr>
        <w:t>, 46(5), pp. 755–786.</w:t>
      </w:r>
    </w:p>
    <w:p w14:paraId="1E32F65D"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Molnar, C. (2022) </w:t>
      </w:r>
      <w:r w:rsidRPr="00905D78">
        <w:rPr>
          <w:i/>
          <w:iCs/>
          <w:color w:val="000000"/>
          <w:sz w:val="20"/>
          <w:szCs w:val="20"/>
        </w:rPr>
        <w:t>Interpretable machine learning: A guide for making black box models explainable</w:t>
      </w:r>
      <w:r w:rsidRPr="00905D78">
        <w:rPr>
          <w:color w:val="000000"/>
          <w:sz w:val="20"/>
          <w:szCs w:val="20"/>
        </w:rPr>
        <w:t>. Available at: </w:t>
      </w:r>
      <w:hyperlink r:id="rId10" w:tgtFrame="_new" w:history="1">
        <w:r w:rsidRPr="00905D78">
          <w:rPr>
            <w:rStyle w:val="Hyperlink"/>
            <w:sz w:val="20"/>
            <w:szCs w:val="20"/>
          </w:rPr>
          <w:t>https://christophm.github.io/interpretable-ml-book/</w:t>
        </w:r>
      </w:hyperlink>
      <w:r w:rsidRPr="00905D78">
        <w:rPr>
          <w:color w:val="000000"/>
          <w:sz w:val="20"/>
          <w:szCs w:val="20"/>
        </w:rPr>
        <w:t> (Accessed: 24 May 2025).</w:t>
      </w:r>
    </w:p>
    <w:p w14:paraId="24221BCA"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 xml:space="preserve">Oaxaca, R. (1973) ‘Male–female wage differentials in urban </w:t>
      </w:r>
      <w:proofErr w:type="spellStart"/>
      <w:r w:rsidRPr="00905D78">
        <w:rPr>
          <w:color w:val="000000"/>
          <w:sz w:val="20"/>
          <w:szCs w:val="20"/>
        </w:rPr>
        <w:t>labor</w:t>
      </w:r>
      <w:proofErr w:type="spellEnd"/>
      <w:r w:rsidRPr="00905D78">
        <w:rPr>
          <w:color w:val="000000"/>
          <w:sz w:val="20"/>
          <w:szCs w:val="20"/>
        </w:rPr>
        <w:t xml:space="preserve"> markets’, </w:t>
      </w:r>
      <w:r w:rsidRPr="00905D78">
        <w:rPr>
          <w:i/>
          <w:iCs/>
          <w:color w:val="000000"/>
          <w:sz w:val="20"/>
          <w:szCs w:val="20"/>
        </w:rPr>
        <w:t>International Economic Review</w:t>
      </w:r>
      <w:r w:rsidRPr="00905D78">
        <w:rPr>
          <w:color w:val="000000"/>
          <w:sz w:val="20"/>
          <w:szCs w:val="20"/>
        </w:rPr>
        <w:t>, 14(3), pp. 693–709.</w:t>
      </w:r>
    </w:p>
    <w:p w14:paraId="4B90CB3B" w14:textId="77777777" w:rsidR="00774ABC" w:rsidRPr="00905D78" w:rsidRDefault="00774ABC" w:rsidP="00774ABC">
      <w:pPr>
        <w:pStyle w:val="whitespace-pre-wrap"/>
        <w:spacing w:before="0" w:beforeAutospacing="0" w:after="0" w:afterAutospacing="0"/>
        <w:ind w:firstLine="340"/>
        <w:rPr>
          <w:color w:val="000000"/>
          <w:sz w:val="20"/>
          <w:szCs w:val="20"/>
        </w:rPr>
      </w:pPr>
      <w:proofErr w:type="spellStart"/>
      <w:r w:rsidRPr="00905D78">
        <w:rPr>
          <w:color w:val="000000"/>
          <w:sz w:val="20"/>
          <w:szCs w:val="20"/>
        </w:rPr>
        <w:lastRenderedPageBreak/>
        <w:t>Papíková</w:t>
      </w:r>
      <w:proofErr w:type="spellEnd"/>
      <w:r w:rsidRPr="00905D78">
        <w:rPr>
          <w:color w:val="000000"/>
          <w:sz w:val="20"/>
          <w:szCs w:val="20"/>
        </w:rPr>
        <w:t xml:space="preserve">, L. &amp; </w:t>
      </w:r>
      <w:proofErr w:type="spellStart"/>
      <w:r w:rsidRPr="00905D78">
        <w:rPr>
          <w:color w:val="000000"/>
          <w:sz w:val="20"/>
          <w:szCs w:val="20"/>
        </w:rPr>
        <w:t>Papík</w:t>
      </w:r>
      <w:proofErr w:type="spellEnd"/>
      <w:r w:rsidRPr="00905D78">
        <w:rPr>
          <w:color w:val="000000"/>
          <w:sz w:val="20"/>
          <w:szCs w:val="20"/>
        </w:rPr>
        <w:t>, M. (2024) ‘Gender diversity of board of directors and shareholders: Machine learning exploration during COVID-19’, </w:t>
      </w:r>
      <w:r w:rsidRPr="00905D78">
        <w:rPr>
          <w:i/>
          <w:iCs/>
          <w:color w:val="000000"/>
          <w:sz w:val="20"/>
          <w:szCs w:val="20"/>
        </w:rPr>
        <w:t>Gender in Management: An International Journal</w:t>
      </w:r>
      <w:r w:rsidRPr="00905D78">
        <w:rPr>
          <w:color w:val="000000"/>
          <w:sz w:val="20"/>
          <w:szCs w:val="20"/>
        </w:rPr>
        <w:t>, 39(3), pp. 345–369.</w:t>
      </w:r>
    </w:p>
    <w:p w14:paraId="0CD16EC7"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Petersen, T. &amp; Saporta, I. (2004) ‘The opportunity structure for discrimination’, </w:t>
      </w:r>
      <w:r w:rsidRPr="00905D78">
        <w:rPr>
          <w:i/>
          <w:iCs/>
          <w:color w:val="000000"/>
          <w:sz w:val="20"/>
          <w:szCs w:val="20"/>
        </w:rPr>
        <w:t>American Journal of Sociology</w:t>
      </w:r>
      <w:r w:rsidRPr="00905D78">
        <w:rPr>
          <w:color w:val="000000"/>
          <w:sz w:val="20"/>
          <w:szCs w:val="20"/>
        </w:rPr>
        <w:t>, 109(4), pp. 852–901.</w:t>
      </w:r>
    </w:p>
    <w:p w14:paraId="599381B0"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Pocock, B. &amp; Charlesworth, S. (2017) ‘Multilevel work–family interventions: Creating good-quality employment over the life course’, </w:t>
      </w:r>
      <w:r w:rsidRPr="00905D78">
        <w:rPr>
          <w:i/>
          <w:iCs/>
          <w:color w:val="000000"/>
          <w:sz w:val="20"/>
          <w:szCs w:val="20"/>
        </w:rPr>
        <w:t>Work and Occupations</w:t>
      </w:r>
      <w:r w:rsidRPr="00905D78">
        <w:rPr>
          <w:color w:val="000000"/>
          <w:sz w:val="20"/>
          <w:szCs w:val="20"/>
        </w:rPr>
        <w:t>, 44(1), pp. 23–46.</w:t>
      </w:r>
    </w:p>
    <w:p w14:paraId="0AE31C06"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PricewaterhouseCoopers (2022) </w:t>
      </w:r>
      <w:r w:rsidRPr="00905D78">
        <w:rPr>
          <w:i/>
          <w:iCs/>
          <w:color w:val="000000"/>
          <w:sz w:val="20"/>
          <w:szCs w:val="20"/>
        </w:rPr>
        <w:t>The economic costs of the gender pay gap in Australia</w:t>
      </w:r>
      <w:r w:rsidRPr="00905D78">
        <w:rPr>
          <w:color w:val="000000"/>
          <w:sz w:val="20"/>
          <w:szCs w:val="20"/>
        </w:rPr>
        <w:t>. Sydney: PwC Australia.</w:t>
      </w:r>
    </w:p>
    <w:p w14:paraId="45B6D8E9"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Productivity Commission (2021) </w:t>
      </w:r>
      <w:r w:rsidRPr="00905D78">
        <w:rPr>
          <w:i/>
          <w:iCs/>
          <w:color w:val="000000"/>
          <w:sz w:val="20"/>
          <w:szCs w:val="20"/>
        </w:rPr>
        <w:t>Working from home</w:t>
      </w:r>
      <w:r w:rsidRPr="00905D78">
        <w:rPr>
          <w:color w:val="000000"/>
          <w:sz w:val="20"/>
          <w:szCs w:val="20"/>
        </w:rPr>
        <w:t>. Commission Research Paper. Canberra: Productivity Commission.</w:t>
      </w:r>
    </w:p>
    <w:p w14:paraId="12AC4E78" w14:textId="77777777" w:rsidR="00774ABC"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Reskin, B. F. &amp; Bielby, D. D. (2005) ‘A sociological perspective on gender and career outcomes’, </w:t>
      </w:r>
      <w:r w:rsidRPr="00905D78">
        <w:rPr>
          <w:i/>
          <w:iCs/>
          <w:color w:val="000000"/>
          <w:sz w:val="20"/>
          <w:szCs w:val="20"/>
        </w:rPr>
        <w:t>Journal of Economic Perspectives</w:t>
      </w:r>
      <w:r w:rsidRPr="00905D78">
        <w:rPr>
          <w:color w:val="000000"/>
          <w:sz w:val="20"/>
          <w:szCs w:val="20"/>
        </w:rPr>
        <w:t>, 19(1), pp. 71–86.</w:t>
      </w:r>
    </w:p>
    <w:p w14:paraId="774B13AD" w14:textId="77777777" w:rsidR="00774ABC" w:rsidRPr="00F63E9F" w:rsidRDefault="00774ABC" w:rsidP="00774ABC">
      <w:pPr>
        <w:pStyle w:val="whitespace-pre-wrap"/>
        <w:spacing w:before="0" w:beforeAutospacing="0" w:after="0" w:afterAutospacing="0"/>
        <w:ind w:firstLine="340"/>
        <w:rPr>
          <w:color w:val="000000"/>
          <w:sz w:val="20"/>
          <w:szCs w:val="20"/>
        </w:rPr>
      </w:pPr>
      <w:r w:rsidRPr="00F63E9F">
        <w:rPr>
          <w:color w:val="000000"/>
          <w:sz w:val="20"/>
          <w:szCs w:val="20"/>
        </w:rPr>
        <w:t>Richard, O. C., Roh, H., &amp; Pieper, J. R. (2013)</w:t>
      </w:r>
      <w:r>
        <w:rPr>
          <w:color w:val="000000"/>
          <w:sz w:val="20"/>
          <w:szCs w:val="20"/>
        </w:rPr>
        <w:t xml:space="preserve"> ‘</w:t>
      </w:r>
      <w:r w:rsidRPr="00F63E9F">
        <w:rPr>
          <w:color w:val="000000"/>
          <w:sz w:val="20"/>
          <w:szCs w:val="20"/>
        </w:rPr>
        <w:t>The link between diversity and equality management practice bundles and racial diversity in the managerial ranks: Does firm size matter?</w:t>
      </w:r>
      <w:r>
        <w:rPr>
          <w:color w:val="000000"/>
          <w:sz w:val="20"/>
          <w:szCs w:val="20"/>
        </w:rPr>
        <w:t>’,</w:t>
      </w:r>
      <w:r w:rsidRPr="00F63E9F">
        <w:rPr>
          <w:color w:val="000000"/>
          <w:sz w:val="20"/>
          <w:szCs w:val="20"/>
        </w:rPr>
        <w:t> </w:t>
      </w:r>
      <w:r w:rsidRPr="00F63E9F">
        <w:rPr>
          <w:i/>
          <w:iCs/>
          <w:color w:val="000000"/>
          <w:sz w:val="20"/>
          <w:szCs w:val="20"/>
        </w:rPr>
        <w:t>Human Resource Management</w:t>
      </w:r>
      <w:r w:rsidRPr="00F63E9F">
        <w:rPr>
          <w:color w:val="000000"/>
          <w:sz w:val="20"/>
          <w:szCs w:val="20"/>
        </w:rPr>
        <w:t>, </w:t>
      </w:r>
      <w:r w:rsidRPr="00F63E9F">
        <w:rPr>
          <w:i/>
          <w:iCs/>
          <w:color w:val="000000"/>
          <w:sz w:val="20"/>
          <w:szCs w:val="20"/>
        </w:rPr>
        <w:t>52</w:t>
      </w:r>
      <w:r w:rsidRPr="00F63E9F">
        <w:rPr>
          <w:color w:val="000000"/>
          <w:sz w:val="20"/>
          <w:szCs w:val="20"/>
        </w:rPr>
        <w:t xml:space="preserve">(2), </w:t>
      </w:r>
      <w:r>
        <w:rPr>
          <w:color w:val="000000"/>
          <w:sz w:val="20"/>
          <w:szCs w:val="20"/>
        </w:rPr>
        <w:t xml:space="preserve">pp. </w:t>
      </w:r>
      <w:r w:rsidRPr="00F63E9F">
        <w:rPr>
          <w:color w:val="000000"/>
          <w:sz w:val="20"/>
          <w:szCs w:val="20"/>
        </w:rPr>
        <w:t>215</w:t>
      </w:r>
      <w:r w:rsidRPr="00905D78">
        <w:rPr>
          <w:color w:val="000000"/>
          <w:sz w:val="20"/>
          <w:szCs w:val="20"/>
        </w:rPr>
        <w:t>–</w:t>
      </w:r>
      <w:r w:rsidRPr="00F63E9F">
        <w:rPr>
          <w:color w:val="000000"/>
          <w:sz w:val="20"/>
          <w:szCs w:val="20"/>
        </w:rPr>
        <w:t>242.</w:t>
      </w:r>
    </w:p>
    <w:p w14:paraId="163EDBFF" w14:textId="77777777" w:rsidR="00774ABC"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Ridgeway, G. &amp; Wu, A. (2021) ‘Identifying high-risk organizations for gender pay gaps using machine learning models’, </w:t>
      </w:r>
      <w:r w:rsidRPr="00905D78">
        <w:rPr>
          <w:i/>
          <w:iCs/>
          <w:color w:val="000000"/>
          <w:sz w:val="20"/>
          <w:szCs w:val="20"/>
        </w:rPr>
        <w:t>Journal of Business Analytics</w:t>
      </w:r>
      <w:r w:rsidRPr="00905D78">
        <w:rPr>
          <w:color w:val="000000"/>
          <w:sz w:val="20"/>
          <w:szCs w:val="20"/>
        </w:rPr>
        <w:t>, 4(2), pp. 98–115.</w:t>
      </w:r>
    </w:p>
    <w:p w14:paraId="048A7AC4" w14:textId="77777777" w:rsidR="00774ABC" w:rsidRPr="00905D78" w:rsidRDefault="00774ABC" w:rsidP="00774ABC">
      <w:pPr>
        <w:pStyle w:val="whitespace-pre-wrap"/>
        <w:spacing w:before="0" w:beforeAutospacing="0" w:after="0" w:afterAutospacing="0"/>
        <w:ind w:firstLine="340"/>
        <w:rPr>
          <w:color w:val="000000"/>
          <w:sz w:val="20"/>
          <w:szCs w:val="20"/>
        </w:rPr>
      </w:pPr>
      <w:r w:rsidRPr="009F5D0E">
        <w:rPr>
          <w:color w:val="000000"/>
          <w:sz w:val="20"/>
          <w:szCs w:val="20"/>
        </w:rPr>
        <w:t>Rodriguez, J. K., Guenther, E. A., &amp; Faiz, R. (2023). Feminist futures in gender-in-leadership research: self-reflexive approximations to intersectional situatedness. </w:t>
      </w:r>
      <w:r w:rsidRPr="009F5D0E">
        <w:rPr>
          <w:i/>
          <w:iCs/>
          <w:color w:val="000000"/>
          <w:sz w:val="20"/>
          <w:szCs w:val="20"/>
        </w:rPr>
        <w:t>Gender in Management: An International Journal</w:t>
      </w:r>
      <w:r w:rsidRPr="009F5D0E">
        <w:rPr>
          <w:color w:val="000000"/>
          <w:sz w:val="20"/>
          <w:szCs w:val="20"/>
        </w:rPr>
        <w:t>, </w:t>
      </w:r>
      <w:r w:rsidRPr="009F5D0E">
        <w:rPr>
          <w:i/>
          <w:iCs/>
          <w:color w:val="000000"/>
          <w:sz w:val="20"/>
          <w:szCs w:val="20"/>
        </w:rPr>
        <w:t>38</w:t>
      </w:r>
      <w:r w:rsidRPr="009F5D0E">
        <w:rPr>
          <w:color w:val="000000"/>
          <w:sz w:val="20"/>
          <w:szCs w:val="20"/>
        </w:rPr>
        <w:t>(2), 230-247.</w:t>
      </w:r>
    </w:p>
    <w:p w14:paraId="4F945C5C"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Rubery, J. &amp; Grimshaw, D. (2015) ‘The 40-year pursuit of equal pay: A case of constantly moving goalposts’, </w:t>
      </w:r>
      <w:r w:rsidRPr="00905D78">
        <w:rPr>
          <w:i/>
          <w:iCs/>
          <w:color w:val="000000"/>
          <w:sz w:val="20"/>
          <w:szCs w:val="20"/>
        </w:rPr>
        <w:t>Cambridge Journal of Economics</w:t>
      </w:r>
      <w:r w:rsidRPr="00905D78">
        <w:rPr>
          <w:color w:val="000000"/>
          <w:sz w:val="20"/>
          <w:szCs w:val="20"/>
        </w:rPr>
        <w:t>, 39(2), pp. 319–343.</w:t>
      </w:r>
    </w:p>
    <w:p w14:paraId="09A8273E"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Shu, X. &amp; Ye, Y. (2023) ‘Knowledge discovery: Methods from data mining and machine learning’, </w:t>
      </w:r>
      <w:r w:rsidRPr="00905D78">
        <w:rPr>
          <w:i/>
          <w:iCs/>
          <w:color w:val="000000"/>
          <w:sz w:val="20"/>
          <w:szCs w:val="20"/>
        </w:rPr>
        <w:t>Social Science Research</w:t>
      </w:r>
      <w:r w:rsidRPr="00905D78">
        <w:rPr>
          <w:color w:val="000000"/>
          <w:sz w:val="20"/>
          <w:szCs w:val="20"/>
        </w:rPr>
        <w:t>, 110, 102817.</w:t>
      </w:r>
    </w:p>
    <w:p w14:paraId="12F625A1"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 xml:space="preserve">Si, C., Nadolnyak, D. &amp; </w:t>
      </w:r>
      <w:proofErr w:type="spellStart"/>
      <w:r w:rsidRPr="00905D78">
        <w:rPr>
          <w:color w:val="000000"/>
          <w:sz w:val="20"/>
          <w:szCs w:val="20"/>
        </w:rPr>
        <w:t>Hartarska</w:t>
      </w:r>
      <w:proofErr w:type="spellEnd"/>
      <w:r w:rsidRPr="00905D78">
        <w:rPr>
          <w:color w:val="000000"/>
          <w:sz w:val="20"/>
          <w:szCs w:val="20"/>
        </w:rPr>
        <w:t>, V. (2021) ‘The gender wage gap in developing countries’, </w:t>
      </w:r>
      <w:r w:rsidRPr="00905D78">
        <w:rPr>
          <w:i/>
          <w:iCs/>
          <w:color w:val="000000"/>
          <w:sz w:val="20"/>
          <w:szCs w:val="20"/>
        </w:rPr>
        <w:t>Applied Economics and Finance</w:t>
      </w:r>
      <w:r w:rsidRPr="00905D78">
        <w:rPr>
          <w:color w:val="000000"/>
          <w:sz w:val="20"/>
          <w:szCs w:val="20"/>
        </w:rPr>
        <w:t>, 8(1), pp. 1–12.</w:t>
      </w:r>
    </w:p>
    <w:p w14:paraId="080E5C7F" w14:textId="77777777" w:rsidR="00774ABC"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 xml:space="preserve">Smith, M. &amp; Whitehouse, G. (2020) ‘Wage-setting and gender pay equality in Australia: Advances, retreats and </w:t>
      </w:r>
      <w:proofErr w:type="gramStart"/>
      <w:r w:rsidRPr="00905D78">
        <w:rPr>
          <w:color w:val="000000"/>
          <w:sz w:val="20"/>
          <w:szCs w:val="20"/>
        </w:rPr>
        <w:t>future prospects</w:t>
      </w:r>
      <w:proofErr w:type="gramEnd"/>
      <w:r w:rsidRPr="00905D78">
        <w:rPr>
          <w:color w:val="000000"/>
          <w:sz w:val="20"/>
          <w:szCs w:val="20"/>
        </w:rPr>
        <w:t>’, </w:t>
      </w:r>
      <w:r w:rsidRPr="00905D78">
        <w:rPr>
          <w:i/>
          <w:iCs/>
          <w:color w:val="000000"/>
          <w:sz w:val="20"/>
          <w:szCs w:val="20"/>
        </w:rPr>
        <w:t>Journal of Industrial Relations</w:t>
      </w:r>
      <w:r w:rsidRPr="00905D78">
        <w:rPr>
          <w:color w:val="000000"/>
          <w:sz w:val="20"/>
          <w:szCs w:val="20"/>
        </w:rPr>
        <w:t>, 62(4), pp. 533–559.</w:t>
      </w:r>
    </w:p>
    <w:p w14:paraId="29FF20CC" w14:textId="77777777" w:rsidR="00774ABC" w:rsidRPr="00905D78" w:rsidRDefault="00774ABC" w:rsidP="00774ABC">
      <w:pPr>
        <w:pStyle w:val="whitespace-pre-wrap"/>
        <w:spacing w:before="0" w:beforeAutospacing="0" w:after="0" w:afterAutospacing="0"/>
        <w:ind w:firstLine="340"/>
        <w:rPr>
          <w:color w:val="000000"/>
          <w:sz w:val="20"/>
          <w:szCs w:val="20"/>
        </w:rPr>
      </w:pPr>
      <w:r w:rsidRPr="00F63E9F">
        <w:rPr>
          <w:color w:val="000000"/>
          <w:sz w:val="20"/>
          <w:szCs w:val="20"/>
        </w:rPr>
        <w:t>Stamarski, C. S., &amp; Son Hing, L. S. (2015)</w:t>
      </w:r>
      <w:r>
        <w:rPr>
          <w:color w:val="000000"/>
          <w:sz w:val="20"/>
          <w:szCs w:val="20"/>
        </w:rPr>
        <w:t xml:space="preserve"> ‘</w:t>
      </w:r>
      <w:r w:rsidRPr="00F63E9F">
        <w:rPr>
          <w:color w:val="000000"/>
          <w:sz w:val="20"/>
          <w:szCs w:val="20"/>
        </w:rPr>
        <w:t>Gender inequalities in the workplace: the effects of organizational structures, processes, practices, and decision makers’ sexism</w:t>
      </w:r>
      <w:r>
        <w:rPr>
          <w:color w:val="000000"/>
          <w:sz w:val="20"/>
          <w:szCs w:val="20"/>
        </w:rPr>
        <w:t>’,</w:t>
      </w:r>
      <w:r w:rsidRPr="00F63E9F">
        <w:rPr>
          <w:color w:val="000000"/>
          <w:sz w:val="20"/>
          <w:szCs w:val="20"/>
        </w:rPr>
        <w:t> </w:t>
      </w:r>
      <w:r w:rsidRPr="00F63E9F">
        <w:rPr>
          <w:i/>
          <w:iCs/>
          <w:color w:val="000000"/>
          <w:sz w:val="20"/>
          <w:szCs w:val="20"/>
        </w:rPr>
        <w:t>Frontiers in psychology</w:t>
      </w:r>
      <w:r w:rsidRPr="00F63E9F">
        <w:rPr>
          <w:color w:val="000000"/>
          <w:sz w:val="20"/>
          <w:szCs w:val="20"/>
        </w:rPr>
        <w:t>, </w:t>
      </w:r>
      <w:r w:rsidRPr="00F63E9F">
        <w:rPr>
          <w:i/>
          <w:iCs/>
          <w:color w:val="000000"/>
          <w:sz w:val="20"/>
          <w:szCs w:val="20"/>
        </w:rPr>
        <w:t>6</w:t>
      </w:r>
      <w:r w:rsidRPr="00F63E9F">
        <w:rPr>
          <w:color w:val="000000"/>
          <w:sz w:val="20"/>
          <w:szCs w:val="20"/>
        </w:rPr>
        <w:t xml:space="preserve">, </w:t>
      </w:r>
      <w:r>
        <w:rPr>
          <w:color w:val="000000"/>
          <w:sz w:val="20"/>
          <w:szCs w:val="20"/>
        </w:rPr>
        <w:t xml:space="preserve">pp. </w:t>
      </w:r>
      <w:r w:rsidRPr="00F63E9F">
        <w:rPr>
          <w:color w:val="000000"/>
          <w:sz w:val="20"/>
          <w:szCs w:val="20"/>
        </w:rPr>
        <w:t>1400.</w:t>
      </w:r>
    </w:p>
    <w:p w14:paraId="3B99EF7A"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Tambe, P., Cappelli, P. &amp; Yakubovich, V. (2019) ‘Artificial intelligence in human resources management: Challenges and a path forward’, </w:t>
      </w:r>
      <w:r w:rsidRPr="00905D78">
        <w:rPr>
          <w:i/>
          <w:iCs/>
          <w:color w:val="000000"/>
          <w:sz w:val="20"/>
          <w:szCs w:val="20"/>
        </w:rPr>
        <w:t>California Management Review</w:t>
      </w:r>
      <w:r w:rsidRPr="00905D78">
        <w:rPr>
          <w:color w:val="000000"/>
          <w:sz w:val="20"/>
          <w:szCs w:val="20"/>
        </w:rPr>
        <w:t>, 61(4), pp. 15–42.</w:t>
      </w:r>
    </w:p>
    <w:p w14:paraId="1B84EC18"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Tomaskovic-Devey, D., Thomas, M. &amp; Johnson, K. (2006) ‘Race and the accumulation of human capital across the career: A theoretical model and fixed-effects application’, </w:t>
      </w:r>
      <w:r w:rsidRPr="00905D78">
        <w:rPr>
          <w:i/>
          <w:iCs/>
          <w:color w:val="000000"/>
          <w:sz w:val="20"/>
          <w:szCs w:val="20"/>
        </w:rPr>
        <w:t>American Journal of Sociology</w:t>
      </w:r>
      <w:r w:rsidRPr="00905D78">
        <w:rPr>
          <w:color w:val="000000"/>
          <w:sz w:val="20"/>
          <w:szCs w:val="20"/>
        </w:rPr>
        <w:t>, 111(1), pp. 58–89.</w:t>
      </w:r>
    </w:p>
    <w:p w14:paraId="55622737"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Watts, J. (2009) ‘Leaders of men: Women “managing” in construction’, </w:t>
      </w:r>
      <w:r w:rsidRPr="00905D78">
        <w:rPr>
          <w:i/>
          <w:iCs/>
          <w:color w:val="000000"/>
          <w:sz w:val="20"/>
          <w:szCs w:val="20"/>
        </w:rPr>
        <w:t>Work, Employment and Society</w:t>
      </w:r>
      <w:r w:rsidRPr="00905D78">
        <w:rPr>
          <w:color w:val="000000"/>
          <w:sz w:val="20"/>
          <w:szCs w:val="20"/>
        </w:rPr>
        <w:t>, 23(3), pp. 512–530.</w:t>
      </w:r>
    </w:p>
    <w:p w14:paraId="3187424C"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Williams, J. C., Blair-Loy, M. &amp; Berdahl, J. L. (2013) ‘Cultural schemas, social class, and the flexibility stigma’, </w:t>
      </w:r>
      <w:r w:rsidRPr="00905D78">
        <w:rPr>
          <w:i/>
          <w:iCs/>
          <w:color w:val="000000"/>
          <w:sz w:val="20"/>
          <w:szCs w:val="20"/>
        </w:rPr>
        <w:t>Journal of Social Issues</w:t>
      </w:r>
      <w:r w:rsidRPr="00905D78">
        <w:rPr>
          <w:color w:val="000000"/>
          <w:sz w:val="20"/>
          <w:szCs w:val="20"/>
        </w:rPr>
        <w:t>, 69(2), pp. 209–234.</w:t>
      </w:r>
    </w:p>
    <w:p w14:paraId="2D0724DE"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Wooden, M. (2017) </w:t>
      </w:r>
      <w:r w:rsidRPr="00905D78">
        <w:rPr>
          <w:i/>
          <w:iCs/>
          <w:color w:val="000000"/>
          <w:sz w:val="20"/>
          <w:szCs w:val="20"/>
        </w:rPr>
        <w:t>The measurement of cognitive ability in wave 16 of the HILDA Survey</w:t>
      </w:r>
      <w:r w:rsidRPr="00905D78">
        <w:rPr>
          <w:color w:val="000000"/>
          <w:sz w:val="20"/>
          <w:szCs w:val="20"/>
        </w:rPr>
        <w:t>. HILDA Project Technical Paper Series No. 1/17. Melbourne: Melbourne Institute of Applied Economic and Social Research.</w:t>
      </w:r>
    </w:p>
    <w:p w14:paraId="061E2887"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Workplace Gender Equality Agency (2022) </w:t>
      </w:r>
      <w:r w:rsidRPr="00905D78">
        <w:rPr>
          <w:i/>
          <w:iCs/>
          <w:color w:val="000000"/>
          <w:sz w:val="20"/>
          <w:szCs w:val="20"/>
        </w:rPr>
        <w:t>Australia’s gender equality scorecard</w:t>
      </w:r>
      <w:r w:rsidRPr="00905D78">
        <w:rPr>
          <w:color w:val="000000"/>
          <w:sz w:val="20"/>
          <w:szCs w:val="20"/>
        </w:rPr>
        <w:t>. Sydney: WGEA.</w:t>
      </w:r>
    </w:p>
    <w:p w14:paraId="4E056848" w14:textId="77777777" w:rsidR="00774ABC" w:rsidRPr="00905D7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Workplace Gender Equality Agency (2023) </w:t>
      </w:r>
      <w:r w:rsidRPr="00905D78">
        <w:rPr>
          <w:i/>
          <w:iCs/>
          <w:color w:val="000000"/>
          <w:sz w:val="20"/>
          <w:szCs w:val="20"/>
        </w:rPr>
        <w:t>Australia’s gender equality scorecard</w:t>
      </w:r>
      <w:r w:rsidRPr="00905D78">
        <w:rPr>
          <w:color w:val="000000"/>
          <w:sz w:val="20"/>
          <w:szCs w:val="20"/>
        </w:rPr>
        <w:t>. Sydney: WGEA.</w:t>
      </w:r>
    </w:p>
    <w:p w14:paraId="407E768F" w14:textId="77777777" w:rsidR="00774ABC" w:rsidRPr="00AA2FF8" w:rsidRDefault="00774ABC" w:rsidP="00774ABC">
      <w:pPr>
        <w:pStyle w:val="whitespace-pre-wrap"/>
        <w:spacing w:before="0" w:beforeAutospacing="0" w:after="0" w:afterAutospacing="0"/>
        <w:ind w:firstLine="340"/>
        <w:rPr>
          <w:color w:val="000000"/>
          <w:sz w:val="20"/>
          <w:szCs w:val="20"/>
        </w:rPr>
      </w:pPr>
      <w:r w:rsidRPr="00905D78">
        <w:rPr>
          <w:color w:val="000000"/>
          <w:sz w:val="20"/>
          <w:szCs w:val="20"/>
        </w:rPr>
        <w:t>Workplace Gender Equality Agency (2024) </w:t>
      </w:r>
      <w:r w:rsidRPr="00905D78">
        <w:rPr>
          <w:i/>
          <w:iCs/>
          <w:color w:val="000000"/>
          <w:sz w:val="20"/>
          <w:szCs w:val="20"/>
        </w:rPr>
        <w:t>Employer gender pay gaps report</w:t>
      </w:r>
      <w:r w:rsidRPr="00905D78">
        <w:rPr>
          <w:color w:val="000000"/>
          <w:sz w:val="20"/>
          <w:szCs w:val="20"/>
        </w:rPr>
        <w:t>. Available at: </w:t>
      </w:r>
      <w:hyperlink r:id="rId11" w:tgtFrame="_new" w:history="1">
        <w:r w:rsidRPr="00905D78">
          <w:rPr>
            <w:rStyle w:val="Hyperlink"/>
            <w:sz w:val="20"/>
            <w:szCs w:val="20"/>
          </w:rPr>
          <w:t>https://www.wgea.gov.au/sites/default/files/documents/WGEA-Employer-gender-pay-gaps-report-FINAL.pdf</w:t>
        </w:r>
      </w:hyperlink>
      <w:r w:rsidRPr="00905D78">
        <w:rPr>
          <w:color w:val="000000"/>
          <w:sz w:val="20"/>
          <w:szCs w:val="20"/>
        </w:rPr>
        <w:t> (Accessed: 24 May 2025).</w:t>
      </w:r>
      <w:bookmarkEnd w:id="10"/>
      <w:bookmarkEnd w:id="11"/>
    </w:p>
    <w:p w14:paraId="4E973513" w14:textId="77777777" w:rsidR="00774ABC" w:rsidRDefault="00774ABC" w:rsidP="00774ABC">
      <w:pPr>
        <w:rPr>
          <w:rFonts w:asciiTheme="majorBidi" w:hAnsiTheme="majorBidi" w:cstheme="majorBidi"/>
          <w:b/>
          <w:bCs/>
          <w:color w:val="000000" w:themeColor="text1"/>
        </w:rPr>
      </w:pPr>
    </w:p>
    <w:p w14:paraId="19DBEDAD" w14:textId="77777777" w:rsidR="00774ABC" w:rsidRDefault="00774ABC" w:rsidP="00774ABC">
      <w:pPr>
        <w:jc w:val="center"/>
        <w:rPr>
          <w:rFonts w:asciiTheme="majorBidi" w:hAnsiTheme="majorBidi" w:cstheme="majorBidi"/>
          <w:b/>
          <w:bCs/>
          <w:color w:val="000000" w:themeColor="text1"/>
        </w:rPr>
      </w:pPr>
    </w:p>
    <w:p w14:paraId="2539BC2C" w14:textId="77777777" w:rsidR="00774ABC" w:rsidRDefault="00774ABC" w:rsidP="00774ABC">
      <w:pPr>
        <w:jc w:val="center"/>
        <w:rPr>
          <w:rFonts w:asciiTheme="majorBidi" w:hAnsiTheme="majorBidi" w:cstheme="majorBidi"/>
          <w:b/>
          <w:bCs/>
          <w:color w:val="000000" w:themeColor="text1"/>
        </w:rPr>
      </w:pPr>
    </w:p>
    <w:p w14:paraId="7B1FB0C3" w14:textId="77777777" w:rsidR="00774ABC" w:rsidRDefault="00774ABC" w:rsidP="00A6456D">
      <w:pPr>
        <w:widowControl w:val="0"/>
      </w:pPr>
    </w:p>
    <w:sectPr w:rsidR="00774ABC" w:rsidSect="006C2B34">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E8297" w14:textId="77777777" w:rsidR="007040FD" w:rsidRDefault="007040FD" w:rsidP="006C2B34">
      <w:r>
        <w:separator/>
      </w:r>
    </w:p>
  </w:endnote>
  <w:endnote w:type="continuationSeparator" w:id="0">
    <w:p w14:paraId="35B4DC30" w14:textId="77777777" w:rsidR="007040FD" w:rsidRDefault="007040FD" w:rsidP="006C2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43DD2" w14:textId="77777777" w:rsidR="007040FD" w:rsidRDefault="007040FD" w:rsidP="006C2B34">
      <w:r>
        <w:separator/>
      </w:r>
    </w:p>
  </w:footnote>
  <w:footnote w:type="continuationSeparator" w:id="0">
    <w:p w14:paraId="0A5E8156" w14:textId="77777777" w:rsidR="007040FD" w:rsidRDefault="007040FD" w:rsidP="006C2B34">
      <w:r>
        <w:continuationSeparator/>
      </w:r>
    </w:p>
  </w:footnote>
  <w:footnote w:id="1">
    <w:p w14:paraId="731C4F53" w14:textId="77777777" w:rsidR="004D38C5" w:rsidRPr="00802B9E" w:rsidRDefault="004D38C5" w:rsidP="004D38C5">
      <w:pPr>
        <w:pStyle w:val="FootnoteText"/>
        <w:rPr>
          <w:sz w:val="16"/>
          <w:szCs w:val="16"/>
        </w:rPr>
      </w:pPr>
      <w:r w:rsidRPr="00D06F42">
        <w:rPr>
          <w:rStyle w:val="FootnoteReference"/>
          <w:sz w:val="16"/>
          <w:szCs w:val="16"/>
        </w:rPr>
        <w:footnoteRef/>
      </w:r>
      <w:r w:rsidRPr="00D06F42">
        <w:rPr>
          <w:sz w:val="16"/>
          <w:szCs w:val="16"/>
        </w:rPr>
        <w:t xml:space="preserve"> Ordinary least squares (OLS) function estimates the relationship between variables by finding the line of best fit that minimizes the sum of squared differences between observed and predicted values.</w:t>
      </w:r>
    </w:p>
  </w:footnote>
  <w:footnote w:id="2">
    <w:p w14:paraId="76C033D6" w14:textId="77777777" w:rsidR="001C4020" w:rsidRPr="00A06609" w:rsidRDefault="001C4020" w:rsidP="001C4020">
      <w:pPr>
        <w:pStyle w:val="FootnoteText"/>
        <w:rPr>
          <w:sz w:val="16"/>
          <w:szCs w:val="16"/>
        </w:rPr>
      </w:pPr>
      <w:r w:rsidRPr="00D06F42">
        <w:rPr>
          <w:rStyle w:val="FootnoteReference"/>
          <w:sz w:val="16"/>
          <w:szCs w:val="16"/>
        </w:rPr>
        <w:footnoteRef/>
      </w:r>
      <w:r w:rsidRPr="00D06F42">
        <w:rPr>
          <w:sz w:val="16"/>
          <w:szCs w:val="16"/>
        </w:rPr>
        <w:t xml:space="preserve"> AI systems, algorithms, and their outputs that can be understood and trusted by humans, providing transparency into their decision-making processes and the rationale behind their results.</w:t>
      </w:r>
    </w:p>
  </w:footnote>
  <w:footnote w:id="3">
    <w:p w14:paraId="469191C0" w14:textId="77777777" w:rsidR="001C4020" w:rsidRPr="00811C6A" w:rsidRDefault="001C4020" w:rsidP="001C4020">
      <w:pPr>
        <w:pStyle w:val="FootnoteText"/>
        <w:rPr>
          <w:sz w:val="16"/>
          <w:szCs w:val="16"/>
        </w:rPr>
      </w:pPr>
      <w:r w:rsidRPr="00D06F42">
        <w:rPr>
          <w:rStyle w:val="FootnoteReference"/>
          <w:sz w:val="16"/>
          <w:szCs w:val="16"/>
        </w:rPr>
        <w:footnoteRef/>
      </w:r>
      <w:r w:rsidRPr="00D06F42">
        <w:rPr>
          <w:sz w:val="16"/>
          <w:szCs w:val="16"/>
        </w:rPr>
        <w:t xml:space="preserve"> This illustrates how the relationship between policy implementation and leadership representation potential shapes organisational risk profiles. Organisations positioned in the green “optimal” and “effective” zones demonstrate a balance of strategic policies and strong or moderate leadership representation, suggesting that these employers are well placed to achieve meaningful progress toward equity. By contrast, the yellow caution zones capture employers where either policy design or leadership diversity is underdeveloped, creating conditions of inconsistency or limited impact. The red zones signal the highest risk: employers with restrictive or misaligned policies and low representation, where organisational practices are most likely to entrench disparities. This distribution highlights that meaningful change requires both robust policy frameworks and genuine advancement in women’s leadership representation—neither factor alone is sufficient to mitigate pay inequities.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4"/>
        <w:szCs w:val="24"/>
      </w:rPr>
      <w:id w:val="666746686"/>
      <w:docPartObj>
        <w:docPartGallery w:val="Page Numbers (Top of Page)"/>
        <w:docPartUnique/>
      </w:docPartObj>
    </w:sdtPr>
    <w:sdtContent>
      <w:p w14:paraId="29559C7D" w14:textId="77777777" w:rsidR="006C2B34" w:rsidRPr="003D7FD2" w:rsidRDefault="006C2B34" w:rsidP="00602B2C">
        <w:pPr>
          <w:pStyle w:val="Header"/>
          <w:framePr w:wrap="none" w:vAnchor="text" w:hAnchor="margin" w:xAlign="right" w:y="1"/>
          <w:rPr>
            <w:rStyle w:val="PageNumber"/>
            <w:rFonts w:ascii="Times New Roman" w:hAnsi="Times New Roman" w:cs="Times New Roman"/>
            <w:sz w:val="24"/>
            <w:szCs w:val="24"/>
          </w:rPr>
        </w:pPr>
        <w:r>
          <w:rPr>
            <w:rStyle w:val="PageNumber"/>
            <w:rFonts w:ascii="Times New Roman" w:hAnsi="Times New Roman" w:cs="Times New Roman"/>
            <w:sz w:val="24"/>
            <w:szCs w:val="24"/>
          </w:rPr>
          <w:t>S-</w:t>
        </w:r>
        <w:r w:rsidRPr="003D7FD2">
          <w:rPr>
            <w:rStyle w:val="PageNumber"/>
            <w:rFonts w:ascii="Times New Roman" w:hAnsi="Times New Roman" w:cs="Times New Roman"/>
            <w:sz w:val="24"/>
            <w:szCs w:val="24"/>
          </w:rPr>
          <w:fldChar w:fldCharType="begin"/>
        </w:r>
        <w:r w:rsidRPr="003D7FD2">
          <w:rPr>
            <w:rStyle w:val="PageNumber"/>
            <w:rFonts w:ascii="Times New Roman" w:hAnsi="Times New Roman" w:cs="Times New Roman"/>
            <w:sz w:val="24"/>
            <w:szCs w:val="24"/>
          </w:rPr>
          <w:instrText xml:space="preserve"> PAGE </w:instrText>
        </w:r>
        <w:r w:rsidRPr="003D7FD2">
          <w:rPr>
            <w:rStyle w:val="PageNumber"/>
            <w:rFonts w:ascii="Times New Roman" w:hAnsi="Times New Roman" w:cs="Times New Roman"/>
            <w:sz w:val="24"/>
            <w:szCs w:val="24"/>
          </w:rPr>
          <w:fldChar w:fldCharType="separate"/>
        </w:r>
        <w:r w:rsidRPr="003D7FD2">
          <w:rPr>
            <w:rStyle w:val="PageNumber"/>
            <w:rFonts w:ascii="Times New Roman" w:hAnsi="Times New Roman" w:cs="Times New Roman"/>
            <w:noProof/>
            <w:sz w:val="24"/>
            <w:szCs w:val="24"/>
          </w:rPr>
          <w:t>1</w:t>
        </w:r>
        <w:r w:rsidRPr="003D7FD2">
          <w:rPr>
            <w:rStyle w:val="PageNumber"/>
            <w:rFonts w:ascii="Times New Roman" w:hAnsi="Times New Roman" w:cs="Times New Roman"/>
            <w:sz w:val="24"/>
            <w:szCs w:val="24"/>
          </w:rPr>
          <w:fldChar w:fldCharType="end"/>
        </w:r>
      </w:p>
    </w:sdtContent>
  </w:sdt>
  <w:p w14:paraId="54613675" w14:textId="708E06E9" w:rsidR="006C2B34" w:rsidRPr="003D7FD2" w:rsidRDefault="0025349C" w:rsidP="00602B2C">
    <w:pPr>
      <w:pStyle w:val="Header"/>
      <w:ind w:right="360"/>
      <w:rPr>
        <w:rFonts w:ascii="Times New Roman" w:hAnsi="Times New Roman" w:cs="Times New Roman"/>
        <w:sz w:val="24"/>
        <w:szCs w:val="24"/>
      </w:rPr>
    </w:pPr>
    <w:r>
      <w:rPr>
        <w:rFonts w:ascii="Times New Roman" w:hAnsi="Times New Roman" w:cs="Times New Roman"/>
        <w:sz w:val="24"/>
        <w:szCs w:val="24"/>
      </w:rPr>
      <w:t>Workplace Factors &amp; GPG</w:t>
    </w:r>
    <w:r w:rsidR="00E7286C">
      <w:rPr>
        <w:rFonts w:ascii="Times New Roman" w:hAnsi="Times New Roman" w:cs="Times New Roman"/>
        <w:sz w:val="24"/>
        <w:szCs w:val="24"/>
      </w:rPr>
      <w:t xml:space="preserve"> in Australia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C2EC8"/>
    <w:multiLevelType w:val="multilevel"/>
    <w:tmpl w:val="F05476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F44E69"/>
    <w:multiLevelType w:val="hybridMultilevel"/>
    <w:tmpl w:val="C696F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8A243C"/>
    <w:multiLevelType w:val="hybridMultilevel"/>
    <w:tmpl w:val="833E5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646D46"/>
    <w:multiLevelType w:val="hybridMultilevel"/>
    <w:tmpl w:val="D2A6C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E94E43"/>
    <w:multiLevelType w:val="hybridMultilevel"/>
    <w:tmpl w:val="5AAA9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A979E2"/>
    <w:multiLevelType w:val="multilevel"/>
    <w:tmpl w:val="62389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8A3E5A"/>
    <w:multiLevelType w:val="hybridMultilevel"/>
    <w:tmpl w:val="8D461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AB727E"/>
    <w:multiLevelType w:val="hybridMultilevel"/>
    <w:tmpl w:val="D2D00AC6"/>
    <w:lvl w:ilvl="0" w:tplc="04090001">
      <w:start w:val="1"/>
      <w:numFmt w:val="bullet"/>
      <w:lvlText w:val=""/>
      <w:lvlJc w:val="left"/>
      <w:pPr>
        <w:ind w:left="720" w:hanging="360"/>
      </w:pPr>
      <w:rPr>
        <w:rFonts w:ascii="Symbol" w:hAnsi="Symbol" w:hint="default"/>
      </w:rPr>
    </w:lvl>
    <w:lvl w:ilvl="1" w:tplc="8CA6379A">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642BCB"/>
    <w:multiLevelType w:val="hybridMultilevel"/>
    <w:tmpl w:val="6B38B4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9003FA"/>
    <w:multiLevelType w:val="hybridMultilevel"/>
    <w:tmpl w:val="F0D4B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F226AD"/>
    <w:multiLevelType w:val="hybridMultilevel"/>
    <w:tmpl w:val="19D697E2"/>
    <w:lvl w:ilvl="0" w:tplc="1E4EF5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5016498">
    <w:abstractNumId w:val="8"/>
  </w:num>
  <w:num w:numId="2" w16cid:durableId="1857184375">
    <w:abstractNumId w:val="7"/>
  </w:num>
  <w:num w:numId="3" w16cid:durableId="585502385">
    <w:abstractNumId w:val="6"/>
  </w:num>
  <w:num w:numId="4" w16cid:durableId="100149560">
    <w:abstractNumId w:val="10"/>
  </w:num>
  <w:num w:numId="5" w16cid:durableId="801576249">
    <w:abstractNumId w:val="9"/>
  </w:num>
  <w:num w:numId="6" w16cid:durableId="443304809">
    <w:abstractNumId w:val="3"/>
  </w:num>
  <w:num w:numId="7" w16cid:durableId="857306243">
    <w:abstractNumId w:val="1"/>
  </w:num>
  <w:num w:numId="8" w16cid:durableId="85081339">
    <w:abstractNumId w:val="2"/>
  </w:num>
  <w:num w:numId="9" w16cid:durableId="1621912067">
    <w:abstractNumId w:val="5"/>
  </w:num>
  <w:num w:numId="10" w16cid:durableId="2017993874">
    <w:abstractNumId w:val="0"/>
  </w:num>
  <w:num w:numId="11" w16cid:durableId="632587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B34"/>
    <w:rsid w:val="00011667"/>
    <w:rsid w:val="00021D7F"/>
    <w:rsid w:val="00024877"/>
    <w:rsid w:val="00037BE5"/>
    <w:rsid w:val="00071ECE"/>
    <w:rsid w:val="0009646F"/>
    <w:rsid w:val="000A4EF6"/>
    <w:rsid w:val="000A5CC6"/>
    <w:rsid w:val="000B4261"/>
    <w:rsid w:val="000C5B4F"/>
    <w:rsid w:val="000E3F54"/>
    <w:rsid w:val="000F56BF"/>
    <w:rsid w:val="000F6DD7"/>
    <w:rsid w:val="00121A3C"/>
    <w:rsid w:val="001276A8"/>
    <w:rsid w:val="00136AD2"/>
    <w:rsid w:val="00137F8A"/>
    <w:rsid w:val="00165300"/>
    <w:rsid w:val="0017028E"/>
    <w:rsid w:val="00175715"/>
    <w:rsid w:val="00192CBB"/>
    <w:rsid w:val="001B2749"/>
    <w:rsid w:val="001C184F"/>
    <w:rsid w:val="001C3D8F"/>
    <w:rsid w:val="001C4020"/>
    <w:rsid w:val="001D45E5"/>
    <w:rsid w:val="001D686A"/>
    <w:rsid w:val="001E2DF8"/>
    <w:rsid w:val="001F405C"/>
    <w:rsid w:val="001F4D42"/>
    <w:rsid w:val="00205D48"/>
    <w:rsid w:val="00213268"/>
    <w:rsid w:val="002140C2"/>
    <w:rsid w:val="00222466"/>
    <w:rsid w:val="00233A25"/>
    <w:rsid w:val="00233FF9"/>
    <w:rsid w:val="0025349C"/>
    <w:rsid w:val="00253690"/>
    <w:rsid w:val="00254E61"/>
    <w:rsid w:val="002711B0"/>
    <w:rsid w:val="00281473"/>
    <w:rsid w:val="00285669"/>
    <w:rsid w:val="00294C7E"/>
    <w:rsid w:val="002B46A2"/>
    <w:rsid w:val="002B5297"/>
    <w:rsid w:val="002C4A82"/>
    <w:rsid w:val="002E7B4D"/>
    <w:rsid w:val="002F49F8"/>
    <w:rsid w:val="00303A5E"/>
    <w:rsid w:val="00306618"/>
    <w:rsid w:val="00313CEA"/>
    <w:rsid w:val="00325F4C"/>
    <w:rsid w:val="00344830"/>
    <w:rsid w:val="003478BE"/>
    <w:rsid w:val="00356105"/>
    <w:rsid w:val="003569A7"/>
    <w:rsid w:val="00380FB2"/>
    <w:rsid w:val="003F3470"/>
    <w:rsid w:val="00405871"/>
    <w:rsid w:val="00410351"/>
    <w:rsid w:val="0042459C"/>
    <w:rsid w:val="00424A05"/>
    <w:rsid w:val="004259A0"/>
    <w:rsid w:val="00453D88"/>
    <w:rsid w:val="0046153D"/>
    <w:rsid w:val="00462005"/>
    <w:rsid w:val="00483280"/>
    <w:rsid w:val="004A2335"/>
    <w:rsid w:val="004A3798"/>
    <w:rsid w:val="004C1560"/>
    <w:rsid w:val="004D38C5"/>
    <w:rsid w:val="004F0142"/>
    <w:rsid w:val="004F711F"/>
    <w:rsid w:val="005642AD"/>
    <w:rsid w:val="00582973"/>
    <w:rsid w:val="00583586"/>
    <w:rsid w:val="005A38CE"/>
    <w:rsid w:val="005C3064"/>
    <w:rsid w:val="005E0BE2"/>
    <w:rsid w:val="005E3E30"/>
    <w:rsid w:val="005F6729"/>
    <w:rsid w:val="00607105"/>
    <w:rsid w:val="00607DEB"/>
    <w:rsid w:val="0061040D"/>
    <w:rsid w:val="00611C7C"/>
    <w:rsid w:val="006129C6"/>
    <w:rsid w:val="00616D16"/>
    <w:rsid w:val="0062441F"/>
    <w:rsid w:val="00635F1E"/>
    <w:rsid w:val="006371B3"/>
    <w:rsid w:val="00657ABD"/>
    <w:rsid w:val="006809E4"/>
    <w:rsid w:val="00695CCA"/>
    <w:rsid w:val="006B3E82"/>
    <w:rsid w:val="006C2B34"/>
    <w:rsid w:val="006C672D"/>
    <w:rsid w:val="006C73FB"/>
    <w:rsid w:val="006D2B61"/>
    <w:rsid w:val="006E36B8"/>
    <w:rsid w:val="007040FD"/>
    <w:rsid w:val="00704154"/>
    <w:rsid w:val="00710216"/>
    <w:rsid w:val="00745F96"/>
    <w:rsid w:val="00774ABC"/>
    <w:rsid w:val="00780504"/>
    <w:rsid w:val="00785714"/>
    <w:rsid w:val="00786873"/>
    <w:rsid w:val="0079451B"/>
    <w:rsid w:val="007D03CC"/>
    <w:rsid w:val="007F7FBB"/>
    <w:rsid w:val="008129D4"/>
    <w:rsid w:val="00830EC0"/>
    <w:rsid w:val="00835636"/>
    <w:rsid w:val="00852392"/>
    <w:rsid w:val="0087436B"/>
    <w:rsid w:val="00877CE8"/>
    <w:rsid w:val="00893567"/>
    <w:rsid w:val="00897D53"/>
    <w:rsid w:val="008A2010"/>
    <w:rsid w:val="008B25DB"/>
    <w:rsid w:val="008B59A9"/>
    <w:rsid w:val="008C0507"/>
    <w:rsid w:val="008C2AD2"/>
    <w:rsid w:val="008D1041"/>
    <w:rsid w:val="008E6EB9"/>
    <w:rsid w:val="008F61E2"/>
    <w:rsid w:val="009131CB"/>
    <w:rsid w:val="0092655C"/>
    <w:rsid w:val="0095311B"/>
    <w:rsid w:val="00991924"/>
    <w:rsid w:val="009B2877"/>
    <w:rsid w:val="009C31E8"/>
    <w:rsid w:val="009C50AE"/>
    <w:rsid w:val="009D37A1"/>
    <w:rsid w:val="009E75F8"/>
    <w:rsid w:val="00A2274C"/>
    <w:rsid w:val="00A46F10"/>
    <w:rsid w:val="00A55D5C"/>
    <w:rsid w:val="00A6456D"/>
    <w:rsid w:val="00A74ED0"/>
    <w:rsid w:val="00A77432"/>
    <w:rsid w:val="00A841E6"/>
    <w:rsid w:val="00A97FB1"/>
    <w:rsid w:val="00AC00AD"/>
    <w:rsid w:val="00AD107E"/>
    <w:rsid w:val="00AD7768"/>
    <w:rsid w:val="00B410A1"/>
    <w:rsid w:val="00B52775"/>
    <w:rsid w:val="00B57B10"/>
    <w:rsid w:val="00B96829"/>
    <w:rsid w:val="00BB0F2A"/>
    <w:rsid w:val="00BC1672"/>
    <w:rsid w:val="00BC457F"/>
    <w:rsid w:val="00BC7565"/>
    <w:rsid w:val="00BD3126"/>
    <w:rsid w:val="00C03287"/>
    <w:rsid w:val="00C0379F"/>
    <w:rsid w:val="00C04520"/>
    <w:rsid w:val="00C06825"/>
    <w:rsid w:val="00C07C12"/>
    <w:rsid w:val="00C14B9A"/>
    <w:rsid w:val="00C16686"/>
    <w:rsid w:val="00C209BA"/>
    <w:rsid w:val="00C40F68"/>
    <w:rsid w:val="00C44A92"/>
    <w:rsid w:val="00C56B3D"/>
    <w:rsid w:val="00CA3368"/>
    <w:rsid w:val="00CA62ED"/>
    <w:rsid w:val="00CB3A02"/>
    <w:rsid w:val="00CB4CDC"/>
    <w:rsid w:val="00CC0861"/>
    <w:rsid w:val="00CC737E"/>
    <w:rsid w:val="00CE12B0"/>
    <w:rsid w:val="00CF110C"/>
    <w:rsid w:val="00D0067E"/>
    <w:rsid w:val="00D06F42"/>
    <w:rsid w:val="00D138BB"/>
    <w:rsid w:val="00D25C85"/>
    <w:rsid w:val="00D32341"/>
    <w:rsid w:val="00D55F3A"/>
    <w:rsid w:val="00D722EC"/>
    <w:rsid w:val="00D81207"/>
    <w:rsid w:val="00D8388B"/>
    <w:rsid w:val="00D86485"/>
    <w:rsid w:val="00DA683D"/>
    <w:rsid w:val="00DB13AD"/>
    <w:rsid w:val="00DD067B"/>
    <w:rsid w:val="00DD428D"/>
    <w:rsid w:val="00DD7D6F"/>
    <w:rsid w:val="00DF0D68"/>
    <w:rsid w:val="00E61A69"/>
    <w:rsid w:val="00E65C23"/>
    <w:rsid w:val="00E67B25"/>
    <w:rsid w:val="00E724A1"/>
    <w:rsid w:val="00E7286C"/>
    <w:rsid w:val="00E85A21"/>
    <w:rsid w:val="00E95B56"/>
    <w:rsid w:val="00EB4A85"/>
    <w:rsid w:val="00F0373D"/>
    <w:rsid w:val="00F13F00"/>
    <w:rsid w:val="00F2014D"/>
    <w:rsid w:val="00F477EA"/>
    <w:rsid w:val="00F5312C"/>
    <w:rsid w:val="00F60A2A"/>
    <w:rsid w:val="00F6497A"/>
    <w:rsid w:val="00F7228C"/>
    <w:rsid w:val="00F86553"/>
    <w:rsid w:val="00FB08F4"/>
    <w:rsid w:val="00FB2377"/>
    <w:rsid w:val="00FB3FD2"/>
    <w:rsid w:val="00FC2993"/>
    <w:rsid w:val="00FD459B"/>
    <w:rsid w:val="00FF4D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5CB22"/>
  <w15:chartTrackingRefBased/>
  <w15:docId w15:val="{C1D2A5FC-77B7-564B-B43F-6E257502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7A1"/>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6C2B34"/>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US" w:eastAsia="zh-CN"/>
      <w14:ligatures w14:val="standardContextual"/>
    </w:rPr>
  </w:style>
  <w:style w:type="paragraph" w:styleId="Heading2">
    <w:name w:val="heading 2"/>
    <w:basedOn w:val="Normal"/>
    <w:next w:val="Normal"/>
    <w:link w:val="Heading2Char"/>
    <w:uiPriority w:val="9"/>
    <w:unhideWhenUsed/>
    <w:qFormat/>
    <w:rsid w:val="006C2B34"/>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US" w:eastAsia="zh-CN"/>
      <w14:ligatures w14:val="standardContextual"/>
    </w:rPr>
  </w:style>
  <w:style w:type="paragraph" w:styleId="Heading3">
    <w:name w:val="heading 3"/>
    <w:basedOn w:val="Normal"/>
    <w:next w:val="Normal"/>
    <w:link w:val="Heading3Char"/>
    <w:uiPriority w:val="9"/>
    <w:unhideWhenUsed/>
    <w:qFormat/>
    <w:rsid w:val="006C2B34"/>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US" w:eastAsia="zh-CN"/>
      <w14:ligatures w14:val="standardContextual"/>
    </w:rPr>
  </w:style>
  <w:style w:type="paragraph" w:styleId="Heading4">
    <w:name w:val="heading 4"/>
    <w:basedOn w:val="Normal"/>
    <w:next w:val="Normal"/>
    <w:link w:val="Heading4Char"/>
    <w:uiPriority w:val="9"/>
    <w:semiHidden/>
    <w:unhideWhenUsed/>
    <w:qFormat/>
    <w:rsid w:val="006C2B34"/>
    <w:pPr>
      <w:keepNext/>
      <w:keepLines/>
      <w:spacing w:before="80" w:after="40"/>
      <w:outlineLvl w:val="3"/>
    </w:pPr>
    <w:rPr>
      <w:rFonts w:asciiTheme="minorHAnsi" w:eastAsiaTheme="majorEastAsia" w:hAnsiTheme="minorHAnsi" w:cstheme="majorBidi"/>
      <w:i/>
      <w:iCs/>
      <w:color w:val="0F4761" w:themeColor="accent1" w:themeShade="BF"/>
      <w:kern w:val="2"/>
      <w:lang w:val="en-US" w:eastAsia="zh-CN"/>
      <w14:ligatures w14:val="standardContextual"/>
    </w:rPr>
  </w:style>
  <w:style w:type="paragraph" w:styleId="Heading5">
    <w:name w:val="heading 5"/>
    <w:basedOn w:val="Normal"/>
    <w:next w:val="Normal"/>
    <w:link w:val="Heading5Char"/>
    <w:uiPriority w:val="9"/>
    <w:semiHidden/>
    <w:unhideWhenUsed/>
    <w:qFormat/>
    <w:rsid w:val="006C2B34"/>
    <w:pPr>
      <w:keepNext/>
      <w:keepLines/>
      <w:spacing w:before="80" w:after="40"/>
      <w:outlineLvl w:val="4"/>
    </w:pPr>
    <w:rPr>
      <w:rFonts w:asciiTheme="minorHAnsi" w:eastAsiaTheme="majorEastAsia" w:hAnsiTheme="minorHAnsi" w:cstheme="majorBidi"/>
      <w:color w:val="0F4761" w:themeColor="accent1" w:themeShade="BF"/>
      <w:kern w:val="2"/>
      <w:lang w:val="en-US" w:eastAsia="zh-CN"/>
      <w14:ligatures w14:val="standardContextual"/>
    </w:rPr>
  </w:style>
  <w:style w:type="paragraph" w:styleId="Heading6">
    <w:name w:val="heading 6"/>
    <w:basedOn w:val="Normal"/>
    <w:next w:val="Normal"/>
    <w:link w:val="Heading6Char"/>
    <w:uiPriority w:val="9"/>
    <w:semiHidden/>
    <w:unhideWhenUsed/>
    <w:qFormat/>
    <w:rsid w:val="006C2B34"/>
    <w:pPr>
      <w:keepNext/>
      <w:keepLines/>
      <w:spacing w:before="40"/>
      <w:outlineLvl w:val="5"/>
    </w:pPr>
    <w:rPr>
      <w:rFonts w:asciiTheme="minorHAnsi" w:eastAsiaTheme="majorEastAsia" w:hAnsiTheme="minorHAnsi" w:cstheme="majorBidi"/>
      <w:i/>
      <w:iCs/>
      <w:color w:val="595959" w:themeColor="text1" w:themeTint="A6"/>
      <w:kern w:val="2"/>
      <w:lang w:val="en-US" w:eastAsia="zh-CN"/>
      <w14:ligatures w14:val="standardContextual"/>
    </w:rPr>
  </w:style>
  <w:style w:type="paragraph" w:styleId="Heading7">
    <w:name w:val="heading 7"/>
    <w:basedOn w:val="Normal"/>
    <w:next w:val="Normal"/>
    <w:link w:val="Heading7Char"/>
    <w:uiPriority w:val="9"/>
    <w:semiHidden/>
    <w:unhideWhenUsed/>
    <w:qFormat/>
    <w:rsid w:val="006C2B34"/>
    <w:pPr>
      <w:keepNext/>
      <w:keepLines/>
      <w:spacing w:before="40"/>
      <w:outlineLvl w:val="6"/>
    </w:pPr>
    <w:rPr>
      <w:rFonts w:asciiTheme="minorHAnsi" w:eastAsiaTheme="majorEastAsia" w:hAnsiTheme="minorHAnsi" w:cstheme="majorBidi"/>
      <w:color w:val="595959" w:themeColor="text1" w:themeTint="A6"/>
      <w:kern w:val="2"/>
      <w:lang w:val="en-US" w:eastAsia="zh-CN"/>
      <w14:ligatures w14:val="standardContextual"/>
    </w:rPr>
  </w:style>
  <w:style w:type="paragraph" w:styleId="Heading8">
    <w:name w:val="heading 8"/>
    <w:basedOn w:val="Normal"/>
    <w:next w:val="Normal"/>
    <w:link w:val="Heading8Char"/>
    <w:uiPriority w:val="9"/>
    <w:semiHidden/>
    <w:unhideWhenUsed/>
    <w:qFormat/>
    <w:rsid w:val="006C2B34"/>
    <w:pPr>
      <w:keepNext/>
      <w:keepLines/>
      <w:outlineLvl w:val="7"/>
    </w:pPr>
    <w:rPr>
      <w:rFonts w:asciiTheme="minorHAnsi" w:eastAsiaTheme="majorEastAsia" w:hAnsiTheme="minorHAnsi" w:cstheme="majorBidi"/>
      <w:i/>
      <w:iCs/>
      <w:color w:val="272727" w:themeColor="text1" w:themeTint="D8"/>
      <w:kern w:val="2"/>
      <w:lang w:val="en-US" w:eastAsia="zh-CN"/>
      <w14:ligatures w14:val="standardContextual"/>
    </w:rPr>
  </w:style>
  <w:style w:type="paragraph" w:styleId="Heading9">
    <w:name w:val="heading 9"/>
    <w:basedOn w:val="Normal"/>
    <w:next w:val="Normal"/>
    <w:link w:val="Heading9Char"/>
    <w:uiPriority w:val="9"/>
    <w:semiHidden/>
    <w:unhideWhenUsed/>
    <w:qFormat/>
    <w:rsid w:val="006C2B34"/>
    <w:pPr>
      <w:keepNext/>
      <w:keepLines/>
      <w:outlineLvl w:val="8"/>
    </w:pPr>
    <w:rPr>
      <w:rFonts w:asciiTheme="minorHAnsi" w:eastAsiaTheme="majorEastAsia" w:hAnsiTheme="minorHAnsi" w:cstheme="majorBidi"/>
      <w:color w:val="272727" w:themeColor="text1" w:themeTint="D8"/>
      <w:kern w:val="2"/>
      <w:lang w:val="en-US"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B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C2B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2B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2B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2B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2B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B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B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B34"/>
    <w:rPr>
      <w:rFonts w:eastAsiaTheme="majorEastAsia" w:cstheme="majorBidi"/>
      <w:color w:val="272727" w:themeColor="text1" w:themeTint="D8"/>
    </w:rPr>
  </w:style>
  <w:style w:type="paragraph" w:styleId="Title">
    <w:name w:val="Title"/>
    <w:basedOn w:val="Normal"/>
    <w:next w:val="Normal"/>
    <w:link w:val="TitleChar"/>
    <w:uiPriority w:val="10"/>
    <w:qFormat/>
    <w:rsid w:val="006C2B34"/>
    <w:pPr>
      <w:spacing w:after="80"/>
      <w:contextualSpacing/>
    </w:pPr>
    <w:rPr>
      <w:rFonts w:asciiTheme="majorHAnsi" w:eastAsiaTheme="majorEastAsia" w:hAnsiTheme="majorHAnsi" w:cstheme="majorBidi"/>
      <w:spacing w:val="-10"/>
      <w:kern w:val="28"/>
      <w:sz w:val="56"/>
      <w:szCs w:val="56"/>
      <w:lang w:val="en-US" w:eastAsia="zh-CN"/>
      <w14:ligatures w14:val="standardContextual"/>
    </w:rPr>
  </w:style>
  <w:style w:type="character" w:customStyle="1" w:styleId="TitleChar">
    <w:name w:val="Title Char"/>
    <w:basedOn w:val="DefaultParagraphFont"/>
    <w:link w:val="Title"/>
    <w:uiPriority w:val="10"/>
    <w:rsid w:val="006C2B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B34"/>
    <w:pPr>
      <w:numPr>
        <w:ilvl w:val="1"/>
      </w:numPr>
      <w:spacing w:after="160"/>
    </w:pPr>
    <w:rPr>
      <w:rFonts w:asciiTheme="minorHAnsi" w:eastAsiaTheme="majorEastAsia" w:hAnsiTheme="minorHAnsi" w:cstheme="majorBidi"/>
      <w:color w:val="595959" w:themeColor="text1" w:themeTint="A6"/>
      <w:spacing w:val="15"/>
      <w:kern w:val="2"/>
      <w:sz w:val="28"/>
      <w:szCs w:val="28"/>
      <w:lang w:val="en-US" w:eastAsia="zh-CN"/>
      <w14:ligatures w14:val="standardContextual"/>
    </w:rPr>
  </w:style>
  <w:style w:type="character" w:customStyle="1" w:styleId="SubtitleChar">
    <w:name w:val="Subtitle Char"/>
    <w:basedOn w:val="DefaultParagraphFont"/>
    <w:link w:val="Subtitle"/>
    <w:uiPriority w:val="11"/>
    <w:rsid w:val="006C2B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B34"/>
    <w:pPr>
      <w:spacing w:before="160" w:after="160"/>
      <w:jc w:val="center"/>
    </w:pPr>
    <w:rPr>
      <w:rFonts w:asciiTheme="minorHAnsi" w:eastAsiaTheme="minorEastAsia" w:hAnsiTheme="minorHAnsi" w:cstheme="minorBidi"/>
      <w:i/>
      <w:iCs/>
      <w:color w:val="404040" w:themeColor="text1" w:themeTint="BF"/>
      <w:kern w:val="2"/>
      <w:lang w:val="en-US" w:eastAsia="zh-CN"/>
      <w14:ligatures w14:val="standardContextual"/>
    </w:rPr>
  </w:style>
  <w:style w:type="character" w:customStyle="1" w:styleId="QuoteChar">
    <w:name w:val="Quote Char"/>
    <w:basedOn w:val="DefaultParagraphFont"/>
    <w:link w:val="Quote"/>
    <w:uiPriority w:val="29"/>
    <w:rsid w:val="006C2B34"/>
    <w:rPr>
      <w:i/>
      <w:iCs/>
      <w:color w:val="404040" w:themeColor="text1" w:themeTint="BF"/>
    </w:rPr>
  </w:style>
  <w:style w:type="paragraph" w:styleId="ListParagraph">
    <w:name w:val="List Paragraph"/>
    <w:basedOn w:val="Normal"/>
    <w:link w:val="ListParagraphChar"/>
    <w:uiPriority w:val="34"/>
    <w:qFormat/>
    <w:rsid w:val="006C2B34"/>
    <w:pPr>
      <w:ind w:left="720"/>
      <w:contextualSpacing/>
    </w:pPr>
    <w:rPr>
      <w:rFonts w:asciiTheme="minorHAnsi" w:eastAsiaTheme="minorEastAsia" w:hAnsiTheme="minorHAnsi" w:cstheme="minorBidi"/>
      <w:kern w:val="2"/>
      <w:lang w:val="en-US" w:eastAsia="zh-CN"/>
      <w14:ligatures w14:val="standardContextual"/>
    </w:rPr>
  </w:style>
  <w:style w:type="character" w:styleId="IntenseEmphasis">
    <w:name w:val="Intense Emphasis"/>
    <w:basedOn w:val="DefaultParagraphFont"/>
    <w:uiPriority w:val="21"/>
    <w:qFormat/>
    <w:rsid w:val="006C2B34"/>
    <w:rPr>
      <w:i/>
      <w:iCs/>
      <w:color w:val="0F4761" w:themeColor="accent1" w:themeShade="BF"/>
    </w:rPr>
  </w:style>
  <w:style w:type="paragraph" w:styleId="IntenseQuote">
    <w:name w:val="Intense Quote"/>
    <w:basedOn w:val="Normal"/>
    <w:next w:val="Normal"/>
    <w:link w:val="IntenseQuoteChar"/>
    <w:uiPriority w:val="30"/>
    <w:qFormat/>
    <w:rsid w:val="006C2B3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lang w:val="en-US" w:eastAsia="zh-CN"/>
      <w14:ligatures w14:val="standardContextual"/>
    </w:rPr>
  </w:style>
  <w:style w:type="character" w:customStyle="1" w:styleId="IntenseQuoteChar">
    <w:name w:val="Intense Quote Char"/>
    <w:basedOn w:val="DefaultParagraphFont"/>
    <w:link w:val="IntenseQuote"/>
    <w:uiPriority w:val="30"/>
    <w:rsid w:val="006C2B34"/>
    <w:rPr>
      <w:i/>
      <w:iCs/>
      <w:color w:val="0F4761" w:themeColor="accent1" w:themeShade="BF"/>
    </w:rPr>
  </w:style>
  <w:style w:type="character" w:styleId="IntenseReference">
    <w:name w:val="Intense Reference"/>
    <w:basedOn w:val="DefaultParagraphFont"/>
    <w:uiPriority w:val="32"/>
    <w:qFormat/>
    <w:rsid w:val="006C2B34"/>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6C2B34"/>
    <w:pPr>
      <w:jc w:val="center"/>
    </w:pPr>
    <w:rPr>
      <w:rFonts w:eastAsiaTheme="minorEastAsia"/>
      <w:kern w:val="2"/>
      <w:lang w:val="en-US" w:eastAsia="zh-CN"/>
      <w14:ligatures w14:val="standardContextual"/>
    </w:rPr>
  </w:style>
  <w:style w:type="character" w:customStyle="1" w:styleId="EndNoteBibliographyTitleChar">
    <w:name w:val="EndNote Bibliography Title Char"/>
    <w:basedOn w:val="DefaultParagraphFont"/>
    <w:link w:val="EndNoteBibliographyTitle"/>
    <w:rsid w:val="006C2B34"/>
    <w:rPr>
      <w:rFonts w:ascii="Times New Roman" w:eastAsiaTheme="minorEastAsia" w:hAnsi="Times New Roman" w:cs="Times New Roman"/>
      <w:lang w:val="en-US" w:eastAsia="zh-CN"/>
    </w:rPr>
  </w:style>
  <w:style w:type="paragraph" w:customStyle="1" w:styleId="EndNoteBibliography">
    <w:name w:val="EndNote Bibliography"/>
    <w:basedOn w:val="Normal"/>
    <w:link w:val="EndNoteBibliographyChar"/>
    <w:rsid w:val="006C2B34"/>
    <w:rPr>
      <w:rFonts w:eastAsiaTheme="minorEastAsia"/>
      <w:kern w:val="2"/>
      <w:lang w:val="en-US" w:eastAsia="zh-CN"/>
      <w14:ligatures w14:val="standardContextual"/>
    </w:rPr>
  </w:style>
  <w:style w:type="character" w:customStyle="1" w:styleId="EndNoteBibliographyChar">
    <w:name w:val="EndNote Bibliography Char"/>
    <w:basedOn w:val="DefaultParagraphFont"/>
    <w:link w:val="EndNoteBibliography"/>
    <w:rsid w:val="006C2B34"/>
    <w:rPr>
      <w:rFonts w:ascii="Times New Roman" w:eastAsiaTheme="minorEastAsia" w:hAnsi="Times New Roman" w:cs="Times New Roman"/>
      <w:lang w:val="en-US" w:eastAsia="zh-CN"/>
    </w:rPr>
  </w:style>
  <w:style w:type="character" w:styleId="Hyperlink">
    <w:name w:val="Hyperlink"/>
    <w:basedOn w:val="DefaultParagraphFont"/>
    <w:uiPriority w:val="99"/>
    <w:unhideWhenUsed/>
    <w:rsid w:val="006C2B34"/>
    <w:rPr>
      <w:color w:val="467886" w:themeColor="hyperlink"/>
      <w:u w:val="single"/>
    </w:rPr>
  </w:style>
  <w:style w:type="character" w:styleId="UnresolvedMention">
    <w:name w:val="Unresolved Mention"/>
    <w:basedOn w:val="DefaultParagraphFont"/>
    <w:uiPriority w:val="99"/>
    <w:semiHidden/>
    <w:unhideWhenUsed/>
    <w:rsid w:val="006C2B34"/>
    <w:rPr>
      <w:color w:val="605E5C"/>
      <w:shd w:val="clear" w:color="auto" w:fill="E1DFDD"/>
    </w:rPr>
  </w:style>
  <w:style w:type="paragraph" w:styleId="Footer">
    <w:name w:val="footer"/>
    <w:basedOn w:val="Normal"/>
    <w:link w:val="FooterChar"/>
    <w:uiPriority w:val="99"/>
    <w:unhideWhenUsed/>
    <w:rsid w:val="006C2B34"/>
    <w:pPr>
      <w:tabs>
        <w:tab w:val="center" w:pos="4513"/>
        <w:tab w:val="right" w:pos="9026"/>
      </w:tabs>
    </w:pPr>
    <w:rPr>
      <w:rFonts w:asciiTheme="minorHAnsi" w:eastAsiaTheme="minorEastAsia" w:hAnsiTheme="minorHAnsi" w:cstheme="minorBidi"/>
      <w:sz w:val="22"/>
      <w:szCs w:val="22"/>
      <w:lang w:val="en-US" w:eastAsia="ko-KR"/>
    </w:rPr>
  </w:style>
  <w:style w:type="character" w:customStyle="1" w:styleId="FooterChar">
    <w:name w:val="Footer Char"/>
    <w:basedOn w:val="DefaultParagraphFont"/>
    <w:link w:val="Footer"/>
    <w:uiPriority w:val="99"/>
    <w:rsid w:val="006C2B34"/>
    <w:rPr>
      <w:rFonts w:eastAsiaTheme="minorEastAsia"/>
      <w:kern w:val="0"/>
      <w:sz w:val="22"/>
      <w:szCs w:val="22"/>
      <w:lang w:val="en-US" w:eastAsia="ko-KR"/>
      <w14:ligatures w14:val="none"/>
    </w:rPr>
  </w:style>
  <w:style w:type="character" w:styleId="PageNumber">
    <w:name w:val="page number"/>
    <w:basedOn w:val="DefaultParagraphFont"/>
    <w:uiPriority w:val="99"/>
    <w:semiHidden/>
    <w:unhideWhenUsed/>
    <w:rsid w:val="006C2B34"/>
  </w:style>
  <w:style w:type="paragraph" w:styleId="Header">
    <w:name w:val="header"/>
    <w:basedOn w:val="Normal"/>
    <w:link w:val="HeaderChar"/>
    <w:uiPriority w:val="99"/>
    <w:unhideWhenUsed/>
    <w:rsid w:val="006C2B34"/>
    <w:pPr>
      <w:tabs>
        <w:tab w:val="center" w:pos="4513"/>
        <w:tab w:val="right" w:pos="9026"/>
      </w:tabs>
    </w:pPr>
    <w:rPr>
      <w:rFonts w:asciiTheme="minorHAnsi" w:eastAsiaTheme="minorEastAsia" w:hAnsiTheme="minorHAnsi" w:cstheme="minorBidi"/>
      <w:sz w:val="22"/>
      <w:szCs w:val="22"/>
      <w:lang w:val="en-US" w:eastAsia="ko-KR"/>
    </w:rPr>
  </w:style>
  <w:style w:type="character" w:customStyle="1" w:styleId="HeaderChar">
    <w:name w:val="Header Char"/>
    <w:basedOn w:val="DefaultParagraphFont"/>
    <w:link w:val="Header"/>
    <w:uiPriority w:val="99"/>
    <w:rsid w:val="006C2B34"/>
    <w:rPr>
      <w:rFonts w:eastAsiaTheme="minorEastAsia"/>
      <w:kern w:val="0"/>
      <w:sz w:val="22"/>
      <w:szCs w:val="22"/>
      <w:lang w:val="en-US" w:eastAsia="ko-KR"/>
      <w14:ligatures w14:val="none"/>
    </w:rPr>
  </w:style>
  <w:style w:type="character" w:styleId="CommentReference">
    <w:name w:val="annotation reference"/>
    <w:basedOn w:val="DefaultParagraphFont"/>
    <w:uiPriority w:val="99"/>
    <w:semiHidden/>
    <w:unhideWhenUsed/>
    <w:rsid w:val="006C2B34"/>
    <w:rPr>
      <w:sz w:val="16"/>
      <w:szCs w:val="16"/>
    </w:rPr>
  </w:style>
  <w:style w:type="character" w:customStyle="1" w:styleId="ListParagraphChar">
    <w:name w:val="List Paragraph Char"/>
    <w:basedOn w:val="DefaultParagraphFont"/>
    <w:link w:val="ListParagraph"/>
    <w:uiPriority w:val="34"/>
    <w:rsid w:val="006C2B34"/>
  </w:style>
  <w:style w:type="paragraph" w:styleId="CommentText">
    <w:name w:val="annotation text"/>
    <w:basedOn w:val="Normal"/>
    <w:link w:val="CommentTextChar"/>
    <w:uiPriority w:val="99"/>
    <w:unhideWhenUsed/>
    <w:rsid w:val="006C2B34"/>
    <w:rPr>
      <w:rFonts w:asciiTheme="minorHAnsi" w:eastAsiaTheme="minorEastAsia" w:hAnsiTheme="minorHAnsi" w:cstheme="minorBidi"/>
      <w:kern w:val="2"/>
      <w:sz w:val="20"/>
      <w:szCs w:val="20"/>
      <w:lang w:val="en-US" w:eastAsia="zh-CN"/>
      <w14:ligatures w14:val="standardContextual"/>
    </w:rPr>
  </w:style>
  <w:style w:type="character" w:customStyle="1" w:styleId="CommentTextChar">
    <w:name w:val="Comment Text Char"/>
    <w:basedOn w:val="DefaultParagraphFont"/>
    <w:link w:val="CommentText"/>
    <w:uiPriority w:val="99"/>
    <w:rsid w:val="006C2B34"/>
    <w:rPr>
      <w:rFonts w:eastAsiaTheme="minorEastAsia"/>
      <w:sz w:val="20"/>
      <w:szCs w:val="20"/>
      <w:lang w:val="en-US" w:eastAsia="zh-CN"/>
    </w:rPr>
  </w:style>
  <w:style w:type="paragraph" w:styleId="CommentSubject">
    <w:name w:val="annotation subject"/>
    <w:basedOn w:val="CommentText"/>
    <w:next w:val="CommentText"/>
    <w:link w:val="CommentSubjectChar"/>
    <w:uiPriority w:val="99"/>
    <w:semiHidden/>
    <w:unhideWhenUsed/>
    <w:rsid w:val="006C2B34"/>
    <w:rPr>
      <w:b/>
      <w:bCs/>
    </w:rPr>
  </w:style>
  <w:style w:type="character" w:customStyle="1" w:styleId="CommentSubjectChar">
    <w:name w:val="Comment Subject Char"/>
    <w:basedOn w:val="CommentTextChar"/>
    <w:link w:val="CommentSubject"/>
    <w:uiPriority w:val="99"/>
    <w:semiHidden/>
    <w:rsid w:val="006C2B34"/>
    <w:rPr>
      <w:rFonts w:eastAsiaTheme="minorEastAsia"/>
      <w:b/>
      <w:bCs/>
      <w:sz w:val="20"/>
      <w:szCs w:val="20"/>
      <w:lang w:val="en-US" w:eastAsia="zh-CN"/>
    </w:rPr>
  </w:style>
  <w:style w:type="paragraph" w:styleId="Revision">
    <w:name w:val="Revision"/>
    <w:hidden/>
    <w:uiPriority w:val="99"/>
    <w:semiHidden/>
    <w:rsid w:val="006C2B34"/>
    <w:rPr>
      <w:rFonts w:eastAsiaTheme="minorEastAsia"/>
      <w:lang w:val="en-US" w:eastAsia="zh-CN"/>
    </w:rPr>
  </w:style>
  <w:style w:type="table" w:styleId="TableGrid">
    <w:name w:val="Table Grid"/>
    <w:basedOn w:val="TableNormal"/>
    <w:uiPriority w:val="39"/>
    <w:rsid w:val="006C2B34"/>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C2B34"/>
    <w:rPr>
      <w:rFonts w:eastAsiaTheme="minorHAnsi"/>
      <w:sz w:val="20"/>
      <w:szCs w:val="20"/>
      <w:lang w:eastAsia="en-US"/>
    </w:rPr>
  </w:style>
  <w:style w:type="character" w:customStyle="1" w:styleId="EndnoteTextChar">
    <w:name w:val="Endnote Text Char"/>
    <w:basedOn w:val="DefaultParagraphFont"/>
    <w:link w:val="EndnoteText"/>
    <w:uiPriority w:val="99"/>
    <w:semiHidden/>
    <w:rsid w:val="006C2B34"/>
    <w:rPr>
      <w:kern w:val="0"/>
      <w:sz w:val="20"/>
      <w:szCs w:val="20"/>
      <w:lang w:val="en-US"/>
      <w14:ligatures w14:val="none"/>
    </w:rPr>
  </w:style>
  <w:style w:type="character" w:styleId="EndnoteReference">
    <w:name w:val="endnote reference"/>
    <w:basedOn w:val="DefaultParagraphFont"/>
    <w:uiPriority w:val="99"/>
    <w:unhideWhenUsed/>
    <w:rsid w:val="006C2B34"/>
    <w:rPr>
      <w:vertAlign w:val="superscript"/>
    </w:rPr>
  </w:style>
  <w:style w:type="paragraph" w:styleId="NormalWeb">
    <w:name w:val="Normal (Web)"/>
    <w:basedOn w:val="Normal"/>
    <w:uiPriority w:val="99"/>
    <w:unhideWhenUsed/>
    <w:rsid w:val="006C2B34"/>
    <w:pPr>
      <w:spacing w:before="100" w:beforeAutospacing="1" w:after="100" w:afterAutospacing="1"/>
    </w:pPr>
    <w:rPr>
      <w:lang w:val="en-US" w:eastAsia="zh-CN"/>
    </w:rPr>
  </w:style>
  <w:style w:type="paragraph" w:customStyle="1" w:styleId="b-qt">
    <w:name w:val="b-qt"/>
    <w:basedOn w:val="Normal"/>
    <w:rsid w:val="006C2B34"/>
    <w:pPr>
      <w:spacing w:before="100" w:beforeAutospacing="1" w:after="100" w:afterAutospacing="1"/>
    </w:pPr>
    <w:rPr>
      <w:lang w:val="en-GB"/>
    </w:rPr>
  </w:style>
  <w:style w:type="character" w:styleId="FollowedHyperlink">
    <w:name w:val="FollowedHyperlink"/>
    <w:basedOn w:val="DefaultParagraphFont"/>
    <w:uiPriority w:val="99"/>
    <w:semiHidden/>
    <w:unhideWhenUsed/>
    <w:rsid w:val="006C2B34"/>
    <w:rPr>
      <w:color w:val="96607D" w:themeColor="followedHyperlink"/>
      <w:u w:val="single"/>
    </w:rPr>
  </w:style>
  <w:style w:type="character" w:customStyle="1" w:styleId="None">
    <w:name w:val="None"/>
    <w:rsid w:val="006C2B34"/>
  </w:style>
  <w:style w:type="character" w:styleId="Strong">
    <w:name w:val="Strong"/>
    <w:basedOn w:val="DefaultParagraphFont"/>
    <w:uiPriority w:val="22"/>
    <w:qFormat/>
    <w:rsid w:val="006C2B34"/>
    <w:rPr>
      <w:b/>
      <w:bCs/>
    </w:rPr>
  </w:style>
  <w:style w:type="character" w:styleId="Emphasis">
    <w:name w:val="Emphasis"/>
    <w:basedOn w:val="DefaultParagraphFont"/>
    <w:uiPriority w:val="20"/>
    <w:qFormat/>
    <w:rsid w:val="006C2B34"/>
    <w:rPr>
      <w:i/>
      <w:iCs/>
    </w:rPr>
  </w:style>
  <w:style w:type="paragraph" w:styleId="FootnoteText">
    <w:name w:val="footnote text"/>
    <w:basedOn w:val="Normal"/>
    <w:link w:val="FootnoteTextChar"/>
    <w:uiPriority w:val="99"/>
    <w:semiHidden/>
    <w:unhideWhenUsed/>
    <w:rsid w:val="006C2B34"/>
    <w:rPr>
      <w:rFonts w:asciiTheme="minorHAnsi" w:eastAsiaTheme="minorEastAsia" w:hAnsiTheme="minorHAnsi" w:cstheme="minorBidi"/>
      <w:kern w:val="2"/>
      <w:sz w:val="20"/>
      <w:szCs w:val="20"/>
      <w:lang w:val="en-US" w:eastAsia="zh-CN"/>
      <w14:ligatures w14:val="standardContextual"/>
    </w:rPr>
  </w:style>
  <w:style w:type="character" w:customStyle="1" w:styleId="FootnoteTextChar">
    <w:name w:val="Footnote Text Char"/>
    <w:basedOn w:val="DefaultParagraphFont"/>
    <w:link w:val="FootnoteText"/>
    <w:uiPriority w:val="99"/>
    <w:semiHidden/>
    <w:rsid w:val="006C2B34"/>
    <w:rPr>
      <w:rFonts w:eastAsiaTheme="minorEastAsia"/>
      <w:sz w:val="20"/>
      <w:szCs w:val="20"/>
      <w:lang w:val="en-US" w:eastAsia="zh-CN"/>
    </w:rPr>
  </w:style>
  <w:style w:type="character" w:styleId="FootnoteReference">
    <w:name w:val="footnote reference"/>
    <w:basedOn w:val="DefaultParagraphFont"/>
    <w:uiPriority w:val="99"/>
    <w:semiHidden/>
    <w:unhideWhenUsed/>
    <w:rsid w:val="006C2B34"/>
    <w:rPr>
      <w:vertAlign w:val="superscript"/>
    </w:rPr>
  </w:style>
  <w:style w:type="paragraph" w:customStyle="1" w:styleId="paragraph">
    <w:name w:val="paragraph"/>
    <w:basedOn w:val="Normal"/>
    <w:link w:val="paragraphChar"/>
    <w:rsid w:val="006C2B34"/>
    <w:pPr>
      <w:spacing w:before="100" w:beforeAutospacing="1" w:after="100" w:afterAutospacing="1"/>
    </w:pPr>
    <w:rPr>
      <w:lang w:val="en-US" w:eastAsia="en-US" w:bidi="kn-IN"/>
    </w:rPr>
  </w:style>
  <w:style w:type="character" w:customStyle="1" w:styleId="normaltextrun">
    <w:name w:val="normaltextrun"/>
    <w:basedOn w:val="DefaultParagraphFont"/>
    <w:rsid w:val="006C2B34"/>
  </w:style>
  <w:style w:type="character" w:customStyle="1" w:styleId="paragraphChar">
    <w:name w:val="paragraph Char"/>
    <w:basedOn w:val="DefaultParagraphFont"/>
    <w:link w:val="paragraph"/>
    <w:rsid w:val="006C2B34"/>
    <w:rPr>
      <w:rFonts w:ascii="Times New Roman" w:eastAsia="Times New Roman" w:hAnsi="Times New Roman" w:cs="Times New Roman"/>
      <w:kern w:val="0"/>
      <w:lang w:val="en-US" w:bidi="kn-IN"/>
      <w14:ligatures w14:val="none"/>
    </w:rPr>
  </w:style>
  <w:style w:type="paragraph" w:styleId="NoSpacing">
    <w:name w:val="No Spacing"/>
    <w:uiPriority w:val="1"/>
    <w:qFormat/>
    <w:rsid w:val="006C2B34"/>
  </w:style>
  <w:style w:type="paragraph" w:customStyle="1" w:styleId="msonormal0">
    <w:name w:val="msonormal"/>
    <w:basedOn w:val="Normal"/>
    <w:rsid w:val="009D37A1"/>
    <w:pPr>
      <w:spacing w:before="100" w:beforeAutospacing="1" w:after="100" w:afterAutospacing="1"/>
    </w:pPr>
  </w:style>
  <w:style w:type="paragraph" w:customStyle="1" w:styleId="xl63">
    <w:name w:val="xl63"/>
    <w:basedOn w:val="Normal"/>
    <w:rsid w:val="009D37A1"/>
    <w:pPr>
      <w:spacing w:before="100" w:beforeAutospacing="1" w:after="100" w:afterAutospacing="1"/>
    </w:pPr>
    <w:rPr>
      <w:rFonts w:ascii="Helvetica Neue" w:hAnsi="Helvetica Neue"/>
      <w:b/>
      <w:bCs/>
      <w:color w:val="000000"/>
      <w:sz w:val="20"/>
      <w:szCs w:val="20"/>
    </w:rPr>
  </w:style>
  <w:style w:type="paragraph" w:customStyle="1" w:styleId="xl64">
    <w:name w:val="xl64"/>
    <w:basedOn w:val="Normal"/>
    <w:rsid w:val="009D37A1"/>
    <w:pPr>
      <w:spacing w:before="100" w:beforeAutospacing="1" w:after="100" w:afterAutospacing="1"/>
    </w:pPr>
    <w:rPr>
      <w:rFonts w:ascii="Helvetica Neue" w:hAnsi="Helvetica Neue"/>
      <w:color w:val="000000"/>
      <w:sz w:val="20"/>
      <w:szCs w:val="20"/>
    </w:rPr>
  </w:style>
  <w:style w:type="paragraph" w:customStyle="1" w:styleId="xl65">
    <w:name w:val="xl65"/>
    <w:basedOn w:val="Normal"/>
    <w:rsid w:val="009D37A1"/>
    <w:pPr>
      <w:spacing w:before="100" w:beforeAutospacing="1" w:after="100" w:afterAutospacing="1"/>
    </w:pPr>
  </w:style>
  <w:style w:type="paragraph" w:customStyle="1" w:styleId="xl66">
    <w:name w:val="xl66"/>
    <w:basedOn w:val="Normal"/>
    <w:rsid w:val="009D37A1"/>
    <w:pPr>
      <w:spacing w:before="100" w:beforeAutospacing="1" w:after="100" w:afterAutospacing="1"/>
      <w:jc w:val="right"/>
    </w:pPr>
  </w:style>
  <w:style w:type="paragraph" w:customStyle="1" w:styleId="xl67">
    <w:name w:val="xl67"/>
    <w:basedOn w:val="Normal"/>
    <w:rsid w:val="009D37A1"/>
    <w:pPr>
      <w:pBdr>
        <w:bottom w:val="single" w:sz="4" w:space="0" w:color="auto"/>
      </w:pBdr>
      <w:spacing w:before="100" w:beforeAutospacing="1" w:after="100" w:afterAutospacing="1"/>
    </w:pPr>
    <w:rPr>
      <w:rFonts w:ascii="Helvetica Neue" w:hAnsi="Helvetica Neue"/>
      <w:b/>
      <w:bCs/>
      <w:color w:val="000000"/>
      <w:sz w:val="20"/>
      <w:szCs w:val="20"/>
    </w:rPr>
  </w:style>
  <w:style w:type="paragraph" w:customStyle="1" w:styleId="xl68">
    <w:name w:val="xl68"/>
    <w:basedOn w:val="Normal"/>
    <w:rsid w:val="009D37A1"/>
    <w:pPr>
      <w:pBdr>
        <w:bottom w:val="single" w:sz="4" w:space="0" w:color="auto"/>
      </w:pBdr>
      <w:spacing w:before="100" w:beforeAutospacing="1" w:after="100" w:afterAutospacing="1"/>
    </w:pPr>
    <w:rPr>
      <w:rFonts w:ascii="Helvetica Neue" w:hAnsi="Helvetica Neue"/>
      <w:b/>
      <w:bCs/>
      <w:color w:val="000000"/>
      <w:sz w:val="20"/>
      <w:szCs w:val="20"/>
    </w:rPr>
  </w:style>
  <w:style w:type="paragraph" w:customStyle="1" w:styleId="xl69">
    <w:name w:val="xl69"/>
    <w:basedOn w:val="Normal"/>
    <w:rsid w:val="009D37A1"/>
    <w:pPr>
      <w:pBdr>
        <w:bottom w:val="single" w:sz="4" w:space="0" w:color="auto"/>
      </w:pBdr>
      <w:spacing w:before="100" w:beforeAutospacing="1" w:after="100" w:afterAutospacing="1"/>
    </w:pPr>
    <w:rPr>
      <w:rFonts w:ascii="Helvetica Neue" w:hAnsi="Helvetica Neue"/>
      <w:color w:val="000000"/>
      <w:sz w:val="20"/>
      <w:szCs w:val="20"/>
    </w:rPr>
  </w:style>
  <w:style w:type="paragraph" w:customStyle="1" w:styleId="xl70">
    <w:name w:val="xl70"/>
    <w:basedOn w:val="Normal"/>
    <w:rsid w:val="009D37A1"/>
    <w:pPr>
      <w:pBdr>
        <w:bottom w:val="single" w:sz="4" w:space="0" w:color="auto"/>
      </w:pBdr>
      <w:spacing w:before="100" w:beforeAutospacing="1" w:after="100" w:afterAutospacing="1"/>
    </w:pPr>
  </w:style>
  <w:style w:type="paragraph" w:customStyle="1" w:styleId="xl71">
    <w:name w:val="xl71"/>
    <w:basedOn w:val="Normal"/>
    <w:rsid w:val="009D37A1"/>
    <w:pPr>
      <w:pBdr>
        <w:bottom w:val="single" w:sz="4" w:space="0" w:color="auto"/>
      </w:pBdr>
      <w:spacing w:before="100" w:beforeAutospacing="1" w:after="100" w:afterAutospacing="1"/>
    </w:pPr>
    <w:rPr>
      <w:rFonts w:ascii="Helvetica Neue" w:hAnsi="Helvetica Neue"/>
      <w:sz w:val="20"/>
      <w:szCs w:val="20"/>
    </w:rPr>
  </w:style>
  <w:style w:type="paragraph" w:styleId="Caption">
    <w:name w:val="caption"/>
    <w:basedOn w:val="Normal"/>
    <w:next w:val="Normal"/>
    <w:uiPriority w:val="35"/>
    <w:unhideWhenUsed/>
    <w:qFormat/>
    <w:rsid w:val="00A6456D"/>
    <w:pPr>
      <w:spacing w:after="200"/>
    </w:pPr>
    <w:rPr>
      <w:rFonts w:asciiTheme="minorHAnsi" w:eastAsiaTheme="minorEastAsia" w:hAnsiTheme="minorHAnsi" w:cstheme="minorBidi"/>
      <w:i/>
      <w:iCs/>
      <w:color w:val="0E2841" w:themeColor="text2"/>
      <w:kern w:val="2"/>
      <w:sz w:val="18"/>
      <w:szCs w:val="22"/>
      <w:lang w:eastAsia="zh-CN" w:bidi="th-TH"/>
      <w14:ligatures w14:val="standardContextual"/>
    </w:rPr>
  </w:style>
  <w:style w:type="paragraph" w:customStyle="1" w:styleId="whitespace-normal">
    <w:name w:val="whitespace-normal"/>
    <w:basedOn w:val="Normal"/>
    <w:rsid w:val="00A6456D"/>
    <w:pPr>
      <w:spacing w:before="100" w:beforeAutospacing="1" w:after="100" w:afterAutospacing="1"/>
    </w:pPr>
  </w:style>
  <w:style w:type="paragraph" w:customStyle="1" w:styleId="whitespace-pre-wrap">
    <w:name w:val="whitespace-pre-wrap"/>
    <w:basedOn w:val="Normal"/>
    <w:rsid w:val="008B25DB"/>
    <w:pPr>
      <w:spacing w:before="100" w:beforeAutospacing="1" w:after="100" w:afterAutospacing="1"/>
    </w:pPr>
  </w:style>
  <w:style w:type="character" w:customStyle="1" w:styleId="eop">
    <w:name w:val="eop"/>
    <w:basedOn w:val="DefaultParagraphFont"/>
    <w:rsid w:val="008B25DB"/>
  </w:style>
  <w:style w:type="character" w:customStyle="1" w:styleId="apple-converted-space">
    <w:name w:val="apple-converted-space"/>
    <w:basedOn w:val="DefaultParagraphFont"/>
    <w:rsid w:val="001C4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gea.gov.au/sites/default/files/documents/WGEA-Employer-gender-pay-gaps-report-FINAL.pdf" TargetMode="External"/><Relationship Id="rId5" Type="http://schemas.openxmlformats.org/officeDocument/2006/relationships/footnotes" Target="footnotes.xml"/><Relationship Id="rId10" Type="http://schemas.openxmlformats.org/officeDocument/2006/relationships/hyperlink" Target="https://christophm.github.io/interpretable-ml-book/" TargetMode="External"/><Relationship Id="rId4" Type="http://schemas.openxmlformats.org/officeDocument/2006/relationships/webSettings" Target="webSettings.xml"/><Relationship Id="rId9" Type="http://schemas.openxmlformats.org/officeDocument/2006/relationships/hyperlink" Target="https://keras.i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466</TotalTime>
  <Pages>14</Pages>
  <Words>5950</Words>
  <Characters>38026</Characters>
  <Application>Microsoft Office Word</Application>
  <DocSecurity>0</DocSecurity>
  <Lines>623</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Ilker Cingillioglu</dc:creator>
  <cp:keywords/>
  <dc:description/>
  <cp:lastModifiedBy>Ilker Cingillioglu</cp:lastModifiedBy>
  <cp:revision>48</cp:revision>
  <dcterms:created xsi:type="dcterms:W3CDTF">2025-12-08T01:04:00Z</dcterms:created>
  <dcterms:modified xsi:type="dcterms:W3CDTF">2026-04-02T01:09:00Z</dcterms:modified>
</cp:coreProperties>
</file>