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6465C" w14:textId="77777777" w:rsidR="00740BC9" w:rsidRDefault="00740BC9" w:rsidP="00740BC9">
      <w:pPr>
        <w:jc w:val="center"/>
        <w:rPr>
          <w:rFonts w:asciiTheme="majorBidi" w:hAnsiTheme="majorBidi" w:cstheme="majorBidi"/>
          <w:b/>
          <w:bCs/>
        </w:rPr>
      </w:pPr>
      <w:r w:rsidRPr="00740BC9">
        <w:rPr>
          <w:rFonts w:asciiTheme="majorBidi" w:hAnsiTheme="majorBidi" w:cstheme="majorBidi"/>
          <w:b/>
          <w:bCs/>
        </w:rPr>
        <w:t xml:space="preserve">Supplemental Material to </w:t>
      </w:r>
    </w:p>
    <w:p w14:paraId="3883C866" w14:textId="41044FCD" w:rsidR="00F61122" w:rsidRDefault="00740BC9" w:rsidP="00740BC9">
      <w:pPr>
        <w:jc w:val="center"/>
        <w:rPr>
          <w:rFonts w:asciiTheme="majorBidi" w:hAnsiTheme="majorBidi" w:cstheme="majorBidi"/>
          <w:b/>
          <w:bCs/>
        </w:rPr>
      </w:pPr>
      <w:r w:rsidRPr="00740BC9">
        <w:rPr>
          <w:rFonts w:asciiTheme="majorBidi" w:hAnsiTheme="majorBidi" w:cstheme="majorBidi"/>
          <w:b/>
          <w:bCs/>
        </w:rPr>
        <w:t>How to become a Knowledge Entrepreneur: Development and Validation of Training</w:t>
      </w:r>
    </w:p>
    <w:p w14:paraId="5766D328" w14:textId="77777777" w:rsidR="00740BC9" w:rsidRDefault="00740BC9" w:rsidP="00740BC9">
      <w:pPr>
        <w:jc w:val="center"/>
        <w:rPr>
          <w:rFonts w:asciiTheme="majorBidi" w:hAnsiTheme="majorBidi" w:cstheme="majorBidi"/>
          <w:b/>
          <w:bCs/>
        </w:rPr>
      </w:pPr>
    </w:p>
    <w:p w14:paraId="789A12AD" w14:textId="77777777" w:rsidR="00740BC9" w:rsidRDefault="00740BC9" w:rsidP="00740BC9">
      <w:pPr>
        <w:spacing w:line="480" w:lineRule="auto"/>
        <w:rPr>
          <w:rFonts w:asciiTheme="majorBidi" w:hAnsiTheme="majorBidi" w:cstheme="majorBidi"/>
          <w:b/>
          <w:bCs/>
        </w:rPr>
      </w:pPr>
      <w:r>
        <w:rPr>
          <w:rFonts w:asciiTheme="majorBidi" w:hAnsiTheme="majorBidi" w:cstheme="majorBidi"/>
          <w:b/>
          <w:bCs/>
        </w:rPr>
        <w:t>Table S1</w:t>
      </w:r>
    </w:p>
    <w:p w14:paraId="49CB813D" w14:textId="77777777" w:rsidR="00740BC9" w:rsidRPr="00E306EB" w:rsidRDefault="00740BC9" w:rsidP="00740BC9">
      <w:pPr>
        <w:spacing w:line="480" w:lineRule="auto"/>
        <w:rPr>
          <w:rFonts w:asciiTheme="majorBidi" w:hAnsiTheme="majorBidi" w:cstheme="majorBidi"/>
          <w:i/>
          <w:iCs/>
        </w:rPr>
      </w:pPr>
      <w:r w:rsidRPr="00E306EB">
        <w:rPr>
          <w:rFonts w:asciiTheme="majorBidi" w:hAnsiTheme="majorBidi" w:cstheme="majorBidi"/>
          <w:i/>
          <w:iCs/>
        </w:rPr>
        <w:t xml:space="preserve">Demographic </w:t>
      </w:r>
      <w:r>
        <w:rPr>
          <w:rFonts w:asciiTheme="majorBidi" w:hAnsiTheme="majorBidi" w:cstheme="majorBidi"/>
          <w:i/>
          <w:iCs/>
        </w:rPr>
        <w:t>C</w:t>
      </w:r>
      <w:r w:rsidRPr="00E306EB">
        <w:rPr>
          <w:rFonts w:asciiTheme="majorBidi" w:hAnsiTheme="majorBidi" w:cstheme="majorBidi"/>
          <w:i/>
          <w:iCs/>
        </w:rPr>
        <w:t xml:space="preserve">haracteristics of the </w:t>
      </w:r>
      <w:r>
        <w:rPr>
          <w:rFonts w:asciiTheme="majorBidi" w:hAnsiTheme="majorBidi" w:cstheme="majorBidi"/>
          <w:i/>
          <w:iCs/>
        </w:rPr>
        <w:t>F</w:t>
      </w:r>
      <w:r w:rsidRPr="00E306EB">
        <w:rPr>
          <w:rFonts w:asciiTheme="majorBidi" w:hAnsiTheme="majorBidi" w:cstheme="majorBidi"/>
          <w:i/>
          <w:iCs/>
        </w:rPr>
        <w:t>inal</w:t>
      </w:r>
      <w:r>
        <w:rPr>
          <w:rFonts w:asciiTheme="majorBidi" w:hAnsiTheme="majorBidi" w:cstheme="majorBidi"/>
          <w:i/>
          <w:iCs/>
        </w:rPr>
        <w:t xml:space="preserve"> S</w:t>
      </w:r>
      <w:r w:rsidRPr="00E306EB">
        <w:rPr>
          <w:rFonts w:asciiTheme="majorBidi" w:hAnsiTheme="majorBidi" w:cstheme="majorBidi"/>
          <w:i/>
          <w:iCs/>
        </w:rPr>
        <w:t>ample</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3"/>
        <w:gridCol w:w="1782"/>
        <w:gridCol w:w="1887"/>
        <w:gridCol w:w="1962"/>
        <w:gridCol w:w="1782"/>
      </w:tblGrid>
      <w:tr w:rsidR="00740BC9" w14:paraId="1299906E" w14:textId="77777777" w:rsidTr="00780B8F">
        <w:trPr>
          <w:jc w:val="center"/>
        </w:trPr>
        <w:tc>
          <w:tcPr>
            <w:tcW w:w="1983" w:type="dxa"/>
            <w:tcBorders>
              <w:top w:val="single" w:sz="4" w:space="0" w:color="auto"/>
              <w:bottom w:val="single" w:sz="4" w:space="0" w:color="auto"/>
            </w:tcBorders>
          </w:tcPr>
          <w:p w14:paraId="1F29EDE2"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Sample</w:t>
            </w:r>
          </w:p>
        </w:tc>
        <w:tc>
          <w:tcPr>
            <w:tcW w:w="1782" w:type="dxa"/>
            <w:tcBorders>
              <w:top w:val="single" w:sz="4" w:space="0" w:color="auto"/>
              <w:bottom w:val="single" w:sz="4" w:space="0" w:color="auto"/>
            </w:tcBorders>
          </w:tcPr>
          <w:p w14:paraId="2697C015" w14:textId="77777777" w:rsidR="00740BC9" w:rsidRPr="005F378B" w:rsidRDefault="00740BC9" w:rsidP="00780B8F">
            <w:pPr>
              <w:spacing w:line="480" w:lineRule="auto"/>
              <w:jc w:val="center"/>
              <w:rPr>
                <w:rFonts w:asciiTheme="majorBidi" w:hAnsiTheme="majorBidi" w:cstheme="majorBidi"/>
                <w:i/>
                <w:iCs/>
                <w:sz w:val="24"/>
                <w:szCs w:val="24"/>
              </w:rPr>
            </w:pPr>
            <w:r w:rsidRPr="005F378B">
              <w:rPr>
                <w:rFonts w:asciiTheme="majorBidi" w:hAnsiTheme="majorBidi" w:cstheme="majorBidi"/>
                <w:i/>
                <w:iCs/>
                <w:sz w:val="24"/>
                <w:szCs w:val="24"/>
              </w:rPr>
              <w:t>N</w:t>
            </w:r>
          </w:p>
        </w:tc>
        <w:tc>
          <w:tcPr>
            <w:tcW w:w="1887" w:type="dxa"/>
            <w:tcBorders>
              <w:top w:val="single" w:sz="4" w:space="0" w:color="auto"/>
              <w:bottom w:val="single" w:sz="4" w:space="0" w:color="auto"/>
            </w:tcBorders>
          </w:tcPr>
          <w:p w14:paraId="26B0BC53"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Age (</w:t>
            </w:r>
            <w:r w:rsidRPr="005F378B">
              <w:rPr>
                <w:rFonts w:asciiTheme="majorBidi" w:hAnsiTheme="majorBidi" w:cstheme="majorBidi"/>
                <w:i/>
                <w:iCs/>
                <w:sz w:val="24"/>
                <w:szCs w:val="24"/>
              </w:rPr>
              <w:t>SD</w:t>
            </w:r>
            <w:r w:rsidRPr="005F378B">
              <w:rPr>
                <w:rFonts w:asciiTheme="majorBidi" w:hAnsiTheme="majorBidi" w:cstheme="majorBidi"/>
                <w:sz w:val="24"/>
                <w:szCs w:val="24"/>
              </w:rPr>
              <w:t>)</w:t>
            </w:r>
          </w:p>
        </w:tc>
        <w:tc>
          <w:tcPr>
            <w:tcW w:w="1962" w:type="dxa"/>
            <w:tcBorders>
              <w:top w:val="single" w:sz="4" w:space="0" w:color="auto"/>
              <w:bottom w:val="single" w:sz="4" w:space="0" w:color="auto"/>
            </w:tcBorders>
          </w:tcPr>
          <w:p w14:paraId="653575B2"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 female</w:t>
            </w:r>
          </w:p>
        </w:tc>
        <w:tc>
          <w:tcPr>
            <w:tcW w:w="1782" w:type="dxa"/>
            <w:tcBorders>
              <w:top w:val="single" w:sz="4" w:space="0" w:color="auto"/>
              <w:bottom w:val="single" w:sz="4" w:space="0" w:color="auto"/>
            </w:tcBorders>
          </w:tcPr>
          <w:p w14:paraId="4EF11AAF"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 students</w:t>
            </w:r>
          </w:p>
        </w:tc>
      </w:tr>
      <w:tr w:rsidR="00740BC9" w14:paraId="2E39460C" w14:textId="77777777" w:rsidTr="00780B8F">
        <w:trPr>
          <w:jc w:val="center"/>
        </w:trPr>
        <w:tc>
          <w:tcPr>
            <w:tcW w:w="1983" w:type="dxa"/>
            <w:tcBorders>
              <w:top w:val="single" w:sz="4" w:space="0" w:color="auto"/>
            </w:tcBorders>
          </w:tcPr>
          <w:p w14:paraId="2846922C" w14:textId="77777777" w:rsidR="00740BC9" w:rsidRPr="005F378B" w:rsidRDefault="00740BC9" w:rsidP="00780B8F">
            <w:pPr>
              <w:spacing w:line="480" w:lineRule="auto"/>
              <w:rPr>
                <w:rFonts w:asciiTheme="majorBidi" w:hAnsiTheme="majorBidi" w:cstheme="majorBidi"/>
                <w:sz w:val="24"/>
                <w:szCs w:val="24"/>
              </w:rPr>
            </w:pPr>
            <w:r w:rsidRPr="005F378B">
              <w:rPr>
                <w:rFonts w:asciiTheme="majorBidi" w:hAnsiTheme="majorBidi" w:cstheme="majorBidi"/>
                <w:sz w:val="24"/>
                <w:szCs w:val="24"/>
              </w:rPr>
              <w:t>Overall</w:t>
            </w:r>
          </w:p>
        </w:tc>
        <w:tc>
          <w:tcPr>
            <w:tcW w:w="1782" w:type="dxa"/>
            <w:tcBorders>
              <w:top w:val="single" w:sz="4" w:space="0" w:color="auto"/>
            </w:tcBorders>
          </w:tcPr>
          <w:p w14:paraId="36625D07" w14:textId="77777777" w:rsidR="00740BC9" w:rsidRPr="005F378B" w:rsidRDefault="00740BC9" w:rsidP="00780B8F">
            <w:pPr>
              <w:spacing w:line="480" w:lineRule="auto"/>
              <w:jc w:val="center"/>
              <w:rPr>
                <w:rFonts w:asciiTheme="majorBidi" w:hAnsiTheme="majorBidi" w:cstheme="majorBidi"/>
                <w:sz w:val="24"/>
                <w:szCs w:val="24"/>
              </w:rPr>
            </w:pPr>
            <w:r>
              <w:rPr>
                <w:rFonts w:asciiTheme="majorBidi" w:hAnsiTheme="majorBidi" w:cstheme="majorBidi"/>
                <w:sz w:val="24"/>
                <w:szCs w:val="24"/>
              </w:rPr>
              <w:t>40</w:t>
            </w:r>
          </w:p>
        </w:tc>
        <w:tc>
          <w:tcPr>
            <w:tcW w:w="1887" w:type="dxa"/>
            <w:tcBorders>
              <w:top w:val="single" w:sz="4" w:space="0" w:color="auto"/>
            </w:tcBorders>
          </w:tcPr>
          <w:p w14:paraId="7697B479"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2</w:t>
            </w:r>
            <w:r>
              <w:rPr>
                <w:rFonts w:asciiTheme="majorBidi" w:hAnsiTheme="majorBidi" w:cstheme="majorBidi"/>
                <w:sz w:val="24"/>
                <w:szCs w:val="24"/>
              </w:rPr>
              <w:t>6.18</w:t>
            </w:r>
            <w:r w:rsidRPr="005F378B">
              <w:rPr>
                <w:rFonts w:asciiTheme="majorBidi" w:hAnsiTheme="majorBidi" w:cstheme="majorBidi"/>
                <w:sz w:val="24"/>
                <w:szCs w:val="24"/>
              </w:rPr>
              <w:t xml:space="preserve"> (</w:t>
            </w:r>
            <w:r>
              <w:rPr>
                <w:rFonts w:asciiTheme="majorBidi" w:hAnsiTheme="majorBidi" w:cstheme="majorBidi"/>
                <w:sz w:val="24"/>
                <w:szCs w:val="24"/>
              </w:rPr>
              <w:t>7.71</w:t>
            </w:r>
            <w:r w:rsidRPr="005F378B">
              <w:rPr>
                <w:rFonts w:asciiTheme="majorBidi" w:hAnsiTheme="majorBidi" w:cstheme="majorBidi"/>
                <w:sz w:val="24"/>
                <w:szCs w:val="24"/>
              </w:rPr>
              <w:t>)</w:t>
            </w:r>
          </w:p>
        </w:tc>
        <w:tc>
          <w:tcPr>
            <w:tcW w:w="1962" w:type="dxa"/>
            <w:tcBorders>
              <w:top w:val="single" w:sz="4" w:space="0" w:color="auto"/>
            </w:tcBorders>
          </w:tcPr>
          <w:p w14:paraId="34F38B7B"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7</w:t>
            </w:r>
            <w:r>
              <w:rPr>
                <w:rFonts w:asciiTheme="majorBidi" w:hAnsiTheme="majorBidi" w:cstheme="majorBidi"/>
                <w:sz w:val="24"/>
                <w:szCs w:val="24"/>
              </w:rPr>
              <w:t>7.5</w:t>
            </w:r>
          </w:p>
        </w:tc>
        <w:tc>
          <w:tcPr>
            <w:tcW w:w="1782" w:type="dxa"/>
            <w:tcBorders>
              <w:top w:val="single" w:sz="4" w:space="0" w:color="auto"/>
            </w:tcBorders>
          </w:tcPr>
          <w:p w14:paraId="7E3ABB88" w14:textId="77777777" w:rsidR="00740BC9" w:rsidRPr="005F378B" w:rsidRDefault="00740BC9" w:rsidP="00780B8F">
            <w:pPr>
              <w:spacing w:line="480" w:lineRule="auto"/>
              <w:jc w:val="center"/>
              <w:rPr>
                <w:rFonts w:asciiTheme="majorBidi" w:hAnsiTheme="majorBidi" w:cstheme="majorBidi"/>
                <w:sz w:val="24"/>
                <w:szCs w:val="24"/>
              </w:rPr>
            </w:pPr>
            <w:r>
              <w:rPr>
                <w:rFonts w:asciiTheme="majorBidi" w:hAnsiTheme="majorBidi" w:cstheme="majorBidi"/>
                <w:sz w:val="24"/>
                <w:szCs w:val="24"/>
              </w:rPr>
              <w:t>85</w:t>
            </w:r>
          </w:p>
        </w:tc>
      </w:tr>
      <w:tr w:rsidR="00740BC9" w14:paraId="38555784" w14:textId="77777777" w:rsidTr="00780B8F">
        <w:trPr>
          <w:jc w:val="center"/>
        </w:trPr>
        <w:tc>
          <w:tcPr>
            <w:tcW w:w="1983" w:type="dxa"/>
          </w:tcPr>
          <w:p w14:paraId="6640F4BA" w14:textId="77777777" w:rsidR="00740BC9" w:rsidRPr="005F378B" w:rsidRDefault="00740BC9" w:rsidP="00780B8F">
            <w:pPr>
              <w:spacing w:line="480" w:lineRule="auto"/>
              <w:rPr>
                <w:rFonts w:asciiTheme="majorBidi" w:hAnsiTheme="majorBidi" w:cstheme="majorBidi"/>
                <w:sz w:val="24"/>
                <w:szCs w:val="24"/>
              </w:rPr>
            </w:pPr>
            <w:r w:rsidRPr="005F378B">
              <w:rPr>
                <w:rFonts w:asciiTheme="majorBidi" w:hAnsiTheme="majorBidi" w:cstheme="majorBidi"/>
                <w:sz w:val="24"/>
                <w:szCs w:val="24"/>
              </w:rPr>
              <w:t>Spain</w:t>
            </w:r>
          </w:p>
        </w:tc>
        <w:tc>
          <w:tcPr>
            <w:tcW w:w="1782" w:type="dxa"/>
          </w:tcPr>
          <w:p w14:paraId="64F97084"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8</w:t>
            </w:r>
          </w:p>
        </w:tc>
        <w:tc>
          <w:tcPr>
            <w:tcW w:w="1887" w:type="dxa"/>
          </w:tcPr>
          <w:p w14:paraId="505E55D6"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22.75 (2.66)</w:t>
            </w:r>
          </w:p>
        </w:tc>
        <w:tc>
          <w:tcPr>
            <w:tcW w:w="1962" w:type="dxa"/>
          </w:tcPr>
          <w:p w14:paraId="4E0FE36F"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62.5</w:t>
            </w:r>
          </w:p>
        </w:tc>
        <w:tc>
          <w:tcPr>
            <w:tcW w:w="1782" w:type="dxa"/>
          </w:tcPr>
          <w:p w14:paraId="5294FA5B"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100</w:t>
            </w:r>
          </w:p>
        </w:tc>
      </w:tr>
      <w:tr w:rsidR="00740BC9" w14:paraId="7A59585B" w14:textId="77777777" w:rsidTr="00780B8F">
        <w:trPr>
          <w:jc w:val="center"/>
        </w:trPr>
        <w:tc>
          <w:tcPr>
            <w:tcW w:w="1983" w:type="dxa"/>
          </w:tcPr>
          <w:p w14:paraId="3D0B305B" w14:textId="77777777" w:rsidR="00740BC9" w:rsidRPr="005F378B" w:rsidRDefault="00740BC9" w:rsidP="00780B8F">
            <w:pPr>
              <w:spacing w:line="480" w:lineRule="auto"/>
              <w:rPr>
                <w:rFonts w:asciiTheme="majorBidi" w:hAnsiTheme="majorBidi" w:cstheme="majorBidi"/>
                <w:sz w:val="24"/>
                <w:szCs w:val="24"/>
              </w:rPr>
            </w:pPr>
            <w:r w:rsidRPr="005F378B">
              <w:rPr>
                <w:rFonts w:asciiTheme="majorBidi" w:hAnsiTheme="majorBidi" w:cstheme="majorBidi"/>
                <w:sz w:val="24"/>
                <w:szCs w:val="24"/>
              </w:rPr>
              <w:t>Germany</w:t>
            </w:r>
          </w:p>
        </w:tc>
        <w:tc>
          <w:tcPr>
            <w:tcW w:w="1782" w:type="dxa"/>
          </w:tcPr>
          <w:p w14:paraId="714ADEE2" w14:textId="77777777" w:rsidR="00740BC9" w:rsidRPr="005F378B" w:rsidRDefault="00740BC9" w:rsidP="00780B8F">
            <w:pPr>
              <w:spacing w:line="480" w:lineRule="auto"/>
              <w:jc w:val="center"/>
              <w:rPr>
                <w:rFonts w:asciiTheme="majorBidi" w:hAnsiTheme="majorBidi" w:cstheme="majorBidi"/>
                <w:sz w:val="24"/>
                <w:szCs w:val="24"/>
              </w:rPr>
            </w:pPr>
            <w:r>
              <w:rPr>
                <w:rFonts w:asciiTheme="majorBidi" w:hAnsiTheme="majorBidi" w:cstheme="majorBidi"/>
                <w:sz w:val="24"/>
                <w:szCs w:val="24"/>
              </w:rPr>
              <w:t>9</w:t>
            </w:r>
          </w:p>
        </w:tc>
        <w:tc>
          <w:tcPr>
            <w:tcW w:w="1887" w:type="dxa"/>
          </w:tcPr>
          <w:p w14:paraId="60557D69"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22.33 (</w:t>
            </w:r>
            <w:r>
              <w:rPr>
                <w:rFonts w:asciiTheme="majorBidi" w:hAnsiTheme="majorBidi" w:cstheme="majorBidi"/>
                <w:sz w:val="24"/>
                <w:szCs w:val="24"/>
              </w:rPr>
              <w:t>2.12</w:t>
            </w:r>
            <w:r w:rsidRPr="005F378B">
              <w:rPr>
                <w:rFonts w:asciiTheme="majorBidi" w:hAnsiTheme="majorBidi" w:cstheme="majorBidi"/>
                <w:sz w:val="24"/>
                <w:szCs w:val="24"/>
              </w:rPr>
              <w:t>)</w:t>
            </w:r>
          </w:p>
        </w:tc>
        <w:tc>
          <w:tcPr>
            <w:tcW w:w="1962" w:type="dxa"/>
          </w:tcPr>
          <w:p w14:paraId="4AB901FB" w14:textId="77777777" w:rsidR="00740BC9" w:rsidRPr="005F378B" w:rsidRDefault="00740BC9" w:rsidP="00780B8F">
            <w:pPr>
              <w:spacing w:line="480" w:lineRule="auto"/>
              <w:jc w:val="center"/>
              <w:rPr>
                <w:rFonts w:asciiTheme="majorBidi" w:hAnsiTheme="majorBidi" w:cstheme="majorBidi"/>
                <w:sz w:val="24"/>
                <w:szCs w:val="24"/>
              </w:rPr>
            </w:pPr>
            <w:r>
              <w:rPr>
                <w:rFonts w:asciiTheme="majorBidi" w:hAnsiTheme="majorBidi" w:cstheme="majorBidi"/>
                <w:sz w:val="24"/>
                <w:szCs w:val="24"/>
              </w:rPr>
              <w:t>44.4</w:t>
            </w:r>
          </w:p>
        </w:tc>
        <w:tc>
          <w:tcPr>
            <w:tcW w:w="1782" w:type="dxa"/>
          </w:tcPr>
          <w:p w14:paraId="368DD60C"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100</w:t>
            </w:r>
          </w:p>
        </w:tc>
      </w:tr>
      <w:tr w:rsidR="00740BC9" w14:paraId="7BA7B448" w14:textId="77777777" w:rsidTr="00780B8F">
        <w:trPr>
          <w:jc w:val="center"/>
        </w:trPr>
        <w:tc>
          <w:tcPr>
            <w:tcW w:w="1983" w:type="dxa"/>
          </w:tcPr>
          <w:p w14:paraId="509F9EA2" w14:textId="77777777" w:rsidR="00740BC9" w:rsidRPr="005F378B" w:rsidRDefault="00740BC9" w:rsidP="00780B8F">
            <w:pPr>
              <w:spacing w:line="480" w:lineRule="auto"/>
              <w:rPr>
                <w:rFonts w:asciiTheme="majorBidi" w:hAnsiTheme="majorBidi" w:cstheme="majorBidi"/>
                <w:sz w:val="24"/>
                <w:szCs w:val="24"/>
              </w:rPr>
            </w:pPr>
            <w:r w:rsidRPr="005F378B">
              <w:rPr>
                <w:rFonts w:asciiTheme="majorBidi" w:hAnsiTheme="majorBidi" w:cstheme="majorBidi"/>
                <w:sz w:val="24"/>
                <w:szCs w:val="24"/>
              </w:rPr>
              <w:t>Poland</w:t>
            </w:r>
          </w:p>
        </w:tc>
        <w:tc>
          <w:tcPr>
            <w:tcW w:w="1782" w:type="dxa"/>
          </w:tcPr>
          <w:p w14:paraId="16958532" w14:textId="77777777" w:rsidR="00740BC9" w:rsidRPr="005F378B" w:rsidRDefault="00740BC9" w:rsidP="00780B8F">
            <w:pPr>
              <w:spacing w:line="480" w:lineRule="auto"/>
              <w:jc w:val="center"/>
              <w:rPr>
                <w:rFonts w:asciiTheme="majorBidi" w:hAnsiTheme="majorBidi" w:cstheme="majorBidi"/>
                <w:sz w:val="24"/>
                <w:szCs w:val="24"/>
              </w:rPr>
            </w:pPr>
            <w:r>
              <w:rPr>
                <w:rFonts w:asciiTheme="majorBidi" w:hAnsiTheme="majorBidi" w:cstheme="majorBidi"/>
                <w:sz w:val="24"/>
                <w:szCs w:val="24"/>
              </w:rPr>
              <w:t>8</w:t>
            </w:r>
          </w:p>
        </w:tc>
        <w:tc>
          <w:tcPr>
            <w:tcW w:w="1887" w:type="dxa"/>
          </w:tcPr>
          <w:p w14:paraId="01238890"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2</w:t>
            </w:r>
            <w:r>
              <w:rPr>
                <w:rFonts w:asciiTheme="majorBidi" w:hAnsiTheme="majorBidi" w:cstheme="majorBidi"/>
                <w:sz w:val="24"/>
                <w:szCs w:val="24"/>
              </w:rPr>
              <w:t>2.12</w:t>
            </w:r>
            <w:r w:rsidRPr="005F378B">
              <w:rPr>
                <w:rFonts w:asciiTheme="majorBidi" w:hAnsiTheme="majorBidi" w:cstheme="majorBidi"/>
                <w:sz w:val="24"/>
                <w:szCs w:val="24"/>
              </w:rPr>
              <w:t xml:space="preserve"> (</w:t>
            </w:r>
            <w:r>
              <w:rPr>
                <w:rFonts w:asciiTheme="majorBidi" w:hAnsiTheme="majorBidi" w:cstheme="majorBidi"/>
                <w:sz w:val="24"/>
                <w:szCs w:val="24"/>
              </w:rPr>
              <w:t>1.64</w:t>
            </w:r>
            <w:r w:rsidRPr="005F378B">
              <w:rPr>
                <w:rFonts w:asciiTheme="majorBidi" w:hAnsiTheme="majorBidi" w:cstheme="majorBidi"/>
                <w:sz w:val="24"/>
                <w:szCs w:val="24"/>
              </w:rPr>
              <w:t>)</w:t>
            </w:r>
          </w:p>
        </w:tc>
        <w:tc>
          <w:tcPr>
            <w:tcW w:w="1962" w:type="dxa"/>
          </w:tcPr>
          <w:p w14:paraId="4B3AB508" w14:textId="77777777" w:rsidR="00740BC9" w:rsidRPr="005F378B" w:rsidRDefault="00740BC9" w:rsidP="00780B8F">
            <w:pPr>
              <w:spacing w:line="480" w:lineRule="auto"/>
              <w:jc w:val="center"/>
              <w:rPr>
                <w:rFonts w:asciiTheme="majorBidi" w:hAnsiTheme="majorBidi" w:cstheme="majorBidi"/>
                <w:sz w:val="24"/>
                <w:szCs w:val="24"/>
              </w:rPr>
            </w:pPr>
            <w:r>
              <w:rPr>
                <w:rFonts w:asciiTheme="majorBidi" w:hAnsiTheme="majorBidi" w:cstheme="majorBidi"/>
                <w:sz w:val="24"/>
                <w:szCs w:val="24"/>
              </w:rPr>
              <w:t>87.5</w:t>
            </w:r>
          </w:p>
        </w:tc>
        <w:tc>
          <w:tcPr>
            <w:tcW w:w="1782" w:type="dxa"/>
          </w:tcPr>
          <w:p w14:paraId="263FE101"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100</w:t>
            </w:r>
          </w:p>
        </w:tc>
      </w:tr>
      <w:tr w:rsidR="00740BC9" w14:paraId="183A9785" w14:textId="77777777" w:rsidTr="00780B8F">
        <w:trPr>
          <w:jc w:val="center"/>
        </w:trPr>
        <w:tc>
          <w:tcPr>
            <w:tcW w:w="1983" w:type="dxa"/>
            <w:tcBorders>
              <w:bottom w:val="single" w:sz="4" w:space="0" w:color="auto"/>
            </w:tcBorders>
          </w:tcPr>
          <w:p w14:paraId="6BBC34F3" w14:textId="77777777" w:rsidR="00740BC9" w:rsidRPr="005F378B" w:rsidRDefault="00740BC9" w:rsidP="00780B8F">
            <w:pPr>
              <w:spacing w:line="480" w:lineRule="auto"/>
              <w:rPr>
                <w:rFonts w:asciiTheme="majorBidi" w:hAnsiTheme="majorBidi" w:cstheme="majorBidi"/>
                <w:sz w:val="24"/>
                <w:szCs w:val="24"/>
              </w:rPr>
            </w:pPr>
            <w:r w:rsidRPr="005F378B">
              <w:rPr>
                <w:rFonts w:asciiTheme="majorBidi" w:hAnsiTheme="majorBidi" w:cstheme="majorBidi"/>
                <w:sz w:val="24"/>
                <w:szCs w:val="24"/>
              </w:rPr>
              <w:t>Portugal</w:t>
            </w:r>
          </w:p>
        </w:tc>
        <w:tc>
          <w:tcPr>
            <w:tcW w:w="1782" w:type="dxa"/>
            <w:tcBorders>
              <w:bottom w:val="single" w:sz="4" w:space="0" w:color="auto"/>
            </w:tcBorders>
          </w:tcPr>
          <w:p w14:paraId="2E4845CA"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1</w:t>
            </w:r>
            <w:r>
              <w:rPr>
                <w:rFonts w:asciiTheme="majorBidi" w:hAnsiTheme="majorBidi" w:cstheme="majorBidi"/>
                <w:sz w:val="24"/>
                <w:szCs w:val="24"/>
              </w:rPr>
              <w:t>5</w:t>
            </w:r>
          </w:p>
        </w:tc>
        <w:tc>
          <w:tcPr>
            <w:tcW w:w="1887" w:type="dxa"/>
            <w:tcBorders>
              <w:bottom w:val="single" w:sz="4" w:space="0" w:color="auto"/>
            </w:tcBorders>
          </w:tcPr>
          <w:p w14:paraId="25AA256F" w14:textId="77777777" w:rsidR="00740BC9" w:rsidRPr="005F378B" w:rsidRDefault="00740BC9" w:rsidP="00780B8F">
            <w:pPr>
              <w:spacing w:line="480" w:lineRule="auto"/>
              <w:jc w:val="center"/>
              <w:rPr>
                <w:rFonts w:asciiTheme="majorBidi" w:hAnsiTheme="majorBidi" w:cstheme="majorBidi"/>
                <w:sz w:val="24"/>
                <w:szCs w:val="24"/>
              </w:rPr>
            </w:pPr>
            <w:r>
              <w:rPr>
                <w:rFonts w:asciiTheme="majorBidi" w:hAnsiTheme="majorBidi" w:cstheme="majorBidi"/>
                <w:sz w:val="24"/>
                <w:szCs w:val="24"/>
              </w:rPr>
              <w:t>32.47</w:t>
            </w:r>
            <w:r w:rsidRPr="005F378B">
              <w:rPr>
                <w:rFonts w:asciiTheme="majorBidi" w:hAnsiTheme="majorBidi" w:cstheme="majorBidi"/>
                <w:sz w:val="24"/>
                <w:szCs w:val="24"/>
              </w:rPr>
              <w:t xml:space="preserve"> (</w:t>
            </w:r>
            <w:r>
              <w:rPr>
                <w:rFonts w:asciiTheme="majorBidi" w:hAnsiTheme="majorBidi" w:cstheme="majorBidi"/>
                <w:sz w:val="24"/>
                <w:szCs w:val="24"/>
              </w:rPr>
              <w:t>9.50</w:t>
            </w:r>
            <w:r w:rsidRPr="005F378B">
              <w:rPr>
                <w:rFonts w:asciiTheme="majorBidi" w:hAnsiTheme="majorBidi" w:cstheme="majorBidi"/>
                <w:sz w:val="24"/>
                <w:szCs w:val="24"/>
              </w:rPr>
              <w:t>)</w:t>
            </w:r>
          </w:p>
        </w:tc>
        <w:tc>
          <w:tcPr>
            <w:tcW w:w="1962" w:type="dxa"/>
            <w:tcBorders>
              <w:bottom w:val="single" w:sz="4" w:space="0" w:color="auto"/>
            </w:tcBorders>
          </w:tcPr>
          <w:p w14:paraId="0B6ADF01" w14:textId="77777777" w:rsidR="00740BC9" w:rsidRPr="005F378B" w:rsidRDefault="00740BC9" w:rsidP="00780B8F">
            <w:pPr>
              <w:spacing w:line="480" w:lineRule="auto"/>
              <w:jc w:val="center"/>
              <w:rPr>
                <w:rFonts w:asciiTheme="majorBidi" w:hAnsiTheme="majorBidi" w:cstheme="majorBidi"/>
                <w:sz w:val="24"/>
                <w:szCs w:val="24"/>
              </w:rPr>
            </w:pPr>
            <w:r w:rsidRPr="005F378B">
              <w:rPr>
                <w:rFonts w:asciiTheme="majorBidi" w:hAnsiTheme="majorBidi" w:cstheme="majorBidi"/>
                <w:sz w:val="24"/>
                <w:szCs w:val="24"/>
              </w:rPr>
              <w:t>100</w:t>
            </w:r>
          </w:p>
        </w:tc>
        <w:tc>
          <w:tcPr>
            <w:tcW w:w="1782" w:type="dxa"/>
            <w:tcBorders>
              <w:bottom w:val="single" w:sz="4" w:space="0" w:color="auto"/>
            </w:tcBorders>
          </w:tcPr>
          <w:p w14:paraId="1DF9EE60" w14:textId="77777777" w:rsidR="00740BC9" w:rsidRPr="005F378B" w:rsidRDefault="00740BC9" w:rsidP="00780B8F">
            <w:pPr>
              <w:spacing w:line="480" w:lineRule="auto"/>
              <w:jc w:val="center"/>
              <w:rPr>
                <w:rFonts w:asciiTheme="majorBidi" w:hAnsiTheme="majorBidi" w:cstheme="majorBidi"/>
                <w:sz w:val="24"/>
                <w:szCs w:val="24"/>
              </w:rPr>
            </w:pPr>
            <w:r>
              <w:rPr>
                <w:rFonts w:asciiTheme="majorBidi" w:hAnsiTheme="majorBidi" w:cstheme="majorBidi"/>
                <w:sz w:val="24"/>
                <w:szCs w:val="24"/>
              </w:rPr>
              <w:t>6</w:t>
            </w:r>
            <w:r w:rsidRPr="005F378B">
              <w:rPr>
                <w:rFonts w:asciiTheme="majorBidi" w:hAnsiTheme="majorBidi" w:cstheme="majorBidi"/>
                <w:sz w:val="24"/>
                <w:szCs w:val="24"/>
              </w:rPr>
              <w:t>0.0</w:t>
            </w:r>
          </w:p>
        </w:tc>
      </w:tr>
    </w:tbl>
    <w:p w14:paraId="1AD3771A" w14:textId="38B8EDA4" w:rsidR="00740BC9" w:rsidRDefault="00740BC9" w:rsidP="00181657">
      <w:pPr>
        <w:spacing w:line="480" w:lineRule="auto"/>
        <w:rPr>
          <w:rFonts w:asciiTheme="majorBidi" w:hAnsiTheme="majorBidi" w:cstheme="majorBidi"/>
        </w:rPr>
      </w:pPr>
      <w:r w:rsidRPr="005F378B">
        <w:rPr>
          <w:rFonts w:asciiTheme="majorBidi" w:hAnsiTheme="majorBidi" w:cstheme="majorBidi"/>
          <w:i/>
          <w:iCs/>
        </w:rPr>
        <w:t>Note.</w:t>
      </w:r>
      <w:r w:rsidRPr="005F378B">
        <w:rPr>
          <w:rFonts w:asciiTheme="majorBidi" w:hAnsiTheme="majorBidi" w:cstheme="majorBidi"/>
          <w:b/>
          <w:bCs/>
        </w:rPr>
        <w:t xml:space="preserve"> </w:t>
      </w:r>
      <w:r w:rsidR="00181657" w:rsidRPr="004228C5">
        <w:rPr>
          <w:rFonts w:asciiTheme="majorBidi" w:hAnsiTheme="majorBidi" w:cstheme="majorBidi"/>
        </w:rPr>
        <w:t xml:space="preserve">Table by </w:t>
      </w:r>
      <w:r w:rsidR="004228C5" w:rsidRPr="004228C5">
        <w:rPr>
          <w:rFonts w:asciiTheme="majorBidi" w:hAnsiTheme="majorBidi" w:cstheme="majorBidi"/>
        </w:rPr>
        <w:t xml:space="preserve">the </w:t>
      </w:r>
      <w:r w:rsidR="00181657" w:rsidRPr="004228C5">
        <w:rPr>
          <w:rFonts w:asciiTheme="majorBidi" w:hAnsiTheme="majorBidi" w:cstheme="majorBidi"/>
        </w:rPr>
        <w:t>authors.</w:t>
      </w:r>
      <w:r w:rsidR="00181657">
        <w:rPr>
          <w:rFonts w:asciiTheme="majorBidi" w:hAnsiTheme="majorBidi" w:cstheme="majorBidi"/>
          <w:b/>
          <w:bCs/>
        </w:rPr>
        <w:t xml:space="preserve"> </w:t>
      </w:r>
      <w:r w:rsidRPr="005F378B">
        <w:rPr>
          <w:rFonts w:asciiTheme="majorBidi" w:hAnsiTheme="majorBidi" w:cstheme="majorBidi"/>
        </w:rPr>
        <w:t xml:space="preserve">None of the participants chose the option </w:t>
      </w:r>
      <w:r>
        <w:rPr>
          <w:rFonts w:asciiTheme="majorBidi" w:hAnsiTheme="majorBidi" w:cstheme="majorBidi"/>
        </w:rPr>
        <w:t xml:space="preserve">of </w:t>
      </w:r>
      <w:r w:rsidRPr="005F378B">
        <w:rPr>
          <w:rFonts w:asciiTheme="majorBidi" w:hAnsiTheme="majorBidi" w:cstheme="majorBidi"/>
        </w:rPr>
        <w:t>non-binary when asked for their gender. Two participants indicated being “other” than students regarding their status</w:t>
      </w:r>
    </w:p>
    <w:p w14:paraId="2D2DC68D" w14:textId="77777777" w:rsidR="00740BC9" w:rsidRDefault="00740BC9" w:rsidP="00740BC9">
      <w:pPr>
        <w:rPr>
          <w:rFonts w:asciiTheme="majorBidi" w:hAnsiTheme="majorBidi" w:cstheme="majorBidi"/>
          <w:b/>
          <w:bCs/>
        </w:rPr>
        <w:sectPr w:rsidR="00740BC9">
          <w:pgSz w:w="12240" w:h="15840"/>
          <w:pgMar w:top="1417" w:right="1417" w:bottom="1134" w:left="1417" w:header="708" w:footer="708" w:gutter="0"/>
          <w:cols w:space="708"/>
          <w:docGrid w:linePitch="360"/>
        </w:sectPr>
      </w:pPr>
    </w:p>
    <w:p w14:paraId="5026D4C1" w14:textId="39C626AB" w:rsidR="00740BC9" w:rsidRDefault="00740BC9" w:rsidP="00740BC9">
      <w:pPr>
        <w:spacing w:line="480" w:lineRule="auto"/>
        <w:rPr>
          <w:rFonts w:asciiTheme="majorBidi" w:hAnsiTheme="majorBidi" w:cstheme="majorBidi"/>
          <w:b/>
          <w:bCs/>
        </w:rPr>
      </w:pPr>
      <w:r>
        <w:rPr>
          <w:rFonts w:asciiTheme="majorBidi" w:hAnsiTheme="majorBidi" w:cstheme="majorBidi"/>
          <w:b/>
          <w:bCs/>
        </w:rPr>
        <w:lastRenderedPageBreak/>
        <w:t xml:space="preserve">Development of the Training and </w:t>
      </w:r>
      <w:r w:rsidRPr="00FC022B">
        <w:rPr>
          <w:rFonts w:asciiTheme="majorBidi" w:hAnsiTheme="majorBidi" w:cstheme="majorBidi"/>
          <w:b/>
          <w:bCs/>
        </w:rPr>
        <w:t>Procedure</w:t>
      </w:r>
      <w:r w:rsidR="005C1271">
        <w:rPr>
          <w:rFonts w:asciiTheme="majorBidi" w:hAnsiTheme="majorBidi" w:cstheme="majorBidi"/>
          <w:b/>
          <w:bCs/>
        </w:rPr>
        <w:t xml:space="preserve"> – Full Description</w:t>
      </w:r>
    </w:p>
    <w:p w14:paraId="7CBCDF87"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t xml:space="preserve">To develop the training, we relied on previous studies that developed career </w:t>
      </w:r>
      <w:r>
        <w:rPr>
          <w:rFonts w:asciiTheme="majorBidi" w:hAnsiTheme="majorBidi" w:cstheme="majorBidi"/>
        </w:rPr>
        <w:fldChar w:fldCharType="begin"/>
      </w:r>
      <w:r>
        <w:rPr>
          <w:rFonts w:asciiTheme="majorBidi" w:hAnsiTheme="majorBidi" w:cstheme="majorBidi"/>
        </w:rPr>
        <w:instrText xml:space="preserve"> ADDIN ZOTERO_ITEM CSL_CITATION {"citationID":"qJmogatn","properties":{"formattedCitation":"(Koen, Klehe and Van Vianen, 2012)","plainCitation":"(Koen, Klehe and Van Vianen, 2012)","noteIndex":0},"citationItems":[{"id":11143,"uris":["http://zotero.org/users/2738740/items/EE6UICJF"],"itemData":{"id":11143,"type":"article-journal","abstract":"The transition from school to work is one of the most critical steps in graduates' careers, as it can determine vocational outcomes and future career success. Yet, these newcomers to the labor market often take longer than regular job seekers to find a suitable job, are more likely to experience a job mismatch and to suffer from underemployment. In this study, we proposed that career adaptability might help remedy this problem. We therefore developed a training aimed at providing graduates with career adaptability resources, with the assumption that this may foster training-participants' later career adaptability and employment quality. A longitudinal field quasi-experiment compared the development of each career adaptability dimension between a training group (n=32) and a control group (n=24) over three points in time (pre-training measurement, post-training measurement and follow-up measurement six months later). Repeated measures analyses showed an overall increase in concern, control and curiosity within the training group, whereas there was no increase (concern) or even an overall decrease (control and curiosity) within the control group. Consequently, the training succeeded in enhancing participants' control and curiosity in the long run. Furthermore, among participants who had found employment half a year later, training participants reported higher employment quality than did members of the control group. In sum, results show that providing graduates with career adaptability resources can raise their chances on finding a qualitatively good job.","container-title":"Journal of Vocational Behavior","DOI":"10.1016/j.jvb.2012.10.003","ISSN":"0001-8791","issue":"3","journalAbbreviation":"Journal of Vocational Behavior","language":"en","page":"395-408","source":"ScienceDirect","title":"Training career adaptability to facilitate a successful school-to-work transition","volume":"81","author":[{"family":"Koen","given":"Jessie"},{"family":"Klehe","given":"Ute-Christine"},{"family":"Van Vianen","given":"Annelies E. M."}],"issued":{"date-parts":[["2012",12,1]]},"citation-key":"koen2012"}}],"schema":"https://github.com/citation-style-language/schema/raw/master/csl-citation.json"}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rPr>
        <w:t>(Koen, Klehe and Van Vianen, 2012)</w:t>
      </w:r>
      <w:r>
        <w:rPr>
          <w:rFonts w:asciiTheme="majorBidi" w:hAnsiTheme="majorBidi" w:cstheme="majorBidi"/>
        </w:rPr>
        <w:fldChar w:fldCharType="end"/>
      </w:r>
      <w:r w:rsidRPr="00C64928">
        <w:rPr>
          <w:rFonts w:asciiTheme="majorBidi" w:hAnsiTheme="majorBidi" w:cstheme="majorBidi"/>
        </w:rPr>
        <w:t xml:space="preserve">, effectuation </w:t>
      </w:r>
      <w:r>
        <w:rPr>
          <w:rFonts w:asciiTheme="majorBidi" w:hAnsiTheme="majorBidi" w:cstheme="majorBidi"/>
        </w:rPr>
        <w:fldChar w:fldCharType="begin"/>
      </w:r>
      <w:r>
        <w:rPr>
          <w:rFonts w:asciiTheme="majorBidi" w:hAnsiTheme="majorBidi" w:cstheme="majorBidi"/>
        </w:rPr>
        <w:instrText xml:space="preserve"> ADDIN ZOTERO_ITEM CSL_CITATION {"citationID":"c5Gtc5yH","properties":{"formattedCitation":"(Zhu {\\i{}et al.}, 2021)","plainCitation":"(Zhu et al., 2021)","noteIndex":0},"citationItems":[{"id":16559,"uris":["http://zotero.org/users/2738740/items/862K67FM"],"itemData":{"id":16559,"type":"article-journal","abstract":"Identifying and pursuing opportunities for new business are crucial capabilities of successful entrepreneurs; as such, opportunity identification and pursuit have emerged as important areas of entrepreneurship education. Although prior research has suggested that individuals can improve their ability to identify opportunities through creativity training, we propose that a means-oriented approach of effectuation can be a viable alternative pedagogical approach to identifying and pursuing opportunities. In contrast to the creativity approach, which encourages brainstorming or distal association, the means-oriented approach of effectuation guides individuals to use their available means as the starting point of the process of opportunity identification and pursuit. We conduct a randomized controlled field experiment to investigate the effectiveness of effectuation training focusing on a means-oriented approach and compare it with a brainstorming type of creativity training. The results from a sample of 43 small-scale business owners from Uganda provide support for our hypothesis. Whereas both the effectuation training and creativity training were effective, effectuation training revealed greater increases in both the number of business opportunities identified and the number of business opportunities pursued. The results suggest that the means-oriented approach of effectuation provides a viable tool with which to improve the identification and pursuit of business opportunities.","container-title":"Academy of Management Learning &amp; Education","DOI":"10.5465/amle.2017.0092","ISSN":"1537260X","issue":"4","note":"publisher: Academy of Management","page":"562-577","source":"EBSCOhost","title":"The effectiveness of the effectuation approach on opportunity identification and pursuit: evidence from a randomized controlled field experiment","title-short":"The effectiveness of the effectuation approach on opportunity identification and pursuit","volume":"20","author":[{"family":"Zhu","given":"Jinlong"},{"family":"Bischoff","given":"Kim Marie"},{"family":"Frese","given":"Michael"},{"family":"Gielnik","given":"Michael M."},{"family":"Handrich","given":"Eleni"},{"family":"Bellstedt","given":"Damaris"}],"issued":{"date-parts":[["2021",12]]},"citation-key":"zhu2021a"}}],"schema":"https://github.com/citation-style-language/schema/raw/master/csl-citation.json"}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kern w:val="0"/>
        </w:rPr>
        <w:t xml:space="preserve">(Zhu </w:t>
      </w:r>
      <w:r w:rsidRPr="004122FA">
        <w:rPr>
          <w:rFonts w:ascii="Times New Roman" w:hAnsi="Times New Roman" w:cs="Times New Roman"/>
          <w:i/>
          <w:iCs/>
          <w:kern w:val="0"/>
        </w:rPr>
        <w:t>et al.</w:t>
      </w:r>
      <w:r w:rsidRPr="004122FA">
        <w:rPr>
          <w:rFonts w:ascii="Times New Roman" w:hAnsi="Times New Roman" w:cs="Times New Roman"/>
          <w:kern w:val="0"/>
        </w:rPr>
        <w:t>, 2021)</w:t>
      </w:r>
      <w:r>
        <w:rPr>
          <w:rFonts w:asciiTheme="majorBidi" w:hAnsiTheme="majorBidi" w:cstheme="majorBidi"/>
        </w:rPr>
        <w:fldChar w:fldCharType="end"/>
      </w:r>
      <w:r w:rsidRPr="00B07215">
        <w:rPr>
          <w:rFonts w:asciiTheme="majorBidi" w:hAnsiTheme="majorBidi" w:cstheme="majorBidi"/>
        </w:rPr>
        <w:t xml:space="preserve">, </w:t>
      </w:r>
      <w:r>
        <w:rPr>
          <w:rFonts w:asciiTheme="majorBidi" w:hAnsiTheme="majorBidi" w:cstheme="majorBidi"/>
        </w:rPr>
        <w:t>and</w:t>
      </w:r>
      <w:r w:rsidRPr="00B07215">
        <w:rPr>
          <w:rFonts w:asciiTheme="majorBidi" w:hAnsiTheme="majorBidi" w:cstheme="majorBidi"/>
        </w:rPr>
        <w:t xml:space="preserve"> creativity training </w:t>
      </w:r>
      <w:r>
        <w:rPr>
          <w:rFonts w:asciiTheme="majorBidi" w:hAnsiTheme="majorBidi" w:cstheme="majorBidi"/>
          <w:lang w:val="fr-FR"/>
        </w:rPr>
        <w:fldChar w:fldCharType="begin"/>
      </w:r>
      <w:r>
        <w:rPr>
          <w:rFonts w:asciiTheme="majorBidi" w:hAnsiTheme="majorBidi" w:cstheme="majorBidi"/>
        </w:rPr>
        <w:instrText xml:space="preserve"> ADDIN ZOTERO_ITEM CSL_CITATION {"citationID":"NsMgmBZx","properties":{"formattedCitation":"(Zhu {\\i{}et al.}, 2021)","plainCitation":"(Zhu et al., 2021)","noteIndex":0},"citationItems":[{"id":16559,"uris":["http://zotero.org/users/2738740/items/862K67FM"],"itemData":{"id":16559,"type":"article-journal","abstract":"Identifying and pursuing opportunities for new business are crucial capabilities of successful entrepreneurs; as such, opportunity identification and pursuit have emerged as important areas of entrepreneurship education. Although prior research has suggested that individuals can improve their ability to identify opportunities through creativity training, we propose that a means-oriented approach of effectuation can be a viable alternative pedagogical approach to identifying and pursuing opportunities. In contrast to the creativity approach, which encourages brainstorming or distal association, the means-oriented approach of effectuation guides individuals to use their available means as the starting point of the process of opportunity identification and pursuit. We conduct a randomized controlled field experiment to investigate the effectiveness of effectuation training focusing on a means-oriented approach and compare it with a brainstorming type of creativity training. The results from a sample of 43 small-scale business owners from Uganda provide support for our hypothesis. Whereas both the effectuation training and creativity training were effective, effectuation training revealed greater increases in both the number of business opportunities identified and the number of business opportunities pursued. The results suggest that the means-oriented approach of effectuation provides a viable tool with which to improve the identification and pursuit of business opportunities.","container-title":"Academy of Management Learning &amp; Education","DOI":"10.5465/amle.2017.0092","ISSN":"1537260X","issue":"4","note":"publisher: Academy of Management","page":"562-577","source":"EBSCOhost","title":"The effectiveness of the effectuation approach on opportunity identification and pursuit: evidence from a randomized controlled field experiment","title-short":"The effectiveness of the effectuation approach on opportunity identification and pursuit","volume":"20","author":[{"family":"Zhu","given":"Jinlong"},{"family":"Bischoff","given":"Kim Marie"},{"family":"Frese","given":"Michael"},{"family":"Gielnik","given":"Michael M."},{"family":"Handrich","given":"Eleni"},{"family":"Bellstedt","given":"Damaris"}],"issued":{"date-parts":[["2021",12]]},"citation-key":"zhu2021a"}}],"schema":"https://github.com/citation-style-language/schema/raw/master/csl-citation.json"} </w:instrText>
      </w:r>
      <w:r>
        <w:rPr>
          <w:rFonts w:asciiTheme="majorBidi" w:hAnsiTheme="majorBidi" w:cstheme="majorBidi"/>
          <w:lang w:val="fr-FR"/>
        </w:rPr>
        <w:fldChar w:fldCharType="separate"/>
      </w:r>
      <w:r w:rsidRPr="004122FA">
        <w:rPr>
          <w:rFonts w:ascii="Times New Roman" w:hAnsi="Times New Roman" w:cs="Times New Roman"/>
          <w:kern w:val="0"/>
        </w:rPr>
        <w:t xml:space="preserve">(Zhu </w:t>
      </w:r>
      <w:r w:rsidRPr="004122FA">
        <w:rPr>
          <w:rFonts w:ascii="Times New Roman" w:hAnsi="Times New Roman" w:cs="Times New Roman"/>
          <w:i/>
          <w:iCs/>
          <w:kern w:val="0"/>
        </w:rPr>
        <w:t>et al.</w:t>
      </w:r>
      <w:r w:rsidRPr="004122FA">
        <w:rPr>
          <w:rFonts w:ascii="Times New Roman" w:hAnsi="Times New Roman" w:cs="Times New Roman"/>
          <w:kern w:val="0"/>
        </w:rPr>
        <w:t>, 2021)</w:t>
      </w:r>
      <w:r>
        <w:rPr>
          <w:rFonts w:asciiTheme="majorBidi" w:hAnsiTheme="majorBidi" w:cstheme="majorBidi"/>
          <w:lang w:val="fr-FR"/>
        </w:rPr>
        <w:fldChar w:fldCharType="end"/>
      </w:r>
      <w:r w:rsidRPr="00B07215">
        <w:rPr>
          <w:rFonts w:asciiTheme="majorBidi" w:hAnsiTheme="majorBidi" w:cstheme="majorBidi"/>
        </w:rPr>
        <w:t xml:space="preserve"> as well as existing design thinking approaches </w:t>
      </w:r>
      <w:r>
        <w:rPr>
          <w:rFonts w:asciiTheme="majorBidi" w:hAnsiTheme="majorBidi" w:cstheme="majorBidi"/>
          <w:lang w:val="fr-FR"/>
        </w:rPr>
        <w:fldChar w:fldCharType="begin"/>
      </w:r>
      <w:r>
        <w:rPr>
          <w:rFonts w:asciiTheme="majorBidi" w:hAnsiTheme="majorBidi" w:cstheme="majorBidi"/>
        </w:rPr>
        <w:instrText xml:space="preserve"> ADDIN ZOTERO_ITEM CSL_CITATION {"citationID":"D0hhcmXg","properties":{"formattedCitation":"(Rauth {\\i{}et al.}, 2010)","plainCitation":"(Rauth et al., 2010)","noteIndex":0},"citationItems":[{"id":17458,"uris":["http://zotero.org/users/2738740/items/32IZQSFJ"],"itemData":{"id":17458,"type":"paper-conference","container-title":"DS 66-2: Proceedings of the 1st international conference on design creativity (ICDC 2010)","source":"Google Scholar","title":"Design thinking: An educational model towards creative confidence","title-short":"Design thinking","author":[{"family":"Rauth","given":"Ingo"},{"family":"Köppen","given":"Eva"},{"family":"Jobst","given":"Birgit"},{"family":"Meinel","given":"Christoph"}],"issued":{"date-parts":[["2010"]]},"citation-key":"rauth2010"}}],"schema":"https://github.com/citation-style-language/schema/raw/master/csl-citation.json"} </w:instrText>
      </w:r>
      <w:r>
        <w:rPr>
          <w:rFonts w:asciiTheme="majorBidi" w:hAnsiTheme="majorBidi" w:cstheme="majorBidi"/>
          <w:lang w:val="fr-FR"/>
        </w:rPr>
        <w:fldChar w:fldCharType="separate"/>
      </w:r>
      <w:r w:rsidRPr="004122FA">
        <w:rPr>
          <w:rFonts w:ascii="Times New Roman" w:hAnsi="Times New Roman" w:cs="Times New Roman"/>
          <w:kern w:val="0"/>
        </w:rPr>
        <w:t xml:space="preserve">(Rauth </w:t>
      </w:r>
      <w:r w:rsidRPr="004122FA">
        <w:rPr>
          <w:rFonts w:ascii="Times New Roman" w:hAnsi="Times New Roman" w:cs="Times New Roman"/>
          <w:i/>
          <w:iCs/>
          <w:kern w:val="0"/>
        </w:rPr>
        <w:t>et al.</w:t>
      </w:r>
      <w:r w:rsidRPr="004122FA">
        <w:rPr>
          <w:rFonts w:ascii="Times New Roman" w:hAnsi="Times New Roman" w:cs="Times New Roman"/>
          <w:kern w:val="0"/>
        </w:rPr>
        <w:t>, 2010)</w:t>
      </w:r>
      <w:r>
        <w:rPr>
          <w:rFonts w:asciiTheme="majorBidi" w:hAnsiTheme="majorBidi" w:cstheme="majorBidi"/>
          <w:lang w:val="fr-FR"/>
        </w:rPr>
        <w:fldChar w:fldCharType="end"/>
      </w:r>
      <w:r w:rsidRPr="00B07215">
        <w:rPr>
          <w:rFonts w:asciiTheme="majorBidi" w:hAnsiTheme="majorBidi" w:cstheme="majorBidi"/>
        </w:rPr>
        <w:t xml:space="preserve">. </w:t>
      </w:r>
      <w:r>
        <w:rPr>
          <w:rFonts w:asciiTheme="majorBidi" w:hAnsiTheme="majorBidi" w:cstheme="majorBidi"/>
        </w:rPr>
        <w:t xml:space="preserve">Furthermore, we followed advice from Savickas (2005, 2013) on how to develop concise and scalable interventions. We aimed to have a split focus with effectuation on the first day to ensure that participants know themselves and their skills, abilities, and networks and with design thinking on the second day, allowing participants to use their obtained knowledge from Day 1 and apply it in a creative way to existing challenges. Before the start of Day 1, participants had to fill in the first questionnaire online to qualify for participation (T1). This questionnaire included items on knowledge entrepreneurship (which are not part of this study), career curiosity, general self-efficacy, career competencies, </w:t>
      </w:r>
      <w:proofErr w:type="spellStart"/>
      <w:r>
        <w:rPr>
          <w:rFonts w:asciiTheme="majorBidi" w:hAnsiTheme="majorBidi" w:cstheme="majorBidi"/>
        </w:rPr>
        <w:t>marshaling</w:t>
      </w:r>
      <w:proofErr w:type="spellEnd"/>
      <w:r>
        <w:rPr>
          <w:rFonts w:asciiTheme="majorBidi" w:hAnsiTheme="majorBidi" w:cstheme="majorBidi"/>
        </w:rPr>
        <w:t xml:space="preserve"> items, and </w:t>
      </w:r>
      <w:proofErr w:type="spellStart"/>
      <w:r>
        <w:rPr>
          <w:rFonts w:asciiTheme="majorBidi" w:hAnsiTheme="majorBidi" w:cstheme="majorBidi"/>
        </w:rPr>
        <w:t>behavioral</w:t>
      </w:r>
      <w:proofErr w:type="spellEnd"/>
      <w:r>
        <w:rPr>
          <w:rFonts w:asciiTheme="majorBidi" w:hAnsiTheme="majorBidi" w:cstheme="majorBidi"/>
        </w:rPr>
        <w:t xml:space="preserve"> intentions regarding current challenges. For both days, the trainers followed a detailed step-by-step manual to allow maximal training integrity. </w:t>
      </w:r>
    </w:p>
    <w:p w14:paraId="74D84210" w14:textId="77777777" w:rsidR="00740BC9" w:rsidRDefault="00740BC9" w:rsidP="00740BC9">
      <w:pPr>
        <w:spacing w:line="480" w:lineRule="auto"/>
        <w:ind w:firstLine="720"/>
        <w:rPr>
          <w:rFonts w:asciiTheme="majorBidi" w:hAnsiTheme="majorBidi" w:cstheme="majorBidi"/>
        </w:rPr>
      </w:pPr>
      <w:r w:rsidRPr="009A6B1B">
        <w:rPr>
          <w:rFonts w:asciiTheme="majorBidi" w:hAnsiTheme="majorBidi" w:cstheme="majorBidi"/>
          <w:b/>
          <w:bCs/>
        </w:rPr>
        <w:t>Day 1</w:t>
      </w:r>
      <w:r>
        <w:rPr>
          <w:rFonts w:asciiTheme="majorBidi" w:hAnsiTheme="majorBidi" w:cstheme="majorBidi"/>
        </w:rPr>
        <w:t xml:space="preserve"> started with a short introduction of trainers and participants, which was followed by asking participants to brainstorm what knowledge entrepreneurship means to them and what they expected from participating in the training. We decided to start by asking about participants' expectations as communicating the relevance of the training as early as possible was found to be important to increase the perceived usefulness of the training and in turn training effectiveness (see also </w:t>
      </w:r>
      <w:r>
        <w:rPr>
          <w:rFonts w:asciiTheme="majorBidi" w:hAnsiTheme="majorBidi" w:cstheme="majorBidi"/>
        </w:rPr>
        <w:fldChar w:fldCharType="begin"/>
      </w:r>
      <w:r>
        <w:rPr>
          <w:rFonts w:asciiTheme="majorBidi" w:hAnsiTheme="majorBidi" w:cstheme="majorBidi"/>
        </w:rPr>
        <w:instrText xml:space="preserve"> ADDIN ZOTERO_ITEM CSL_CITATION {"citationID":"crZVXY33","properties":{"custom":"Koen et al., 2012)","formattedCitation":"Koen et al., 2012)","plainCitation":"Koen et al., 2012)","noteIndex":0},"citationItems":[{"id":11143,"uris":["http://zotero.org/users/2738740/items/EE6UICJF"],"itemData":{"id":11143,"type":"article-journal","abstract":"The transition from school to work is one of the most critical steps in graduates' careers, as it can determine vocational outcomes and future career success. Yet, these newcomers to the labor market often take longer than regular job seekers to find a suitable job, are more likely to experience a job mismatch and to suffer from underemployment. In this study, we proposed that career adaptability might help remedy this problem. We therefore developed a training aimed at providing graduates with career adaptability resources, with the assumption that this may foster training-participants' later career adaptability and employment quality. A longitudinal field quasi-experiment compared the development of each career adaptability dimension between a training group (n=32) and a control group (n=24) over three points in time (pre-training measurement, post-training measurement and follow-up measurement six months later). Repeated measures analyses showed an overall increase in concern, control and curiosity within the training group, whereas there was no increase (concern) or even an overall decrease (control and curiosity) within the control group. Consequently, the training succeeded in enhancing participants' control and curiosity in the long run. Furthermore, among participants who had found employment half a year later, training participants reported higher employment quality than did members of the control group. In sum, results show that providing graduates with career adaptability resources can raise their chances on finding a qualitatively good job.","container-title":"Journal of Vocational Behavior","DOI":"10.1016/j.jvb.2012.10.003","ISSN":"0001-8791","issue":"3","journalAbbreviation":"Journal of Vocational Behavior","language":"en","page":"395-408","source":"ScienceDirect","title":"Training career adaptability to facilitate a successful school-to-work transition","volume":"81","author":[{"family":"Koen","given":"Jessie"},{"family":"Klehe","given":"Ute-Christine"},{"family":"Van Vianen","given":"Annelies E. M."}],"issued":{"date-parts":[["2012",12,1]]},"citation-key":"koen2012"}}],"schema":"https://github.com/citation-style-language/schema/raw/master/csl-citation.json"} </w:instrText>
      </w:r>
      <w:r>
        <w:rPr>
          <w:rFonts w:asciiTheme="majorBidi" w:hAnsiTheme="majorBidi" w:cstheme="majorBidi"/>
        </w:rPr>
        <w:fldChar w:fldCharType="separate"/>
      </w:r>
      <w:r w:rsidRPr="006B48C5">
        <w:rPr>
          <w:rFonts w:ascii="Times New Roman" w:hAnsi="Times New Roman" w:cs="Times New Roman"/>
        </w:rPr>
        <w:t>Koen et al., 2012)</w:t>
      </w:r>
      <w:r>
        <w:rPr>
          <w:rFonts w:asciiTheme="majorBidi" w:hAnsiTheme="majorBidi" w:cstheme="majorBidi"/>
        </w:rPr>
        <w:fldChar w:fldCharType="end"/>
      </w:r>
      <w:r>
        <w:rPr>
          <w:rFonts w:asciiTheme="majorBidi" w:hAnsiTheme="majorBidi" w:cstheme="majorBidi"/>
        </w:rPr>
        <w:t xml:space="preserve">. Then, the definition of knowledge entrepreneurship that was described above was introduced. Special emphasis was placed on the aspects of using competencies and knowledge, supporting society, and aiming at overcoming digital, ecological, and social challenges. </w:t>
      </w:r>
    </w:p>
    <w:p w14:paraId="276B621D"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lastRenderedPageBreak/>
        <w:t xml:space="preserve">After this, participants were introduced to the effectuation principles from </w:t>
      </w:r>
      <w:proofErr w:type="spellStart"/>
      <w:r>
        <w:rPr>
          <w:rFonts w:asciiTheme="majorBidi" w:hAnsiTheme="majorBidi" w:cstheme="majorBidi"/>
        </w:rPr>
        <w:t>Sarasvathy</w:t>
      </w:r>
      <w:proofErr w:type="spellEnd"/>
      <w:r>
        <w:rPr>
          <w:rFonts w:asciiTheme="majorBidi" w:hAnsiTheme="majorBidi" w:cstheme="majorBidi"/>
        </w:rPr>
        <w:t xml:space="preserve"> (2001) and the difference to causation. The trainers especially focused on differentiating between means-driven and goals-driven </w:t>
      </w:r>
      <w:proofErr w:type="spellStart"/>
      <w:r>
        <w:rPr>
          <w:rFonts w:asciiTheme="majorBidi" w:hAnsiTheme="majorBidi" w:cstheme="majorBidi"/>
        </w:rPr>
        <w:t>behavior</w:t>
      </w:r>
      <w:proofErr w:type="spellEnd"/>
      <w:r>
        <w:rPr>
          <w:rFonts w:asciiTheme="majorBidi" w:hAnsiTheme="majorBidi" w:cstheme="majorBidi"/>
        </w:rPr>
        <w:t>. In an exercise, participants then had to think about what the next steps in their careers are and what they should do according to the effectuation principle.</w:t>
      </w:r>
      <w:r w:rsidRPr="009A6B1B">
        <w:rPr>
          <w:rFonts w:asciiTheme="majorBidi" w:hAnsiTheme="majorBidi" w:cstheme="majorBidi"/>
        </w:rPr>
        <w:t xml:space="preserve"> </w:t>
      </w:r>
      <w:r>
        <w:rPr>
          <w:rFonts w:asciiTheme="majorBidi" w:hAnsiTheme="majorBidi" w:cstheme="majorBidi"/>
        </w:rPr>
        <w:t>This was followed by a more detailed introduction of the "start with your means" effectuation principle in which participants learned about the essential questions of who they are, what they know, and who they know (</w:t>
      </w:r>
      <w:proofErr w:type="spellStart"/>
      <w:r>
        <w:rPr>
          <w:rFonts w:asciiTheme="majorBidi" w:hAnsiTheme="majorBidi" w:cstheme="majorBidi"/>
        </w:rPr>
        <w:t>Sarasvathy</w:t>
      </w:r>
      <w:proofErr w:type="spellEnd"/>
      <w:r>
        <w:rPr>
          <w:rFonts w:asciiTheme="majorBidi" w:hAnsiTheme="majorBidi" w:cstheme="majorBidi"/>
        </w:rPr>
        <w:t xml:space="preserve">, 2001). This effectuation principle was then linked to discovering participants' knowledge, skills, abilities, and other characteristics (KSAOs). Participants were given a handout to write down their KSAOs. </w:t>
      </w:r>
      <w:r w:rsidRPr="00F70308">
        <w:rPr>
          <w:rFonts w:asciiTheme="majorBidi" w:hAnsiTheme="majorBidi" w:cstheme="majorBidi"/>
        </w:rPr>
        <w:t xml:space="preserve">We decided to also use the KSAOs, combining them with the effectuation principle of "start with your means" to allow participants to reflect on their means. </w:t>
      </w:r>
      <w:r>
        <w:rPr>
          <w:rFonts w:asciiTheme="majorBidi" w:hAnsiTheme="majorBidi" w:cstheme="majorBidi"/>
        </w:rPr>
        <w:t xml:space="preserve">Afterward, participants were asked to think about past failures or successes, write them down (milestones), and interview each other about these specific situations. Thereby, participants discovered further KSAOs which they added to their handout and received feedback from an observer perspective. </w:t>
      </w:r>
    </w:p>
    <w:p w14:paraId="5D9FC794"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t xml:space="preserve">Next, participants had to fill in an online personality test assessing the Big 5 personality traits </w:t>
      </w:r>
      <w:r>
        <w:rPr>
          <w:rFonts w:asciiTheme="majorBidi" w:hAnsiTheme="majorBidi" w:cstheme="majorBidi"/>
        </w:rPr>
        <w:fldChar w:fldCharType="begin"/>
      </w:r>
      <w:r>
        <w:rPr>
          <w:rFonts w:asciiTheme="majorBidi" w:hAnsiTheme="majorBidi" w:cstheme="majorBidi"/>
        </w:rPr>
        <w:instrText xml:space="preserve"> ADDIN ZOTERO_ITEM CSL_CITATION {"citationID":"6oiG2zUc","properties":{"formattedCitation":"(Rammstedt {\\i{}et al.}, 2017)","plainCitation":"(Rammstedt et al., 2017)","noteIndex":0},"citationItems":[{"id":319,"uris":["http://zotero.org/users/2738740/items/P7DA4DLN"],"itemData":{"id":319,"type":"article-journal","abstract":"In course of the further establishment of the Five-Factor Model as the predominant model for describing personality there is an increasing demand for assessing the Big Five dimensions of personality in contexts outside the core field of psychology. As in such contexts assessment time is severely limited, established Big Five instruments are generally too lengthy. Especially for such contexts we developed the ultra-short BFI-10 assessing the five dimensions with a total of ten items, respectively an average duration of approximately one minute. The present study validated the BFI-10 based on a large and population representative sample. Results indicate sufficient psychometric properties for the BFI-10 scales and items. In addition, the findings corroborate the construct and criterion validity of the instrument.","container-title":"methods","DOI":"10.12758/mda.2013.013","language":"de","license":"This work is licensed under a Creative Commons Attribution 4.0 International License.","page":"233-249","source":"DOI.org (Datacite)","title":"A short scale for assessing the Big Five dimensions of personality: 10 item Big Five Inventory (BFI-10)","title-short":"A Short Scale for Assessing the Big Five Dimensions of Personality","volume":"data","author":[{"family":"Rammstedt","given":"Beatrice"},{"family":"Kemper","given":"Christoph J."},{"family":"Klein","given":"Mira Céline"},{"family":"Beierlein","given":"Constanze"},{"family":"Kovaleva","given":"Anastassiya"}],"issued":{"date-parts":[["2017"]]},"citation-key":"rammstedt2017"}}],"schema":"https://github.com/citation-style-language/schema/raw/master/csl-citation.json"}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kern w:val="0"/>
        </w:rPr>
        <w:t xml:space="preserve">(Rammstedt </w:t>
      </w:r>
      <w:r w:rsidRPr="004122FA">
        <w:rPr>
          <w:rFonts w:ascii="Times New Roman" w:hAnsi="Times New Roman" w:cs="Times New Roman"/>
          <w:i/>
          <w:iCs/>
          <w:kern w:val="0"/>
        </w:rPr>
        <w:t>et al.</w:t>
      </w:r>
      <w:r w:rsidRPr="004122FA">
        <w:rPr>
          <w:rFonts w:ascii="Times New Roman" w:hAnsi="Times New Roman" w:cs="Times New Roman"/>
          <w:kern w:val="0"/>
        </w:rPr>
        <w:t>, 2017)</w:t>
      </w:r>
      <w:r>
        <w:rPr>
          <w:rFonts w:asciiTheme="majorBidi" w:hAnsiTheme="majorBidi" w:cstheme="majorBidi"/>
        </w:rPr>
        <w:fldChar w:fldCharType="end"/>
      </w:r>
      <w:r>
        <w:rPr>
          <w:rFonts w:asciiTheme="majorBidi" w:hAnsiTheme="majorBidi" w:cstheme="majorBidi"/>
        </w:rPr>
        <w:t xml:space="preserve">. The tests were directly evaluated, and the trainers explained the personality traits to the participants. This was followed by a focus on interests as another "other characteristics" of the KSAOs. After a short explanation of what interests are, participants were asked to draw a rough mind map of whatever comes to their mind that catches their interest. In a second step, participants then had to sort these into overarching themes and evaluate whether there were recurring themes. Thus, in this training block, participants learned about their means considered to be KSAOs and reflected on past situations in which they learned something from their own mistakes. </w:t>
      </w:r>
    </w:p>
    <w:p w14:paraId="55B858D3"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lastRenderedPageBreak/>
        <w:t xml:space="preserve">The KSAOs were followed by focusing on the third question of the "start with your means" principle: Who do I know? For this, participants learned about what networking is, and how it can be done, and had to reflect on their network using another handout. After filling in the handout, participants had to interview each other about their network, asking questions such as who these people are, what their goal concerning future contacts is, and what could be done. This helped participants to know their environment </w:t>
      </w:r>
      <w:r w:rsidRPr="002A009B">
        <w:rPr>
          <w:rFonts w:asciiTheme="majorBidi" w:hAnsiTheme="majorBidi" w:cstheme="majorBidi"/>
        </w:rPr>
        <w:fldChar w:fldCharType="begin"/>
      </w:r>
      <w:r>
        <w:rPr>
          <w:rFonts w:asciiTheme="majorBidi" w:hAnsiTheme="majorBidi" w:cstheme="majorBidi"/>
        </w:rPr>
        <w:instrText xml:space="preserve"> ADDIN ZOTERO_ITEM CSL_CITATION {"citationID":"a2bccp26kue","properties":{"formattedCitation":"(Koen, Klehe and Van Vianen, 2012)","plainCitation":"(Koen, Klehe and Van Vianen, 2012)","noteIndex":0},"citationItems":[{"id":11143,"uris":["http://zotero.org/users/2738740/items/EE6UICJF"],"itemData":{"id":11143,"type":"article-journal","abstract":"The transition from school to work is one of the most critical steps in graduates' careers, as it can determine vocational outcomes and future career success. Yet, these newcomers to the labor market often take longer than regular job seekers to find a suitable job, are more likely to experience a job mismatch and to suffer from underemployment. In this study, we proposed that career adaptability might help remedy this problem. We therefore developed a training aimed at providing graduates with career adaptability resources, with the assumption that this may foster training-participants' later career adaptability and employment quality. A longitudinal field quasi-experiment compared the development of each career adaptability dimension between a training group (n=32) and a control group (n=24) over three points in time (pre-training measurement, post-training measurement and follow-up measurement six months later). Repeated measures analyses showed an overall increase in concern, control and curiosity within the training group, whereas there was no increase (concern) or even an overall decrease (control and curiosity) within the control group. Consequently, the training succeeded in enhancing participants' control and curiosity in the long run. Furthermore, among participants who had found employment half a year later, training participants reported higher employment quality than did members of the control group. In sum, results show that providing graduates with career adaptability resources can raise their chances on finding a qualitatively good job.","container-title":"Journal of Vocational Behavior","DOI":"10.1016/j.jvb.2012.10.003","ISSN":"0001-8791","issue":"3","journalAbbreviation":"Journal of Vocational Behavior","language":"en","page":"395-408","source":"ScienceDirect","title":"Training career adaptability to facilitate a successful school-to-work transition","volume":"81","author":[{"family":"Koen","given":"Jessie"},{"family":"Klehe","given":"Ute-Christine"},{"family":"Van Vianen","given":"Annelies E. M."}],"issued":{"date-parts":[["2012",12,1]]},"citation-key":"koen2012"}}],"schema":"https://github.com/citation-style-language/schema/raw/master/csl-citation.json"} </w:instrText>
      </w:r>
      <w:r w:rsidRPr="002A009B">
        <w:rPr>
          <w:rFonts w:asciiTheme="majorBidi" w:hAnsiTheme="majorBidi" w:cstheme="majorBidi"/>
        </w:rPr>
        <w:fldChar w:fldCharType="separate"/>
      </w:r>
      <w:r w:rsidRPr="004122FA">
        <w:rPr>
          <w:rFonts w:ascii="Times New Roman" w:hAnsi="Times New Roman" w:cs="Times New Roman"/>
        </w:rPr>
        <w:t>(Koen, Klehe and Van Vianen, 2012)</w:t>
      </w:r>
      <w:r w:rsidRPr="002A009B">
        <w:rPr>
          <w:rFonts w:asciiTheme="majorBidi" w:hAnsiTheme="majorBidi" w:cstheme="majorBidi"/>
        </w:rPr>
        <w:fldChar w:fldCharType="end"/>
      </w:r>
      <w:r>
        <w:rPr>
          <w:rFonts w:asciiTheme="majorBidi" w:hAnsiTheme="majorBidi" w:cstheme="majorBidi"/>
        </w:rPr>
        <w:t xml:space="preserve">. Day 1 was then wrapped up and shortly summarized by the trainers. In a final step, the participants were asked to think about a social, ecological, or digital challenge for the next day that they would like to address and prepare a short presentation for this challenge. </w:t>
      </w:r>
    </w:p>
    <w:p w14:paraId="1C346B40"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t xml:space="preserve">For </w:t>
      </w:r>
      <w:r w:rsidRPr="006C236B">
        <w:rPr>
          <w:rFonts w:asciiTheme="majorBidi" w:hAnsiTheme="majorBidi" w:cstheme="majorBidi"/>
          <w:b/>
          <w:bCs/>
        </w:rPr>
        <w:t>Day 2</w:t>
      </w:r>
      <w:r w:rsidRPr="006C236B">
        <w:rPr>
          <w:rFonts w:asciiTheme="majorBidi" w:hAnsiTheme="majorBidi" w:cstheme="majorBidi"/>
        </w:rPr>
        <w:t>,</w:t>
      </w:r>
      <w:r>
        <w:rPr>
          <w:rFonts w:asciiTheme="majorBidi" w:hAnsiTheme="majorBidi" w:cstheme="majorBidi"/>
        </w:rPr>
        <w:t xml:space="preserve"> we have drawn on principles of creativity training. The implemented creativity exercises’ goals were generating and evaluating ideas – as in Zhu et al.’s (2021) creativity training. We outlined the second day according to the design thinking approach so that participants went through all steps of this process within one day. This should help students to learn how to </w:t>
      </w:r>
      <w:proofErr w:type="gramStart"/>
      <w:r>
        <w:rPr>
          <w:rFonts w:asciiTheme="majorBidi" w:hAnsiTheme="majorBidi" w:cstheme="majorBidi"/>
        </w:rPr>
        <w:t>take action</w:t>
      </w:r>
      <w:proofErr w:type="gramEnd"/>
      <w:r>
        <w:rPr>
          <w:rFonts w:asciiTheme="majorBidi" w:hAnsiTheme="majorBidi" w:cstheme="majorBidi"/>
        </w:rPr>
        <w:t xml:space="preserve"> and make choices, again following recommendations from Savickas (2005, 2013). </w:t>
      </w:r>
      <w:r w:rsidRPr="006C236B">
        <w:rPr>
          <w:rFonts w:asciiTheme="majorBidi" w:hAnsiTheme="majorBidi" w:cstheme="majorBidi"/>
        </w:rPr>
        <w:t>The second day</w:t>
      </w:r>
      <w:r>
        <w:rPr>
          <w:rFonts w:asciiTheme="majorBidi" w:hAnsiTheme="majorBidi" w:cstheme="majorBidi"/>
        </w:rPr>
        <w:t xml:space="preserve"> therefore started by introducing the design thinking process of empathizing, defining, ideating, prototyping, and testing </w:t>
      </w:r>
      <w:r>
        <w:rPr>
          <w:rFonts w:asciiTheme="majorBidi" w:hAnsiTheme="majorBidi" w:cstheme="majorBidi"/>
        </w:rPr>
        <w:fldChar w:fldCharType="begin"/>
      </w:r>
      <w:r>
        <w:rPr>
          <w:rFonts w:asciiTheme="majorBidi" w:hAnsiTheme="majorBidi" w:cstheme="majorBidi"/>
        </w:rPr>
        <w:instrText xml:space="preserve"> ADDIN ZOTERO_ITEM CSL_CITATION {"citationID":"fjVLsPVI","properties":{"formattedCitation":"(Rauth {\\i{}et al.}, 2010)","plainCitation":"(Rauth et al., 2010)","noteIndex":0},"citationItems":[{"id":17458,"uris":["http://zotero.org/users/2738740/items/32IZQSFJ"],"itemData":{"id":17458,"type":"paper-conference","container-title":"DS 66-2: Proceedings of the 1st international conference on design creativity (ICDC 2010)","source":"Google Scholar","title":"Design thinking: An educational model towards creative confidence","title-short":"Design thinking","author":[{"family":"Rauth","given":"Ingo"},{"family":"Köppen","given":"Eva"},{"family":"Jobst","given":"Birgit"},{"family":"Meinel","given":"Christoph"}],"issued":{"date-parts":[["2010"]]},"citation-key":"rauth2010"}}],"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kern w:val="0"/>
        </w:rPr>
        <w:t xml:space="preserve">(Rauth </w:t>
      </w:r>
      <w:r w:rsidRPr="004122FA">
        <w:rPr>
          <w:rFonts w:ascii="Times New Roman" w:hAnsi="Times New Roman" w:cs="Times New Roman"/>
          <w:i/>
          <w:iCs/>
          <w:kern w:val="0"/>
        </w:rPr>
        <w:t>et al.</w:t>
      </w:r>
      <w:r w:rsidRPr="004122FA">
        <w:rPr>
          <w:rFonts w:ascii="Times New Roman" w:hAnsi="Times New Roman" w:cs="Times New Roman"/>
          <w:kern w:val="0"/>
        </w:rPr>
        <w:t>, 2010)</w:t>
      </w:r>
      <w:r>
        <w:rPr>
          <w:rFonts w:asciiTheme="majorBidi" w:hAnsiTheme="majorBidi" w:cstheme="majorBidi"/>
        </w:rPr>
        <w:fldChar w:fldCharType="end"/>
      </w:r>
      <w:r>
        <w:rPr>
          <w:rFonts w:asciiTheme="majorBidi" w:hAnsiTheme="majorBidi" w:cstheme="majorBidi"/>
        </w:rPr>
        <w:t>. During this introduction by the trainers, they emphasized that this workshop specifically focuses on transformations or challenges that are either social, ecological, or digital to keep the knowledge entrepreneur framing.</w:t>
      </w:r>
    </w:p>
    <w:p w14:paraId="22032C80"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t xml:space="preserve">Design Thinking was developed as a holistic approach to design cognition and design learning </w:t>
      </w:r>
      <w:r>
        <w:rPr>
          <w:rFonts w:asciiTheme="majorBidi" w:hAnsiTheme="majorBidi" w:cstheme="majorBidi"/>
        </w:rPr>
        <w:fldChar w:fldCharType="begin"/>
      </w:r>
      <w:r>
        <w:rPr>
          <w:rFonts w:asciiTheme="majorBidi" w:hAnsiTheme="majorBidi" w:cstheme="majorBidi"/>
        </w:rPr>
        <w:instrText xml:space="preserve"> ADDIN ZOTERO_ITEM CSL_CITATION {"citationID":"Kr14POFP","properties":{"formattedCitation":"(Rauth {\\i{}et al.}, 2010)","plainCitation":"(Rauth et al., 2010)","noteIndex":0},"citationItems":[{"id":17458,"uris":["http://zotero.org/users/2738740/items/32IZQSFJ"],"itemData":{"id":17458,"type":"paper-conference","container-title":"DS 66-2: Proceedings of the 1st international conference on design creativity (ICDC 2010)","source":"Google Scholar","title":"Design thinking: An educational model towards creative confidence","title-short":"Design thinking","author":[{"family":"Rauth","given":"Ingo"},{"family":"Köppen","given":"Eva"},{"family":"Jobst","given":"Birgit"},{"family":"Meinel","given":"Christoph"}],"issued":{"date-parts":[["2010"]]},"citation-key":"rauth2010"}}],"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kern w:val="0"/>
        </w:rPr>
        <w:t xml:space="preserve">(Rauth </w:t>
      </w:r>
      <w:r w:rsidRPr="004122FA">
        <w:rPr>
          <w:rFonts w:ascii="Times New Roman" w:hAnsi="Times New Roman" w:cs="Times New Roman"/>
          <w:i/>
          <w:iCs/>
          <w:kern w:val="0"/>
        </w:rPr>
        <w:t>et al.</w:t>
      </w:r>
      <w:r w:rsidRPr="004122FA">
        <w:rPr>
          <w:rFonts w:ascii="Times New Roman" w:hAnsi="Times New Roman" w:cs="Times New Roman"/>
          <w:kern w:val="0"/>
        </w:rPr>
        <w:t>, 2010)</w:t>
      </w:r>
      <w:r>
        <w:rPr>
          <w:rFonts w:asciiTheme="majorBidi" w:hAnsiTheme="majorBidi" w:cstheme="majorBidi"/>
        </w:rPr>
        <w:fldChar w:fldCharType="end"/>
      </w:r>
      <w:r>
        <w:rPr>
          <w:rFonts w:asciiTheme="majorBidi" w:hAnsiTheme="majorBidi" w:cstheme="majorBidi"/>
        </w:rPr>
        <w:t xml:space="preserve">. Through its learning model, it supports creativity by allowing the usage of project- and process-based learning. The incorporated strategies place special emphasis on multi-disciplinary teams and involve all perspectives </w:t>
      </w:r>
      <w:r>
        <w:rPr>
          <w:rFonts w:asciiTheme="majorBidi" w:hAnsiTheme="majorBidi" w:cstheme="majorBidi"/>
        </w:rPr>
        <w:fldChar w:fldCharType="begin"/>
      </w:r>
      <w:r>
        <w:rPr>
          <w:rFonts w:asciiTheme="majorBidi" w:hAnsiTheme="majorBidi" w:cstheme="majorBidi"/>
        </w:rPr>
        <w:instrText xml:space="preserve"> ADDIN ZOTERO_ITEM CSL_CITATION {"citationID":"Pn2fL1O2","properties":{"formattedCitation":"(Brown, 2008; Lindberg, Noweski and Meinel, 2009)","plainCitation":"(Brown, 2008; Lindberg, Noweski and Meinel, 2009)","noteIndex":0},"citationItems":[{"id":17600,"uris":["http://zotero.org/users/2738740/items/GUQ2UVQN"],"itemData":{"id":17600,"type":"article-journal","container-title":"Harvard Business Review","DOI":"http://dx.doi.org/10.5040/9781474282932.0020","issue":"6","page":"84-92","source":"Google Scholar","title":"Design thinking","volume":"86","author":[{"family":"Brown","given":"Tim"}],"issued":{"date-parts":[["2008"]]},"citation-key":"brown2008"}},{"id":17597,"uris":["http://zotero.org/users/2738740/items/CV745BWN"],"itemData":{"id":17597,"type":"article-journal","container-title":"Neuwerk-Zeitschrift für Designwissenschaft","page":"47–53","source":"Google Scholar","title":"Design Thinking: Zur Entwicklung eines exporativen Forschungsansatzes zu einem überprofessioinellen Modell [Design thinking: towards the development of an exploratory research approach to a supra-professional model]","title-short":"Design Thinking","volume":"1","author":[{"family":"Lindberg","given":"Tilmann"},{"family":"Noweski","given":"Christine"},{"family":"Meinel","given":"Christoph"}],"issued":{"date-parts":[["2009"]]},"citation-key":"lindberg2009"}}],"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rPr>
        <w:t xml:space="preserve">(Brown, 2008; Lindberg, Noweski and </w:t>
      </w:r>
      <w:r w:rsidRPr="004122FA">
        <w:rPr>
          <w:rFonts w:ascii="Times New Roman" w:hAnsi="Times New Roman" w:cs="Times New Roman"/>
        </w:rPr>
        <w:lastRenderedPageBreak/>
        <w:t>Meinel, 2009)</w:t>
      </w:r>
      <w:r>
        <w:rPr>
          <w:rFonts w:asciiTheme="majorBidi" w:hAnsiTheme="majorBidi" w:cstheme="majorBidi"/>
        </w:rPr>
        <w:fldChar w:fldCharType="end"/>
      </w:r>
      <w:r>
        <w:rPr>
          <w:rFonts w:asciiTheme="majorBidi" w:hAnsiTheme="majorBidi" w:cstheme="majorBidi"/>
        </w:rPr>
        <w:t xml:space="preserve">. As such, design thinking can be used as a problem-solving approach to deal with everyday problems </w:t>
      </w:r>
      <w:r>
        <w:rPr>
          <w:rFonts w:asciiTheme="majorBidi" w:hAnsiTheme="majorBidi" w:cstheme="majorBidi"/>
        </w:rPr>
        <w:fldChar w:fldCharType="begin"/>
      </w:r>
      <w:r>
        <w:rPr>
          <w:rFonts w:asciiTheme="majorBidi" w:hAnsiTheme="majorBidi" w:cstheme="majorBidi"/>
        </w:rPr>
        <w:instrText xml:space="preserve"> ADDIN ZOTERO_ITEM CSL_CITATION {"citationID":"AUQk6NFI","properties":{"formattedCitation":"(Rauth {\\i{}et al.}, 2010)","plainCitation":"(Rauth et al., 2010)","noteIndex":0},"citationItems":[{"id":17458,"uris":["http://zotero.org/users/2738740/items/32IZQSFJ"],"itemData":{"id":17458,"type":"paper-conference","container-title":"DS 66-2: Proceedings of the 1st international conference on design creativity (ICDC 2010)","source":"Google Scholar","title":"Design thinking: An educational model towards creative confidence","title-short":"Design thinking","author":[{"family":"Rauth","given":"Ingo"},{"family":"Köppen","given":"Eva"},{"family":"Jobst","given":"Birgit"},{"family":"Meinel","given":"Christoph"}],"issued":{"date-parts":[["2010"]]},"citation-key":"rauth2010"}}],"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kern w:val="0"/>
        </w:rPr>
        <w:t xml:space="preserve">(Rauth </w:t>
      </w:r>
      <w:r w:rsidRPr="004122FA">
        <w:rPr>
          <w:rFonts w:ascii="Times New Roman" w:hAnsi="Times New Roman" w:cs="Times New Roman"/>
          <w:i/>
          <w:iCs/>
          <w:kern w:val="0"/>
        </w:rPr>
        <w:t>et al.</w:t>
      </w:r>
      <w:r w:rsidRPr="004122FA">
        <w:rPr>
          <w:rFonts w:ascii="Times New Roman" w:hAnsi="Times New Roman" w:cs="Times New Roman"/>
          <w:kern w:val="0"/>
        </w:rPr>
        <w:t>, 2010)</w:t>
      </w:r>
      <w:r>
        <w:rPr>
          <w:rFonts w:asciiTheme="majorBidi" w:hAnsiTheme="majorBidi" w:cstheme="majorBidi"/>
        </w:rPr>
        <w:fldChar w:fldCharType="end"/>
      </w:r>
      <w:r>
        <w:rPr>
          <w:rFonts w:asciiTheme="majorBidi" w:hAnsiTheme="majorBidi" w:cstheme="majorBidi"/>
        </w:rPr>
        <w:t>. This perfectly aligns with the notion of knowledge entrepreneurship, as knowledge entrepreneurship has at its core to address existing challenges of digital, social, or ecological spheres by using one’s knowledge and skills. Design thinking can thus provide helpful tools to address identified challenges by simultaneously applying the effectuation principles.</w:t>
      </w:r>
    </w:p>
    <w:p w14:paraId="6ECEF174"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t xml:space="preserve">The first step in the design thinking process is empathizing </w:t>
      </w:r>
      <w:r>
        <w:rPr>
          <w:rFonts w:asciiTheme="majorBidi" w:hAnsiTheme="majorBidi" w:cstheme="majorBidi"/>
        </w:rPr>
        <w:fldChar w:fldCharType="begin"/>
      </w:r>
      <w:r>
        <w:rPr>
          <w:rFonts w:asciiTheme="majorBidi" w:hAnsiTheme="majorBidi" w:cstheme="majorBidi"/>
        </w:rPr>
        <w:instrText xml:space="preserve"> ADDIN ZOTERO_ITEM CSL_CITATION {"citationID":"9rea1Hix","properties":{"formattedCitation":"(Rauth {\\i{}et al.}, 2010)","plainCitation":"(Rauth et al., 2010)","noteIndex":0},"citationItems":[{"id":17458,"uris":["http://zotero.org/users/2738740/items/32IZQSFJ"],"itemData":{"id":17458,"type":"paper-conference","container-title":"DS 66-2: Proceedings of the 1st international conference on design creativity (ICDC 2010)","source":"Google Scholar","title":"Design thinking: An educational model towards creative confidence","title-short":"Design thinking","author":[{"family":"Rauth","given":"Ingo"},{"family":"Köppen","given":"Eva"},{"family":"Jobst","given":"Birgit"},{"family":"Meinel","given":"Christoph"}],"issued":{"date-parts":[["2010"]]},"citation-key":"rauth2010"}}],"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kern w:val="0"/>
        </w:rPr>
        <w:t xml:space="preserve">(Rauth </w:t>
      </w:r>
      <w:r w:rsidRPr="004122FA">
        <w:rPr>
          <w:rFonts w:ascii="Times New Roman" w:hAnsi="Times New Roman" w:cs="Times New Roman"/>
          <w:i/>
          <w:iCs/>
          <w:kern w:val="0"/>
        </w:rPr>
        <w:t>et al.</w:t>
      </w:r>
      <w:r w:rsidRPr="004122FA">
        <w:rPr>
          <w:rFonts w:ascii="Times New Roman" w:hAnsi="Times New Roman" w:cs="Times New Roman"/>
          <w:kern w:val="0"/>
        </w:rPr>
        <w:t>, 2010)</w:t>
      </w:r>
      <w:r>
        <w:rPr>
          <w:rFonts w:asciiTheme="majorBidi" w:hAnsiTheme="majorBidi" w:cstheme="majorBidi"/>
        </w:rPr>
        <w:fldChar w:fldCharType="end"/>
      </w:r>
      <w:r>
        <w:rPr>
          <w:rFonts w:asciiTheme="majorBidi" w:hAnsiTheme="majorBidi" w:cstheme="majorBidi"/>
        </w:rPr>
        <w:t>. In this step, individuals observe and try to understand potential customers, citizens, and so on through building empathy. This step aims to better understand the people they are developing solutions for. During the introduction of the empathize phase, the trainers gave examples for each of the three challenge categories. After these examples, participants were asked to brainstorm in groups as many problems as they could think of that were caused by the introduced transformations. This exercise was followed by a gallery walk in which the groups presented their collected problems to each other, and broader categories were built where possible.</w:t>
      </w:r>
    </w:p>
    <w:p w14:paraId="1411EFDF"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t xml:space="preserve">The following step is the define step. In this step, the aim is to formulate an actionable problem statement </w:t>
      </w:r>
      <w:r>
        <w:rPr>
          <w:rFonts w:asciiTheme="majorBidi" w:hAnsiTheme="majorBidi" w:cstheme="majorBidi"/>
        </w:rPr>
        <w:fldChar w:fldCharType="begin"/>
      </w:r>
      <w:r>
        <w:rPr>
          <w:rFonts w:asciiTheme="majorBidi" w:hAnsiTheme="majorBidi" w:cstheme="majorBidi"/>
        </w:rPr>
        <w:instrText xml:space="preserve"> ADDIN ZOTERO_ITEM CSL_CITATION {"citationID":"TxuxWJCd","properties":{"formattedCitation":"(Rauth {\\i{}et al.}, 2010)","plainCitation":"(Rauth et al., 2010)","noteIndex":0},"citationItems":[{"id":17458,"uris":["http://zotero.org/users/2738740/items/32IZQSFJ"],"itemData":{"id":17458,"type":"paper-conference","container-title":"DS 66-2: Proceedings of the 1st international conference on design creativity (ICDC 2010)","source":"Google Scholar","title":"Design thinking: An educational model towards creative confidence","title-short":"Design thinking","author":[{"family":"Rauth","given":"Ingo"},{"family":"Köppen","given":"Eva"},{"family":"Jobst","given":"Birgit"},{"family":"Meinel","given":"Christoph"}],"issued":{"date-parts":[["2010"]]},"citation-key":"rauth2010"}}],"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kern w:val="0"/>
        </w:rPr>
        <w:t xml:space="preserve">(Rauth </w:t>
      </w:r>
      <w:r w:rsidRPr="004122FA">
        <w:rPr>
          <w:rFonts w:ascii="Times New Roman" w:hAnsi="Times New Roman" w:cs="Times New Roman"/>
          <w:i/>
          <w:iCs/>
          <w:kern w:val="0"/>
        </w:rPr>
        <w:t>et al.</w:t>
      </w:r>
      <w:r w:rsidRPr="004122FA">
        <w:rPr>
          <w:rFonts w:ascii="Times New Roman" w:hAnsi="Times New Roman" w:cs="Times New Roman"/>
          <w:kern w:val="0"/>
        </w:rPr>
        <w:t>, 2010)</w:t>
      </w:r>
      <w:r>
        <w:rPr>
          <w:rFonts w:asciiTheme="majorBidi" w:hAnsiTheme="majorBidi" w:cstheme="majorBidi"/>
        </w:rPr>
        <w:fldChar w:fldCharType="end"/>
      </w:r>
      <w:r>
        <w:rPr>
          <w:rFonts w:asciiTheme="majorBidi" w:hAnsiTheme="majorBidi" w:cstheme="majorBidi"/>
        </w:rPr>
        <w:t xml:space="preserve">. Participants had to define one of the identified challenging problems more precisely specifying who is involved in the problem, what are the needs of those involved, causes of the problem. At the end of the exercise, participants were asked to write down a concrete problem statement which they presented to the other groups. Everyone else was then asked to summarize the presented problem using the sentence "Users need to … because of …" The presenting group then chose which sentence represented their problem best. </w:t>
      </w:r>
    </w:p>
    <w:p w14:paraId="0F2BF3E3"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lastRenderedPageBreak/>
        <w:t xml:space="preserve">Having an actionable problem statement is crucial for the third step which is called ideation. This step focuses on idea generation using tools such as brainstorming </w:t>
      </w:r>
      <w:r>
        <w:rPr>
          <w:rFonts w:asciiTheme="majorBidi" w:hAnsiTheme="majorBidi" w:cstheme="majorBidi"/>
        </w:rPr>
        <w:fldChar w:fldCharType="begin"/>
      </w:r>
      <w:r>
        <w:rPr>
          <w:rFonts w:asciiTheme="majorBidi" w:hAnsiTheme="majorBidi" w:cstheme="majorBidi"/>
        </w:rPr>
        <w:instrText xml:space="preserve"> ADDIN ZOTERO_ITEM CSL_CITATION {"citationID":"ZvS6mf8Z","properties":{"formattedCitation":"(Rauth {\\i{}et al.}, 2010)","plainCitation":"(Rauth et al., 2010)","noteIndex":0},"citationItems":[{"id":17458,"uris":["http://zotero.org/users/2738740/items/32IZQSFJ"],"itemData":{"id":17458,"type":"paper-conference","container-title":"DS 66-2: Proceedings of the 1st international conference on design creativity (ICDC 2010)","source":"Google Scholar","title":"Design thinking: An educational model towards creative confidence","title-short":"Design thinking","author":[{"family":"Rauth","given":"Ingo"},{"family":"Köppen","given":"Eva"},{"family":"Jobst","given":"Birgit"},{"family":"Meinel","given":"Christoph"}],"issued":{"date-parts":[["2010"]]},"citation-key":"rauth2010"}}],"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kern w:val="0"/>
        </w:rPr>
        <w:t xml:space="preserve">(Rauth </w:t>
      </w:r>
      <w:r w:rsidRPr="004122FA">
        <w:rPr>
          <w:rFonts w:ascii="Times New Roman" w:hAnsi="Times New Roman" w:cs="Times New Roman"/>
          <w:i/>
          <w:iCs/>
          <w:kern w:val="0"/>
        </w:rPr>
        <w:t>et al.</w:t>
      </w:r>
      <w:r w:rsidRPr="004122FA">
        <w:rPr>
          <w:rFonts w:ascii="Times New Roman" w:hAnsi="Times New Roman" w:cs="Times New Roman"/>
          <w:kern w:val="0"/>
        </w:rPr>
        <w:t>, 2010)</w:t>
      </w:r>
      <w:r>
        <w:rPr>
          <w:rFonts w:asciiTheme="majorBidi" w:hAnsiTheme="majorBidi" w:cstheme="majorBidi"/>
        </w:rPr>
        <w:fldChar w:fldCharType="end"/>
      </w:r>
      <w:r>
        <w:rPr>
          <w:rFonts w:asciiTheme="majorBidi" w:hAnsiTheme="majorBidi" w:cstheme="majorBidi"/>
        </w:rPr>
        <w:t>. After a first introductory creativity exercise and a short definition of creativity, participants went back to their groups and conducted three different exercises: 4-3-2, VIP, and Post-it comparison. The 4-3-2 exercise was used to gather ideas on how to solve the identified problem. In this exercise, four participants form a group. Every participant receives an empty sheet of paper, writes down three possible solutions and hands it over to the participant sitting next to her. This procedure is repeated two times and thus offers the group at least 24 possible solutions for their problem. In the VIP exercise, participants were asked to think about one celebrity or fictional character and how this person would solve the identified problem. This exercise was hence used again to gather ideas of how to solve the problem. In the next step, the obtained solutions were written down on Post-its and using the Post-it comparison exercise were ranked in order. During this rank order, participants were reminded to focus especially on whether the idea fits their means as a criterion for ordering the Post-its. Finally, participants had to present their chosen idea and explain why they decided to take this specific idea with a focus on their KSAOs and network.</w:t>
      </w:r>
    </w:p>
    <w:p w14:paraId="243815F2"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t xml:space="preserve">In the fourth step, prototypes for the chosen idea are built in a quick and low-resolution way. Prototypes can be built using sketching, presentations, or physical prototypes, for example, built from cardboard </w:t>
      </w:r>
      <w:r>
        <w:rPr>
          <w:rFonts w:asciiTheme="majorBidi" w:hAnsiTheme="majorBidi" w:cstheme="majorBidi"/>
        </w:rPr>
        <w:fldChar w:fldCharType="begin"/>
      </w:r>
      <w:r>
        <w:rPr>
          <w:rFonts w:asciiTheme="majorBidi" w:hAnsiTheme="majorBidi" w:cstheme="majorBidi"/>
        </w:rPr>
        <w:instrText xml:space="preserve"> ADDIN ZOTERO_ITEM CSL_CITATION {"citationID":"gqqp9sPQ","properties":{"formattedCitation":"(Rauth {\\i{}et al.}, 2010)","plainCitation":"(Rauth et al., 2010)","noteIndex":0},"citationItems":[{"id":17458,"uris":["http://zotero.org/users/2738740/items/32IZQSFJ"],"itemData":{"id":17458,"type":"paper-conference","container-title":"DS 66-2: Proceedings of the 1st international conference on design creativity (ICDC 2010)","source":"Google Scholar","title":"Design thinking: An educational model towards creative confidence","title-short":"Design thinking","author":[{"family":"Rauth","given":"Ingo"},{"family":"Köppen","given":"Eva"},{"family":"Jobst","given":"Birgit"},{"family":"Meinel","given":"Christoph"}],"issued":{"date-parts":[["2010"]]},"citation-key":"rauth2010"}}],"schema":"https://github.com/citation-style-language/schema/raw/master/csl-citation.json"} </w:instrText>
      </w:r>
      <w:r>
        <w:rPr>
          <w:rFonts w:asciiTheme="majorBidi" w:hAnsiTheme="majorBidi" w:cstheme="majorBidi"/>
        </w:rPr>
        <w:fldChar w:fldCharType="separate"/>
      </w:r>
      <w:r w:rsidRPr="004122FA">
        <w:rPr>
          <w:rFonts w:ascii="Times New Roman" w:hAnsi="Times New Roman" w:cs="Times New Roman"/>
          <w:kern w:val="0"/>
        </w:rPr>
        <w:t xml:space="preserve">(Rauth </w:t>
      </w:r>
      <w:r w:rsidRPr="004122FA">
        <w:rPr>
          <w:rFonts w:ascii="Times New Roman" w:hAnsi="Times New Roman" w:cs="Times New Roman"/>
          <w:i/>
          <w:iCs/>
          <w:kern w:val="0"/>
        </w:rPr>
        <w:t>et al.</w:t>
      </w:r>
      <w:r w:rsidRPr="004122FA">
        <w:rPr>
          <w:rFonts w:ascii="Times New Roman" w:hAnsi="Times New Roman" w:cs="Times New Roman"/>
          <w:kern w:val="0"/>
        </w:rPr>
        <w:t>, 2010)</w:t>
      </w:r>
      <w:r>
        <w:rPr>
          <w:rFonts w:asciiTheme="majorBidi" w:hAnsiTheme="majorBidi" w:cstheme="majorBidi"/>
        </w:rPr>
        <w:fldChar w:fldCharType="end"/>
      </w:r>
      <w:r>
        <w:rPr>
          <w:rFonts w:asciiTheme="majorBidi" w:hAnsiTheme="majorBidi" w:cstheme="majorBidi"/>
        </w:rPr>
        <w:t>. Participants were given various materials, such as Lego, clay, and scissors, to build the prototype of their idea. Again, participants were reminded of their KSAOs and network, which should be considered while developing the prototype.</w:t>
      </w:r>
    </w:p>
    <w:p w14:paraId="16AEAD86"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t xml:space="preserve">The final step is called testing. Within this step, the prototypes are evaluated, and feedback is sought for adapting the obtained idea. In the workshop, the participants presented the </w:t>
      </w:r>
      <w:r>
        <w:rPr>
          <w:rFonts w:asciiTheme="majorBidi" w:hAnsiTheme="majorBidi" w:cstheme="majorBidi"/>
        </w:rPr>
        <w:lastRenderedPageBreak/>
        <w:t xml:space="preserve">prototype to the other groups and received feedback. Participants rated the prototype regarding value proposition, target market fit, innovativeness, feasibility, and match to the team's means. Throughout the design thinking process, participants were frequently reminded to consider whether the chosen challenge and solution fit the means that they had reflected on Day 1. </w:t>
      </w:r>
    </w:p>
    <w:p w14:paraId="4643A188" w14:textId="77777777" w:rsidR="00740BC9" w:rsidRDefault="00740BC9" w:rsidP="00740BC9">
      <w:pPr>
        <w:spacing w:line="480" w:lineRule="auto"/>
        <w:ind w:firstLine="720"/>
        <w:rPr>
          <w:rFonts w:asciiTheme="majorBidi" w:hAnsiTheme="majorBidi" w:cstheme="majorBidi"/>
        </w:rPr>
      </w:pPr>
      <w:r>
        <w:rPr>
          <w:rFonts w:asciiTheme="majorBidi" w:hAnsiTheme="majorBidi" w:cstheme="majorBidi"/>
        </w:rPr>
        <w:t xml:space="preserve">To wrap up the workshop, the trainers asked participants to reflect again on their own most important visions for their career and life, specifically focusing on their obtained knowledge regarding their KSAOs, network, and design thinking. Participants then wrote down this most important vision accompanied by initial steps on how to approach it. The workshop then ended with a summary of the different steps during the workshop: KSAOs, networking, social, digital, and ecological challenges, prototyping, and future vision. After participating, the second </w:t>
      </w:r>
      <w:r w:rsidRPr="00B92CB6">
        <w:rPr>
          <w:rFonts w:asciiTheme="majorBidi" w:hAnsiTheme="majorBidi" w:cstheme="majorBidi"/>
        </w:rPr>
        <w:t xml:space="preserve">questionnaire </w:t>
      </w:r>
      <w:r>
        <w:rPr>
          <w:rFonts w:asciiTheme="majorBidi" w:hAnsiTheme="majorBidi" w:cstheme="majorBidi"/>
        </w:rPr>
        <w:t xml:space="preserve">which </w:t>
      </w:r>
      <w:r w:rsidRPr="00B92CB6">
        <w:rPr>
          <w:rFonts w:asciiTheme="majorBidi" w:hAnsiTheme="majorBidi" w:cstheme="majorBidi"/>
        </w:rPr>
        <w:t>consisted of i</w:t>
      </w:r>
      <w:r>
        <w:rPr>
          <w:rFonts w:asciiTheme="majorBidi" w:hAnsiTheme="majorBidi" w:cstheme="majorBidi"/>
        </w:rPr>
        <w:t xml:space="preserve">tems on career competencies, </w:t>
      </w:r>
      <w:proofErr w:type="spellStart"/>
      <w:r>
        <w:rPr>
          <w:rFonts w:asciiTheme="majorBidi" w:hAnsiTheme="majorBidi" w:cstheme="majorBidi"/>
        </w:rPr>
        <w:t>marshaling</w:t>
      </w:r>
      <w:proofErr w:type="spellEnd"/>
      <w:r>
        <w:rPr>
          <w:rFonts w:asciiTheme="majorBidi" w:hAnsiTheme="majorBidi" w:cstheme="majorBidi"/>
        </w:rPr>
        <w:t xml:space="preserve">, and </w:t>
      </w:r>
      <w:proofErr w:type="spellStart"/>
      <w:r>
        <w:rPr>
          <w:rFonts w:asciiTheme="majorBidi" w:hAnsiTheme="majorBidi" w:cstheme="majorBidi"/>
        </w:rPr>
        <w:t>behavioral</w:t>
      </w:r>
      <w:proofErr w:type="spellEnd"/>
      <w:r>
        <w:rPr>
          <w:rFonts w:asciiTheme="majorBidi" w:hAnsiTheme="majorBidi" w:cstheme="majorBidi"/>
        </w:rPr>
        <w:t xml:space="preserve"> intentions regarding current challenges had to be filled out (T2). </w:t>
      </w:r>
    </w:p>
    <w:p w14:paraId="27A65F0C" w14:textId="77777777" w:rsidR="00852F80" w:rsidRDefault="00852F80" w:rsidP="00740BC9">
      <w:pPr>
        <w:rPr>
          <w:rFonts w:asciiTheme="majorBidi" w:hAnsiTheme="majorBidi" w:cstheme="majorBidi"/>
          <w:b/>
          <w:bCs/>
        </w:rPr>
        <w:sectPr w:rsidR="00852F80">
          <w:pgSz w:w="12240" w:h="15840"/>
          <w:pgMar w:top="1417" w:right="1417" w:bottom="1134" w:left="1417" w:header="708" w:footer="708" w:gutter="0"/>
          <w:cols w:space="708"/>
          <w:docGrid w:linePitch="360"/>
        </w:sectPr>
      </w:pPr>
    </w:p>
    <w:p w14:paraId="3291DC2D" w14:textId="6CC6D986" w:rsidR="00740BC9" w:rsidRDefault="00852F80" w:rsidP="00740BC9">
      <w:pPr>
        <w:rPr>
          <w:rFonts w:asciiTheme="majorBidi" w:hAnsiTheme="majorBidi" w:cstheme="majorBidi"/>
          <w:b/>
          <w:bCs/>
        </w:rPr>
      </w:pPr>
      <w:r>
        <w:rPr>
          <w:rFonts w:asciiTheme="majorBidi" w:hAnsiTheme="majorBidi" w:cstheme="majorBidi"/>
          <w:b/>
          <w:bCs/>
        </w:rPr>
        <w:lastRenderedPageBreak/>
        <w:t>References</w:t>
      </w:r>
    </w:p>
    <w:p w14:paraId="337D73C5" w14:textId="77777777" w:rsidR="00852F80" w:rsidRPr="00852F80" w:rsidRDefault="00852F80" w:rsidP="004228C5">
      <w:pPr>
        <w:pStyle w:val="Literaturverzeichnis"/>
        <w:ind w:left="720" w:hanging="720"/>
        <w:rPr>
          <w:rFonts w:ascii="Times New Roman" w:hAnsi="Times New Roman" w:cs="Times New Roman"/>
        </w:rPr>
      </w:pPr>
      <w:r>
        <w:rPr>
          <w:rFonts w:asciiTheme="majorBidi" w:hAnsiTheme="majorBidi" w:cstheme="majorBidi"/>
          <w:b/>
          <w:bCs/>
        </w:rPr>
        <w:fldChar w:fldCharType="begin"/>
      </w:r>
      <w:r>
        <w:rPr>
          <w:rFonts w:asciiTheme="majorBidi" w:hAnsiTheme="majorBidi" w:cstheme="majorBidi"/>
          <w:b/>
          <w:bCs/>
        </w:rPr>
        <w:instrText xml:space="preserve"> ADDIN ZOTERO_BIBL {"uncited":[],"omitted":[],"custom":[]} CSL_BIBLIOGRAPHY </w:instrText>
      </w:r>
      <w:r>
        <w:rPr>
          <w:rFonts w:asciiTheme="majorBidi" w:hAnsiTheme="majorBidi" w:cstheme="majorBidi"/>
          <w:b/>
          <w:bCs/>
        </w:rPr>
        <w:fldChar w:fldCharType="separate"/>
      </w:r>
      <w:r w:rsidRPr="00852F80">
        <w:rPr>
          <w:rFonts w:ascii="Times New Roman" w:hAnsi="Times New Roman" w:cs="Times New Roman"/>
        </w:rPr>
        <w:t xml:space="preserve">Brown, T. (2008) ‘Design thinking’, </w:t>
      </w:r>
      <w:r w:rsidRPr="00852F80">
        <w:rPr>
          <w:rFonts w:ascii="Times New Roman" w:hAnsi="Times New Roman" w:cs="Times New Roman"/>
          <w:i/>
          <w:iCs/>
        </w:rPr>
        <w:t>Harvard Business Review</w:t>
      </w:r>
      <w:r w:rsidRPr="00852F80">
        <w:rPr>
          <w:rFonts w:ascii="Times New Roman" w:hAnsi="Times New Roman" w:cs="Times New Roman"/>
        </w:rPr>
        <w:t>, 86(6), pp. 84–92. Available at: http://dx.doi.org/10.5040/9781474282932.0020.</w:t>
      </w:r>
    </w:p>
    <w:p w14:paraId="6ECF0C1A" w14:textId="77777777" w:rsidR="00852F80" w:rsidRPr="00852F80" w:rsidRDefault="00852F80" w:rsidP="004228C5">
      <w:pPr>
        <w:pStyle w:val="Literaturverzeichnis"/>
        <w:ind w:left="720" w:hanging="720"/>
        <w:rPr>
          <w:rFonts w:ascii="Times New Roman" w:hAnsi="Times New Roman" w:cs="Times New Roman"/>
        </w:rPr>
      </w:pPr>
      <w:r w:rsidRPr="00852F80">
        <w:rPr>
          <w:rFonts w:ascii="Times New Roman" w:hAnsi="Times New Roman" w:cs="Times New Roman"/>
        </w:rPr>
        <w:t xml:space="preserve">Koen, J., Klehe, U.-C. and Van Vianen, A.E.M. (2012) ‘Training career adaptability to facilitate a successful school-to-work transition’, </w:t>
      </w:r>
      <w:r w:rsidRPr="00852F80">
        <w:rPr>
          <w:rFonts w:ascii="Times New Roman" w:hAnsi="Times New Roman" w:cs="Times New Roman"/>
          <w:i/>
          <w:iCs/>
        </w:rPr>
        <w:t>Journal of Vocational Behavior</w:t>
      </w:r>
      <w:r w:rsidRPr="00852F80">
        <w:rPr>
          <w:rFonts w:ascii="Times New Roman" w:hAnsi="Times New Roman" w:cs="Times New Roman"/>
        </w:rPr>
        <w:t>, 81(3), pp. 395–408. Available at: https://doi.org/10.1016/j.jvb.2012.10.003.</w:t>
      </w:r>
    </w:p>
    <w:p w14:paraId="181042D9" w14:textId="77777777" w:rsidR="00852F80" w:rsidRPr="00852F80" w:rsidRDefault="00852F80" w:rsidP="004228C5">
      <w:pPr>
        <w:pStyle w:val="Literaturverzeichnis"/>
        <w:ind w:left="720" w:hanging="720"/>
        <w:rPr>
          <w:rFonts w:ascii="Times New Roman" w:hAnsi="Times New Roman" w:cs="Times New Roman"/>
        </w:rPr>
      </w:pPr>
      <w:r w:rsidRPr="00852F80">
        <w:rPr>
          <w:rFonts w:ascii="Times New Roman" w:hAnsi="Times New Roman" w:cs="Times New Roman"/>
        </w:rPr>
        <w:t xml:space="preserve">Lindberg, T., Noweski, C. and Meinel, C. (2009) ‘Design Thinking: Zur Entwicklung eines exporativen Forschungsansatzes zu einem überprofessioinellen Modell [Design thinking: towards the development of an exploratory research approach to a supra-professional model]’, </w:t>
      </w:r>
      <w:r w:rsidRPr="00852F80">
        <w:rPr>
          <w:rFonts w:ascii="Times New Roman" w:hAnsi="Times New Roman" w:cs="Times New Roman"/>
          <w:i/>
          <w:iCs/>
        </w:rPr>
        <w:t>Neuwerk-Zeitschrift für Designwissenschaft</w:t>
      </w:r>
      <w:r w:rsidRPr="00852F80">
        <w:rPr>
          <w:rFonts w:ascii="Times New Roman" w:hAnsi="Times New Roman" w:cs="Times New Roman"/>
        </w:rPr>
        <w:t>, 1, pp. 47–53.</w:t>
      </w:r>
    </w:p>
    <w:p w14:paraId="42E14CFB" w14:textId="77777777" w:rsidR="00852F80" w:rsidRPr="00852F80" w:rsidRDefault="00852F80" w:rsidP="004228C5">
      <w:pPr>
        <w:pStyle w:val="Literaturverzeichnis"/>
        <w:ind w:left="720" w:hanging="720"/>
        <w:rPr>
          <w:rFonts w:ascii="Times New Roman" w:hAnsi="Times New Roman" w:cs="Times New Roman"/>
          <w:lang w:val="fr-FR"/>
        </w:rPr>
      </w:pPr>
      <w:r w:rsidRPr="00852F80">
        <w:rPr>
          <w:rFonts w:ascii="Times New Roman" w:hAnsi="Times New Roman" w:cs="Times New Roman"/>
        </w:rPr>
        <w:t xml:space="preserve">Rammstedt, B. </w:t>
      </w:r>
      <w:r w:rsidRPr="00852F80">
        <w:rPr>
          <w:rFonts w:ascii="Times New Roman" w:hAnsi="Times New Roman" w:cs="Times New Roman"/>
          <w:i/>
          <w:iCs/>
        </w:rPr>
        <w:t>et al.</w:t>
      </w:r>
      <w:r w:rsidRPr="00852F80">
        <w:rPr>
          <w:rFonts w:ascii="Times New Roman" w:hAnsi="Times New Roman" w:cs="Times New Roman"/>
        </w:rPr>
        <w:t xml:space="preserve"> (2017) ‘A short scale for assessing the Big Five dimensions of personality: 10 item Big Five Inventory (BFI-10)’, </w:t>
      </w:r>
      <w:r w:rsidRPr="00852F80">
        <w:rPr>
          <w:rFonts w:ascii="Times New Roman" w:hAnsi="Times New Roman" w:cs="Times New Roman"/>
          <w:i/>
          <w:iCs/>
        </w:rPr>
        <w:t>methods</w:t>
      </w:r>
      <w:r w:rsidRPr="00852F80">
        <w:rPr>
          <w:rFonts w:ascii="Times New Roman" w:hAnsi="Times New Roman" w:cs="Times New Roman"/>
        </w:rPr>
        <w:t xml:space="preserve">, data, pp. 233–249. </w:t>
      </w:r>
      <w:r w:rsidRPr="00852F80">
        <w:rPr>
          <w:rFonts w:ascii="Times New Roman" w:hAnsi="Times New Roman" w:cs="Times New Roman"/>
          <w:lang w:val="fr-FR"/>
        </w:rPr>
        <w:t>Available at: https://doi.org/10.12758/mda.2013.013.</w:t>
      </w:r>
    </w:p>
    <w:p w14:paraId="58532454" w14:textId="77777777" w:rsidR="00852F80" w:rsidRPr="00852F80" w:rsidRDefault="00852F80" w:rsidP="004228C5">
      <w:pPr>
        <w:pStyle w:val="Literaturverzeichnis"/>
        <w:ind w:left="720" w:hanging="720"/>
        <w:rPr>
          <w:rFonts w:ascii="Times New Roman" w:hAnsi="Times New Roman" w:cs="Times New Roman"/>
        </w:rPr>
      </w:pPr>
      <w:r w:rsidRPr="00852F80">
        <w:rPr>
          <w:rFonts w:ascii="Times New Roman" w:hAnsi="Times New Roman" w:cs="Times New Roman"/>
          <w:lang w:val="fr-FR"/>
        </w:rPr>
        <w:t xml:space="preserve">Rauth, I. </w:t>
      </w:r>
      <w:r w:rsidRPr="00852F80">
        <w:rPr>
          <w:rFonts w:ascii="Times New Roman" w:hAnsi="Times New Roman" w:cs="Times New Roman"/>
          <w:i/>
          <w:iCs/>
          <w:lang w:val="fr-FR"/>
        </w:rPr>
        <w:t>et al.</w:t>
      </w:r>
      <w:r w:rsidRPr="00852F80">
        <w:rPr>
          <w:rFonts w:ascii="Times New Roman" w:hAnsi="Times New Roman" w:cs="Times New Roman"/>
          <w:lang w:val="fr-FR"/>
        </w:rPr>
        <w:t xml:space="preserve"> </w:t>
      </w:r>
      <w:r w:rsidRPr="00852F80">
        <w:rPr>
          <w:rFonts w:ascii="Times New Roman" w:hAnsi="Times New Roman" w:cs="Times New Roman"/>
        </w:rPr>
        <w:t xml:space="preserve">(2010) ‘Design thinking: An educational model towards creative confidence’, in </w:t>
      </w:r>
      <w:r w:rsidRPr="00852F80">
        <w:rPr>
          <w:rFonts w:ascii="Times New Roman" w:hAnsi="Times New Roman" w:cs="Times New Roman"/>
          <w:i/>
          <w:iCs/>
        </w:rPr>
        <w:t>DS 66-2: Proceedings of the 1st international conference on design creativity (ICDC 2010)</w:t>
      </w:r>
      <w:r w:rsidRPr="00852F80">
        <w:rPr>
          <w:rFonts w:ascii="Times New Roman" w:hAnsi="Times New Roman" w:cs="Times New Roman"/>
        </w:rPr>
        <w:t>.</w:t>
      </w:r>
    </w:p>
    <w:p w14:paraId="08A5A0FB" w14:textId="77777777" w:rsidR="00852F80" w:rsidRPr="00852F80" w:rsidRDefault="00852F80" w:rsidP="004228C5">
      <w:pPr>
        <w:pStyle w:val="Literaturverzeichnis"/>
        <w:ind w:left="720" w:hanging="720"/>
        <w:rPr>
          <w:rFonts w:ascii="Times New Roman" w:hAnsi="Times New Roman" w:cs="Times New Roman"/>
        </w:rPr>
      </w:pPr>
      <w:r w:rsidRPr="00852F80">
        <w:rPr>
          <w:rFonts w:ascii="Times New Roman" w:hAnsi="Times New Roman" w:cs="Times New Roman"/>
        </w:rPr>
        <w:t xml:space="preserve">Zhu, J. </w:t>
      </w:r>
      <w:r w:rsidRPr="00852F80">
        <w:rPr>
          <w:rFonts w:ascii="Times New Roman" w:hAnsi="Times New Roman" w:cs="Times New Roman"/>
          <w:i/>
          <w:iCs/>
        </w:rPr>
        <w:t>et al.</w:t>
      </w:r>
      <w:r w:rsidRPr="00852F80">
        <w:rPr>
          <w:rFonts w:ascii="Times New Roman" w:hAnsi="Times New Roman" w:cs="Times New Roman"/>
        </w:rPr>
        <w:t xml:space="preserve"> (2021) ‘The effectiveness of the effectuation approach on opportunity identification and pursuit: evidence from a randomized controlled field experiment’, </w:t>
      </w:r>
      <w:r w:rsidRPr="00852F80">
        <w:rPr>
          <w:rFonts w:ascii="Times New Roman" w:hAnsi="Times New Roman" w:cs="Times New Roman"/>
          <w:i/>
          <w:iCs/>
        </w:rPr>
        <w:t>Academy of Management Learning &amp; Education</w:t>
      </w:r>
      <w:r w:rsidRPr="00852F80">
        <w:rPr>
          <w:rFonts w:ascii="Times New Roman" w:hAnsi="Times New Roman" w:cs="Times New Roman"/>
        </w:rPr>
        <w:t>, 20(4), pp. 562–577. Available at: https://doi.org/10.5465/amle.2017.0092.</w:t>
      </w:r>
    </w:p>
    <w:p w14:paraId="7ACE484C" w14:textId="17B096D6" w:rsidR="00852F80" w:rsidRPr="00740BC9" w:rsidRDefault="00852F80" w:rsidP="004228C5">
      <w:pPr>
        <w:ind w:left="720" w:hanging="720"/>
        <w:rPr>
          <w:rFonts w:asciiTheme="majorBidi" w:hAnsiTheme="majorBidi" w:cstheme="majorBidi"/>
          <w:b/>
          <w:bCs/>
        </w:rPr>
      </w:pPr>
      <w:r>
        <w:rPr>
          <w:rFonts w:asciiTheme="majorBidi" w:hAnsiTheme="majorBidi" w:cstheme="majorBidi"/>
          <w:b/>
          <w:bCs/>
        </w:rPr>
        <w:fldChar w:fldCharType="end"/>
      </w:r>
    </w:p>
    <w:sectPr w:rsidR="00852F80" w:rsidRPr="00740BC9">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BC9"/>
    <w:rsid w:val="00181657"/>
    <w:rsid w:val="00204017"/>
    <w:rsid w:val="004228C5"/>
    <w:rsid w:val="00534F7B"/>
    <w:rsid w:val="005601F1"/>
    <w:rsid w:val="005C1271"/>
    <w:rsid w:val="006C2737"/>
    <w:rsid w:val="00740BC9"/>
    <w:rsid w:val="00805A04"/>
    <w:rsid w:val="00852F80"/>
    <w:rsid w:val="009F0E82"/>
    <w:rsid w:val="00B12291"/>
    <w:rsid w:val="00F611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DCE91"/>
  <w15:chartTrackingRefBased/>
  <w15:docId w15:val="{AFC4F9C0-3BDC-4828-92BA-5E2F6DCD3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740B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40B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40BC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40BC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40BC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40BC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40BC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40BC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40BC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40BC9"/>
    <w:rPr>
      <w:rFonts w:asciiTheme="majorHAnsi" w:eastAsiaTheme="majorEastAsia" w:hAnsiTheme="majorHAnsi" w:cstheme="majorBidi"/>
      <w:color w:val="0F4761" w:themeColor="accent1" w:themeShade="BF"/>
      <w:sz w:val="40"/>
      <w:szCs w:val="40"/>
      <w:lang w:val="en-GB"/>
    </w:rPr>
  </w:style>
  <w:style w:type="character" w:customStyle="1" w:styleId="berschrift2Zchn">
    <w:name w:val="Überschrift 2 Zchn"/>
    <w:basedOn w:val="Absatz-Standardschriftart"/>
    <w:link w:val="berschrift2"/>
    <w:uiPriority w:val="9"/>
    <w:semiHidden/>
    <w:rsid w:val="00740BC9"/>
    <w:rPr>
      <w:rFonts w:asciiTheme="majorHAnsi" w:eastAsiaTheme="majorEastAsia" w:hAnsiTheme="majorHAnsi" w:cstheme="majorBidi"/>
      <w:color w:val="0F4761" w:themeColor="accent1" w:themeShade="BF"/>
      <w:sz w:val="32"/>
      <w:szCs w:val="32"/>
      <w:lang w:val="en-GB"/>
    </w:rPr>
  </w:style>
  <w:style w:type="character" w:customStyle="1" w:styleId="berschrift3Zchn">
    <w:name w:val="Überschrift 3 Zchn"/>
    <w:basedOn w:val="Absatz-Standardschriftart"/>
    <w:link w:val="berschrift3"/>
    <w:uiPriority w:val="9"/>
    <w:semiHidden/>
    <w:rsid w:val="00740BC9"/>
    <w:rPr>
      <w:rFonts w:eastAsiaTheme="majorEastAsia" w:cstheme="majorBidi"/>
      <w:color w:val="0F4761" w:themeColor="accent1" w:themeShade="BF"/>
      <w:sz w:val="28"/>
      <w:szCs w:val="28"/>
      <w:lang w:val="en-GB"/>
    </w:rPr>
  </w:style>
  <w:style w:type="character" w:customStyle="1" w:styleId="berschrift4Zchn">
    <w:name w:val="Überschrift 4 Zchn"/>
    <w:basedOn w:val="Absatz-Standardschriftart"/>
    <w:link w:val="berschrift4"/>
    <w:uiPriority w:val="9"/>
    <w:semiHidden/>
    <w:rsid w:val="00740BC9"/>
    <w:rPr>
      <w:rFonts w:eastAsiaTheme="majorEastAsia" w:cstheme="majorBidi"/>
      <w:i/>
      <w:iCs/>
      <w:color w:val="0F4761" w:themeColor="accent1" w:themeShade="BF"/>
      <w:lang w:val="en-GB"/>
    </w:rPr>
  </w:style>
  <w:style w:type="character" w:customStyle="1" w:styleId="berschrift5Zchn">
    <w:name w:val="Überschrift 5 Zchn"/>
    <w:basedOn w:val="Absatz-Standardschriftart"/>
    <w:link w:val="berschrift5"/>
    <w:uiPriority w:val="9"/>
    <w:semiHidden/>
    <w:rsid w:val="00740BC9"/>
    <w:rPr>
      <w:rFonts w:eastAsiaTheme="majorEastAsia" w:cstheme="majorBidi"/>
      <w:color w:val="0F4761" w:themeColor="accent1" w:themeShade="BF"/>
      <w:lang w:val="en-GB"/>
    </w:rPr>
  </w:style>
  <w:style w:type="character" w:customStyle="1" w:styleId="berschrift6Zchn">
    <w:name w:val="Überschrift 6 Zchn"/>
    <w:basedOn w:val="Absatz-Standardschriftart"/>
    <w:link w:val="berschrift6"/>
    <w:uiPriority w:val="9"/>
    <w:semiHidden/>
    <w:rsid w:val="00740BC9"/>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740BC9"/>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740BC9"/>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740BC9"/>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740B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40BC9"/>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740BC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40BC9"/>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740BC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40BC9"/>
    <w:rPr>
      <w:i/>
      <w:iCs/>
      <w:color w:val="404040" w:themeColor="text1" w:themeTint="BF"/>
      <w:lang w:val="en-GB"/>
    </w:rPr>
  </w:style>
  <w:style w:type="paragraph" w:styleId="Listenabsatz">
    <w:name w:val="List Paragraph"/>
    <w:basedOn w:val="Standard"/>
    <w:uiPriority w:val="34"/>
    <w:qFormat/>
    <w:rsid w:val="00740BC9"/>
    <w:pPr>
      <w:ind w:left="720"/>
      <w:contextualSpacing/>
    </w:pPr>
  </w:style>
  <w:style w:type="character" w:styleId="IntensiveHervorhebung">
    <w:name w:val="Intense Emphasis"/>
    <w:basedOn w:val="Absatz-Standardschriftart"/>
    <w:uiPriority w:val="21"/>
    <w:qFormat/>
    <w:rsid w:val="00740BC9"/>
    <w:rPr>
      <w:i/>
      <w:iCs/>
      <w:color w:val="0F4761" w:themeColor="accent1" w:themeShade="BF"/>
    </w:rPr>
  </w:style>
  <w:style w:type="paragraph" w:styleId="IntensivesZitat">
    <w:name w:val="Intense Quote"/>
    <w:basedOn w:val="Standard"/>
    <w:next w:val="Standard"/>
    <w:link w:val="IntensivesZitatZchn"/>
    <w:uiPriority w:val="30"/>
    <w:qFormat/>
    <w:rsid w:val="00740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40BC9"/>
    <w:rPr>
      <w:i/>
      <w:iCs/>
      <w:color w:val="0F4761" w:themeColor="accent1" w:themeShade="BF"/>
      <w:lang w:val="en-GB"/>
    </w:rPr>
  </w:style>
  <w:style w:type="character" w:styleId="IntensiverVerweis">
    <w:name w:val="Intense Reference"/>
    <w:basedOn w:val="Absatz-Standardschriftart"/>
    <w:uiPriority w:val="32"/>
    <w:qFormat/>
    <w:rsid w:val="00740BC9"/>
    <w:rPr>
      <w:b/>
      <w:bCs/>
      <w:smallCaps/>
      <w:color w:val="0F4761" w:themeColor="accent1" w:themeShade="BF"/>
      <w:spacing w:val="5"/>
    </w:rPr>
  </w:style>
  <w:style w:type="table" w:styleId="Tabellenraster">
    <w:name w:val="Table Grid"/>
    <w:basedOn w:val="NormaleTabelle"/>
    <w:uiPriority w:val="39"/>
    <w:rsid w:val="00740BC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teraturverzeichnis">
    <w:name w:val="Bibliography"/>
    <w:basedOn w:val="Standard"/>
    <w:next w:val="Standard"/>
    <w:uiPriority w:val="37"/>
    <w:unhideWhenUsed/>
    <w:rsid w:val="00852F80"/>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5474</Words>
  <Characters>31205</Characters>
  <Application>Microsoft Office Word</Application>
  <DocSecurity>0</DocSecurity>
  <Lines>260</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Vesper</dc:creator>
  <cp:keywords/>
  <dc:description/>
  <cp:lastModifiedBy>Denise Vesper</cp:lastModifiedBy>
  <cp:revision>2</cp:revision>
  <dcterms:created xsi:type="dcterms:W3CDTF">2025-06-25T07:25:00Z</dcterms:created>
  <dcterms:modified xsi:type="dcterms:W3CDTF">2025-06-25T07:25:00Z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c80e68e7-b519-4e3a-b8ce-7ff2717a46bd</vt:lpwstr>
  </property>
  <property fmtid="{D5CDD505-2E9C-101B-9397-08002B2CF9AE}" pid="3" name="ZOTERO_PREF_1">
    <vt:lpwstr>&lt;data data-version="3" zotero-version="7.0.5"&gt;&lt;session id="uAsNLoHz"/&gt;&lt;style id="http://www.zotero.org/styles/harvard1" locale="en-US" hasBibliography="1" bibliographyStyleHasBeenSet="1"/&gt;&lt;prefs&gt;&lt;pref name="fieldType" value="Field"/&gt;&lt;/prefs&gt;&lt;/data&gt;</vt:lpwstr>
  </property>
</Properties>
</file>