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54C86D9">
      <w:pPr>
        <w:pStyle w:val="5"/>
        <w:pageBreakBefore/>
        <w:spacing w:line="360" w:lineRule="auto"/>
        <w:jc w:val="both"/>
        <w:rPr>
          <w:rFonts w:ascii="Times New Roman" w:hAnsi="Times New Roman" w:eastAsia="Times New Roman"/>
          <w:b/>
          <w:bCs/>
        </w:rPr>
      </w:pPr>
      <w:r>
        <w:rPr>
          <w:rFonts w:ascii="Times New Roman" w:hAnsi="Times New Roman" w:eastAsia="Times New Roman"/>
          <w:b/>
          <w:bCs/>
          <w:sz w:val="24"/>
          <w:szCs w:val="24"/>
          <w:lang w:eastAsia="el-GR"/>
        </w:rPr>
        <w:t xml:space="preserve">APPENDIX </w:t>
      </w:r>
      <w:bookmarkStart w:id="0" w:name="_GoBack"/>
      <w:bookmarkEnd w:id="0"/>
      <w:r>
        <w:rPr>
          <w:rFonts w:ascii="Times New Roman" w:hAnsi="Times New Roman" w:eastAsia="Times New Roman"/>
          <w:b/>
          <w:bCs/>
          <w:sz w:val="24"/>
          <w:szCs w:val="24"/>
          <w:lang w:eastAsia="el-GR"/>
        </w:rPr>
        <w:t>1</w:t>
      </w:r>
    </w:p>
    <w:p w14:paraId="52A784B4">
      <w:pPr>
        <w:pStyle w:val="5"/>
        <w:spacing w:line="360" w:lineRule="auto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>The Table below summarizes the website characteristics in relation to Hofstede’s dimensions of culture.</w:t>
      </w:r>
    </w:p>
    <w:tbl>
      <w:tblPr>
        <w:tblStyle w:val="3"/>
        <w:tblW w:w="8642" w:type="dxa"/>
        <w:tblInd w:w="-118" w:type="dxa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2122"/>
        <w:gridCol w:w="1983"/>
        <w:gridCol w:w="3258"/>
        <w:gridCol w:w="1279"/>
      </w:tblGrid>
      <w:tr w14:paraId="5A910218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9AE220">
            <w:pPr>
              <w:pStyle w:val="5"/>
              <w:spacing w:after="0" w:line="36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>DOMAIN</w:t>
            </w:r>
          </w:p>
        </w:tc>
        <w:tc>
          <w:tcPr>
            <w:tcW w:w="19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3E1E5AD">
            <w:pPr>
              <w:pStyle w:val="5"/>
              <w:spacing w:after="0" w:line="36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>DESCRIPTION</w:t>
            </w:r>
          </w:p>
        </w:tc>
        <w:tc>
          <w:tcPr>
            <w:tcW w:w="3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350806">
            <w:pPr>
              <w:pStyle w:val="5"/>
              <w:spacing w:after="0" w:line="36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>VARIABLES</w:t>
            </w:r>
          </w:p>
        </w:tc>
        <w:tc>
          <w:tcPr>
            <w:tcW w:w="12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81907D">
            <w:pPr>
              <w:pStyle w:val="5"/>
              <w:spacing w:after="0" w:line="36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>CODE</w:t>
            </w:r>
          </w:p>
        </w:tc>
      </w:tr>
      <w:tr w14:paraId="15B82581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80A4823">
            <w:pPr>
              <w:pStyle w:val="5"/>
              <w:spacing w:after="0" w:line="36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>I. Access</w:t>
            </w:r>
          </w:p>
          <w:p w14:paraId="0D7E0C08">
            <w:pPr>
              <w:pStyle w:val="5"/>
              <w:spacing w:after="0" w:line="36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>and</w:t>
            </w:r>
          </w:p>
          <w:p w14:paraId="37A053EB">
            <w:pPr>
              <w:pStyle w:val="5"/>
              <w:spacing w:after="0" w:line="36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>Technical Merit</w:t>
            </w:r>
          </w:p>
        </w:tc>
        <w:tc>
          <w:tcPr>
            <w:tcW w:w="19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C01D03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-Ease of reach via web browsers</w:t>
            </w:r>
          </w:p>
          <w:p w14:paraId="1125D03D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-Search engine compatibility</w:t>
            </w:r>
          </w:p>
          <w:p w14:paraId="72B266F5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-Accessibility, usability and inclusion of different age, background and (dis)ability groups as defined by the </w:t>
            </w:r>
            <w:r>
              <w:fldChar w:fldCharType="begin"/>
            </w:r>
            <w:r>
              <w:instrText xml:space="preserve"> HYPERLINK "https://www.w3.org/standards/" \h </w:instrText>
            </w:r>
            <w:r>
              <w:fldChar w:fldCharType="separate"/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W3C standards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fldChar w:fldCharType="end"/>
            </w:r>
          </w:p>
          <w:p w14:paraId="3B8E89EA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-Website meets internationalization and inclusion criteria that reduce barriers to diverse audiences</w:t>
            </w:r>
          </w:p>
        </w:tc>
        <w:tc>
          <w:tcPr>
            <w:tcW w:w="3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64DA7D4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Functional URL</w:t>
            </w:r>
          </w:p>
          <w:p w14:paraId="4C2C5757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Cross-browser compatibility</w:t>
            </w:r>
          </w:p>
          <w:p w14:paraId="5C1F90F3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Load time</w:t>
            </w:r>
          </w:p>
          <w:p w14:paraId="4208AD25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Universal, </w:t>
            </w:r>
            <w:r>
              <w:fldChar w:fldCharType="begin"/>
            </w:r>
            <w:r>
              <w:instrText xml:space="preserve"> HYPERLINK "https://www.w3.org/Consortium/sponsor/webforall" \h </w:instrText>
            </w:r>
            <w:r>
              <w:fldChar w:fldCharType="separate"/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>Web for All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design tenets</w:t>
            </w:r>
          </w:p>
          <w:p w14:paraId="61E72960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Content customization for disabilities</w:t>
            </w:r>
          </w:p>
        </w:tc>
        <w:tc>
          <w:tcPr>
            <w:tcW w:w="12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C2B25E8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A1</w:t>
            </w:r>
          </w:p>
          <w:p w14:paraId="1E5A33EA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A2</w:t>
            </w:r>
          </w:p>
          <w:p w14:paraId="05864A97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A3</w:t>
            </w:r>
          </w:p>
          <w:p w14:paraId="0BE82746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A4</w:t>
            </w:r>
          </w:p>
          <w:p w14:paraId="6437668B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14:paraId="3C65D297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A5</w:t>
            </w:r>
          </w:p>
          <w:p w14:paraId="294CBA82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14:paraId="7F9BC3EC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</w:tc>
      </w:tr>
      <w:tr w14:paraId="09E71093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838793">
            <w:pPr>
              <w:pStyle w:val="5"/>
              <w:spacing w:after="0" w:line="36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II. 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>Navigation</w:t>
            </w:r>
          </w:p>
        </w:tc>
        <w:tc>
          <w:tcPr>
            <w:tcW w:w="19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4F4F7B4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-Ease of system use that permits moving around the website</w:t>
            </w:r>
          </w:p>
          <w:p w14:paraId="54CFA468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-Manifestation of signs and hyperlinks</w:t>
            </w:r>
          </w:p>
          <w:p w14:paraId="3CE318D3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-Related to user experience</w:t>
            </w:r>
          </w:p>
        </w:tc>
        <w:tc>
          <w:tcPr>
            <w:tcW w:w="3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3C37D5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“About” page</w:t>
            </w:r>
            <w:r>
              <w:tab/>
            </w:r>
            <w:r>
              <w:tab/>
            </w:r>
          </w:p>
          <w:p w14:paraId="7436D6C5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Depth – max number of clicks to reach an end page</w:t>
            </w:r>
            <w:r>
              <w:tab/>
            </w:r>
          </w:p>
          <w:p w14:paraId="76DA2F16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Clear information structure</w:t>
            </w:r>
            <w:r>
              <w:tab/>
            </w:r>
          </w:p>
          <w:p w14:paraId="2B4D5202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Core content visibility</w:t>
            </w:r>
            <w:r>
              <w:tab/>
            </w:r>
          </w:p>
          <w:p w14:paraId="504FE9AC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Signs appearance</w:t>
            </w:r>
            <w:r>
              <w:tab/>
            </w:r>
            <w:r>
              <w:tab/>
            </w:r>
          </w:p>
          <w:p w14:paraId="24C4483F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Readability (typeface, font size, color contrast)</w:t>
            </w:r>
            <w:r>
              <w:tab/>
            </w:r>
          </w:p>
          <w:p w14:paraId="19146DC8">
            <w:pPr>
              <w:pStyle w:val="5"/>
              <w:spacing w:after="0" w:line="360" w:lineRule="auto"/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Links labeled with anchor text</w:t>
            </w:r>
          </w:p>
          <w:p w14:paraId="3FC463C7">
            <w:pPr>
              <w:pStyle w:val="5"/>
              <w:spacing w:after="0" w:line="360" w:lineRule="auto"/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Site map</w:t>
            </w:r>
          </w:p>
        </w:tc>
        <w:tc>
          <w:tcPr>
            <w:tcW w:w="12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C34A620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N1</w:t>
            </w:r>
          </w:p>
          <w:p w14:paraId="3AD61BDA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N2</w:t>
            </w:r>
          </w:p>
          <w:p w14:paraId="42F74858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14:paraId="239F431E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N3</w:t>
            </w:r>
          </w:p>
          <w:p w14:paraId="0B930826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N4</w:t>
            </w:r>
          </w:p>
          <w:p w14:paraId="22AC4B7C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N5</w:t>
            </w:r>
          </w:p>
          <w:p w14:paraId="7E497507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N6</w:t>
            </w:r>
          </w:p>
          <w:p w14:paraId="62EBF678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14:paraId="631B7923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N7</w:t>
            </w:r>
          </w:p>
          <w:p w14:paraId="04FA1AE9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N8</w:t>
            </w:r>
          </w:p>
        </w:tc>
      </w:tr>
      <w:tr w14:paraId="2A24928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0738629">
            <w:pPr>
              <w:pStyle w:val="5"/>
              <w:spacing w:after="0" w:line="36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>III. Attractiveness</w:t>
            </w:r>
          </w:p>
        </w:tc>
        <w:tc>
          <w:tcPr>
            <w:tcW w:w="19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AEE938E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-Site is aesthetically and functionally pleasant to use</w:t>
            </w:r>
          </w:p>
          <w:p w14:paraId="5D9FA56C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-Content and design is appealing</w:t>
            </w:r>
          </w:p>
          <w:p w14:paraId="509A08C2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-User experience is positive</w:t>
            </w:r>
          </w:p>
        </w:tc>
        <w:tc>
          <w:tcPr>
            <w:tcW w:w="3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04EE33A">
            <w:pPr>
              <w:pStyle w:val="5"/>
              <w:spacing w:after="0" w:line="360" w:lineRule="auto"/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Visual Elements</w:t>
            </w:r>
          </w:p>
          <w:p w14:paraId="2D6FFF5D">
            <w:pPr>
              <w:pStyle w:val="5"/>
              <w:spacing w:after="0" w:line="360" w:lineRule="auto"/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Symmetry</w:t>
            </w:r>
          </w:p>
          <w:p w14:paraId="3CA45DB7">
            <w:pPr>
              <w:pStyle w:val="5"/>
              <w:spacing w:after="0" w:line="360" w:lineRule="auto"/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Functionality and effectiveness</w:t>
            </w:r>
          </w:p>
          <w:p w14:paraId="08AC0189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Aesthetic appeal</w:t>
            </w:r>
            <w:r>
              <w:tab/>
            </w:r>
          </w:p>
          <w:p w14:paraId="039A6633">
            <w:pPr>
              <w:pStyle w:val="5"/>
              <w:spacing w:after="0" w:line="360" w:lineRule="auto"/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Color harmony &amp; logical relation</w:t>
            </w:r>
          </w:p>
          <w:p w14:paraId="71CE025F">
            <w:pPr>
              <w:pStyle w:val="5"/>
              <w:spacing w:after="0" w:line="360" w:lineRule="auto"/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Content density (high, medium, low)</w:t>
            </w:r>
          </w:p>
        </w:tc>
        <w:tc>
          <w:tcPr>
            <w:tcW w:w="12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73DF2E5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AT1</w:t>
            </w:r>
          </w:p>
          <w:p w14:paraId="6E9C02BF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AT2</w:t>
            </w:r>
          </w:p>
          <w:p w14:paraId="72224522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AT3</w:t>
            </w:r>
          </w:p>
          <w:p w14:paraId="27C30AFC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AT4</w:t>
            </w:r>
          </w:p>
          <w:p w14:paraId="2ECAF415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AT5</w:t>
            </w:r>
          </w:p>
          <w:p w14:paraId="2A7A1FD9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AT6</w:t>
            </w:r>
          </w:p>
        </w:tc>
      </w:tr>
      <w:tr w14:paraId="1449A4C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8167AC8">
            <w:pPr>
              <w:pStyle w:val="5"/>
              <w:spacing w:after="0" w:line="36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>IV. Content Efficiency</w:t>
            </w:r>
          </w:p>
        </w:tc>
        <w:tc>
          <w:tcPr>
            <w:tcW w:w="19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1712727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-Content is informative, reliable, satisfactory, and meets criteria set to achieve specific goals</w:t>
            </w:r>
          </w:p>
          <w:p w14:paraId="1CF7F942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-Content is relevant and updated</w:t>
            </w:r>
          </w:p>
          <w:p w14:paraId="66CB7E39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-Sources are validated</w:t>
            </w:r>
          </w:p>
        </w:tc>
        <w:tc>
          <w:tcPr>
            <w:tcW w:w="3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7B6393C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Availability of information as per website’s mission</w:t>
            </w:r>
            <w:r>
              <w:tab/>
            </w:r>
            <w:r>
              <w:tab/>
            </w:r>
          </w:p>
          <w:p w14:paraId="14BE7530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Relevance of information</w:t>
            </w:r>
            <w:r>
              <w:tab/>
            </w:r>
          </w:p>
          <w:p w14:paraId="15CAD814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Frequency of updates</w:t>
            </w:r>
            <w:r>
              <w:tab/>
            </w:r>
            <w:r>
              <w:tab/>
            </w:r>
          </w:p>
          <w:p w14:paraId="21D04352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Validity of source(s)</w:t>
            </w:r>
          </w:p>
        </w:tc>
        <w:tc>
          <w:tcPr>
            <w:tcW w:w="12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B36247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CE1</w:t>
            </w:r>
          </w:p>
          <w:p w14:paraId="3EADB4A3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14:paraId="014D96DA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CE2</w:t>
            </w:r>
          </w:p>
          <w:p w14:paraId="6B30A755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CE3</w:t>
            </w:r>
          </w:p>
          <w:p w14:paraId="701FF011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CE4</w:t>
            </w:r>
          </w:p>
        </w:tc>
      </w:tr>
      <w:tr w14:paraId="7019F4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8432FA5">
            <w:pPr>
              <w:pStyle w:val="5"/>
              <w:spacing w:after="0" w:line="36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>V. Usability in Services</w:t>
            </w:r>
          </w:p>
        </w:tc>
        <w:tc>
          <w:tcPr>
            <w:tcW w:w="19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87C679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-Content can be customized to meet personal needs and preferences</w:t>
            </w:r>
          </w:p>
          <w:p w14:paraId="17D601A0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-Log in function and profile settings</w:t>
            </w:r>
          </w:p>
          <w:p w14:paraId="08091FBC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-Contact information easily available</w:t>
            </w:r>
          </w:p>
          <w:p w14:paraId="61132325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-Downloadable mobile/tablet app</w:t>
            </w:r>
          </w:p>
        </w:tc>
        <w:tc>
          <w:tcPr>
            <w:tcW w:w="3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3836F5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Personalization</w:t>
            </w:r>
            <w:r>
              <w:tab/>
            </w:r>
            <w:r>
              <w:tab/>
            </w:r>
          </w:p>
          <w:p w14:paraId="25A119CA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User profile and settings option</w:t>
            </w:r>
          </w:p>
          <w:p w14:paraId="30672A7C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Search option</w:t>
            </w:r>
            <w:r>
              <w:tab/>
            </w:r>
            <w:r>
              <w:tab/>
            </w:r>
            <w:r>
              <w:tab/>
            </w:r>
          </w:p>
          <w:p w14:paraId="00D59132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Contact information</w:t>
            </w:r>
            <w:r>
              <w:tab/>
            </w:r>
            <w:r>
              <w:tab/>
            </w:r>
          </w:p>
          <w:p w14:paraId="1C2FDCD8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Mobile accessibility</w:t>
            </w:r>
            <w:r>
              <w:tab/>
            </w:r>
          </w:p>
        </w:tc>
        <w:tc>
          <w:tcPr>
            <w:tcW w:w="12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8B8DC4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U1</w:t>
            </w:r>
          </w:p>
          <w:p w14:paraId="6CA5ABC1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U2</w:t>
            </w:r>
          </w:p>
          <w:p w14:paraId="610A9E13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U3</w:t>
            </w:r>
          </w:p>
          <w:p w14:paraId="2E1FA461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U4</w:t>
            </w:r>
          </w:p>
          <w:p w14:paraId="0EF1DF8E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U5</w:t>
            </w:r>
          </w:p>
        </w:tc>
      </w:tr>
      <w:tr w14:paraId="2F021D6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EC76DE9">
            <w:pPr>
              <w:pStyle w:val="5"/>
              <w:spacing w:after="0" w:line="36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>VI. Enhanced User Experience</w:t>
            </w:r>
          </w:p>
        </w:tc>
        <w:tc>
          <w:tcPr>
            <w:tcW w:w="19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D04F66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Interactive tools used to accommodate user’s needs and facilitate communication with organization</w:t>
            </w:r>
          </w:p>
        </w:tc>
        <w:tc>
          <w:tcPr>
            <w:tcW w:w="3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82C808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FAQ section</w:t>
            </w:r>
            <w:r>
              <w:tab/>
            </w:r>
            <w:r>
              <w:tab/>
            </w:r>
            <w:r>
              <w:tab/>
            </w:r>
          </w:p>
          <w:p w14:paraId="0940BBCB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Contact form</w:t>
            </w:r>
            <w:r>
              <w:tab/>
            </w:r>
            <w:r>
              <w:tab/>
            </w:r>
            <w:r>
              <w:tab/>
            </w:r>
          </w:p>
          <w:p w14:paraId="137108E8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Comment box</w:t>
            </w:r>
            <w:r>
              <w:tab/>
            </w:r>
            <w:r>
              <w:tab/>
            </w:r>
            <w:r>
              <w:tab/>
            </w:r>
          </w:p>
          <w:p w14:paraId="726F5B8F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Online forum</w:t>
            </w:r>
            <w:r>
              <w:tab/>
            </w:r>
            <w:r>
              <w:tab/>
            </w:r>
            <w:r>
              <w:tab/>
            </w:r>
          </w:p>
          <w:p w14:paraId="35186E64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Chat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054FCC79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Blog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20E01141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Evaluation form</w:t>
            </w:r>
            <w:r>
              <w:tab/>
            </w:r>
            <w:r>
              <w:tab/>
            </w:r>
          </w:p>
        </w:tc>
        <w:tc>
          <w:tcPr>
            <w:tcW w:w="12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3FE9871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E1</w:t>
            </w:r>
          </w:p>
          <w:p w14:paraId="0E3BE5A1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E2</w:t>
            </w:r>
          </w:p>
          <w:p w14:paraId="2FD6BF93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E3</w:t>
            </w:r>
          </w:p>
          <w:p w14:paraId="3EC41BD6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E4</w:t>
            </w:r>
          </w:p>
          <w:p w14:paraId="5844CE90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E5</w:t>
            </w:r>
          </w:p>
          <w:p w14:paraId="5E6924D2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E6</w:t>
            </w:r>
          </w:p>
          <w:p w14:paraId="02B68467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E7</w:t>
            </w:r>
          </w:p>
        </w:tc>
      </w:tr>
      <w:tr w14:paraId="33B4C8B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F2F359C">
            <w:pPr>
              <w:pStyle w:val="5"/>
              <w:spacing w:after="0" w:line="36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>VII. Openness and Utility Value</w:t>
            </w:r>
          </w:p>
        </w:tc>
        <w:tc>
          <w:tcPr>
            <w:tcW w:w="19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128AB2A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Platforms for sharing content</w:t>
            </w:r>
          </w:p>
        </w:tc>
        <w:tc>
          <w:tcPr>
            <w:tcW w:w="3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03B5016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Share content function</w:t>
            </w:r>
            <w:r>
              <w:tab/>
            </w:r>
          </w:p>
          <w:p w14:paraId="1E7C3010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RSS-feed</w:t>
            </w:r>
            <w:r>
              <w:tab/>
            </w:r>
            <w:r>
              <w:tab/>
            </w:r>
            <w:r>
              <w:tab/>
            </w:r>
          </w:p>
          <w:p w14:paraId="1D4CA803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Social Media accounts</w:t>
            </w:r>
            <w:r>
              <w:tab/>
            </w:r>
          </w:p>
          <w:p w14:paraId="20D63889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Newsletter subscription</w:t>
            </w:r>
          </w:p>
        </w:tc>
        <w:tc>
          <w:tcPr>
            <w:tcW w:w="12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C242D2F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OU1</w:t>
            </w:r>
          </w:p>
          <w:p w14:paraId="401C8E27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OU2</w:t>
            </w:r>
          </w:p>
          <w:p w14:paraId="15B038F4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OU3</w:t>
            </w:r>
          </w:p>
          <w:p w14:paraId="24859513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OU4</w:t>
            </w:r>
          </w:p>
        </w:tc>
      </w:tr>
      <w:tr w14:paraId="7A607927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98564B5">
            <w:pPr>
              <w:pStyle w:val="5"/>
              <w:spacing w:after="0" w:line="36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>VIII. Language Option</w:t>
            </w:r>
          </w:p>
        </w:tc>
        <w:tc>
          <w:tcPr>
            <w:tcW w:w="19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D754520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Selection of language</w:t>
            </w:r>
          </w:p>
        </w:tc>
        <w:tc>
          <w:tcPr>
            <w:tcW w:w="3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26E9C082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Greek only</w:t>
            </w:r>
            <w:r>
              <w:tab/>
            </w:r>
            <w:r>
              <w:tab/>
            </w:r>
            <w:r>
              <w:tab/>
            </w:r>
          </w:p>
          <w:p w14:paraId="708AF392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Greek and English</w:t>
            </w:r>
            <w:r>
              <w:tab/>
            </w:r>
            <w:r>
              <w:tab/>
            </w:r>
          </w:p>
          <w:p w14:paraId="1DAF18A9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Greek, English plus other languages</w:t>
            </w:r>
          </w:p>
        </w:tc>
        <w:tc>
          <w:tcPr>
            <w:tcW w:w="12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81FC22B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L1</w:t>
            </w:r>
          </w:p>
          <w:p w14:paraId="6CE26EC4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L2</w:t>
            </w:r>
          </w:p>
          <w:p w14:paraId="45C0393B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L3</w:t>
            </w:r>
          </w:p>
        </w:tc>
      </w:tr>
      <w:tr w14:paraId="4874632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214BC82">
            <w:pPr>
              <w:pStyle w:val="5"/>
              <w:spacing w:after="0" w:line="36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>IX. Legitimization and citizenship</w:t>
            </w:r>
          </w:p>
        </w:tc>
        <w:tc>
          <w:tcPr>
            <w:tcW w:w="19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090C46E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-Website manifests corporate identity</w:t>
            </w:r>
          </w:p>
          <w:p w14:paraId="5CCC9DCE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-Displays power structure with prominence of logos &amp; credentials.</w:t>
            </w:r>
          </w:p>
          <w:p w14:paraId="30CECC9E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-Promotes legal compliance through disclaimers, terms &amp; conditions and cookies disclosure</w:t>
            </w:r>
          </w:p>
          <w:p w14:paraId="088C88A4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-Corporate citizenship manifested by CSR section</w:t>
            </w:r>
          </w:p>
        </w:tc>
        <w:tc>
          <w:tcPr>
            <w:tcW w:w="3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62BABF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Logo prominence</w:t>
            </w:r>
            <w:r>
              <w:tab/>
            </w:r>
            <w:r>
              <w:tab/>
            </w:r>
          </w:p>
          <w:p w14:paraId="70A2E995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Certification, credentials, awards</w:t>
            </w:r>
          </w:p>
          <w:p w14:paraId="34E7DBCF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CSR section</w:t>
            </w:r>
            <w:r>
              <w:tab/>
            </w:r>
            <w:r>
              <w:tab/>
            </w:r>
            <w:r>
              <w:tab/>
            </w:r>
          </w:p>
          <w:p w14:paraId="3DE87695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Privacy Policy</w:t>
            </w:r>
            <w:r>
              <w:tab/>
            </w:r>
            <w:r>
              <w:tab/>
            </w:r>
            <w:r>
              <w:tab/>
            </w:r>
          </w:p>
          <w:p w14:paraId="1A19F890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Cookies disclosure</w:t>
            </w:r>
            <w:r>
              <w:tab/>
            </w:r>
            <w:r>
              <w:tab/>
            </w:r>
          </w:p>
          <w:p w14:paraId="71617C42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Terms of use</w:t>
            </w:r>
          </w:p>
        </w:tc>
        <w:tc>
          <w:tcPr>
            <w:tcW w:w="12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93C1313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LC1</w:t>
            </w:r>
          </w:p>
          <w:p w14:paraId="5FEA4C9C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LC2</w:t>
            </w:r>
          </w:p>
          <w:p w14:paraId="582D4C46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LC3</w:t>
            </w:r>
          </w:p>
          <w:p w14:paraId="4BAF5E26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LC4</w:t>
            </w:r>
          </w:p>
          <w:p w14:paraId="3AC87F86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LC5</w:t>
            </w:r>
          </w:p>
          <w:p w14:paraId="38D11737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LC6</w:t>
            </w:r>
          </w:p>
        </w:tc>
      </w:tr>
      <w:tr w14:paraId="484EE98B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40CEEFE">
            <w:pPr>
              <w:pStyle w:val="5"/>
              <w:spacing w:after="0" w:line="36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>X. Structure</w:t>
            </w:r>
          </w:p>
        </w:tc>
        <w:tc>
          <w:tcPr>
            <w:tcW w:w="19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F394A9B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-Power Distance and Uncertainty Avoidance indicators reflected</w:t>
            </w:r>
          </w:p>
          <w:p w14:paraId="03F00F54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14:paraId="2B88B619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-High context and low context cultural values lie behind structure choices</w:t>
            </w:r>
          </w:p>
        </w:tc>
        <w:tc>
          <w:tcPr>
            <w:tcW w:w="3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6BEB9D8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Vertical, deep</w:t>
            </w:r>
            <w:r>
              <w:tab/>
            </w:r>
            <w:r>
              <w:tab/>
            </w:r>
            <w:r>
              <w:tab/>
            </w:r>
          </w:p>
          <w:p w14:paraId="016C89E9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Horizontal, shallow</w:t>
            </w:r>
            <w:r>
              <w:tab/>
            </w:r>
          </w:p>
          <w:p w14:paraId="03A168C4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Navigation bar</w:t>
            </w:r>
          </w:p>
          <w:p w14:paraId="538FB787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Header and/or footer</w:t>
            </w:r>
            <w:r>
              <w:tab/>
            </w:r>
            <w:r>
              <w:tab/>
            </w:r>
          </w:p>
          <w:p w14:paraId="4B80A40A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Side bars</w:t>
            </w:r>
            <w:r>
              <w:tab/>
            </w:r>
            <w:r>
              <w:tab/>
            </w:r>
            <w:r>
              <w:tab/>
            </w:r>
          </w:p>
          <w:p w14:paraId="2121DFFD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Dropdown menus</w:t>
            </w:r>
            <w:r>
              <w:tab/>
            </w:r>
            <w:r>
              <w:tab/>
            </w:r>
          </w:p>
          <w:p w14:paraId="2B9AA3E9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Out links</w:t>
            </w:r>
            <w:r>
              <w:tab/>
            </w:r>
          </w:p>
        </w:tc>
        <w:tc>
          <w:tcPr>
            <w:tcW w:w="12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2700278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S1</w:t>
            </w:r>
          </w:p>
          <w:p w14:paraId="2D809EDE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S2</w:t>
            </w:r>
          </w:p>
          <w:p w14:paraId="608128EA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S3</w:t>
            </w:r>
          </w:p>
          <w:p w14:paraId="10AEFB98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S4</w:t>
            </w:r>
          </w:p>
          <w:p w14:paraId="25530498">
            <w:pPr>
              <w:pStyle w:val="5"/>
              <w:spacing w:after="0" w:line="360" w:lineRule="auto"/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S5</w:t>
            </w:r>
          </w:p>
          <w:p w14:paraId="7F5F6801">
            <w:pPr>
              <w:pStyle w:val="5"/>
              <w:spacing w:after="0" w:line="360" w:lineRule="auto"/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S6</w:t>
            </w:r>
          </w:p>
          <w:p w14:paraId="23F6A61A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S7</w:t>
            </w:r>
          </w:p>
        </w:tc>
      </w:tr>
      <w:tr w14:paraId="78CF6C09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166258E2">
            <w:pPr>
              <w:pStyle w:val="5"/>
              <w:spacing w:after="0" w:line="36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>XI. Design and Layout</w:t>
            </w:r>
          </w:p>
        </w:tc>
        <w:tc>
          <w:tcPr>
            <w:tcW w:w="19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55F89258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Use of elements that correspond to needs and preferences of specific audiences that share common status, needs, values and lifestyles or professional capacity</w:t>
            </w:r>
          </w:p>
        </w:tc>
        <w:tc>
          <w:tcPr>
            <w:tcW w:w="3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3C13154F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Size at 100% zoom level:</w:t>
            </w:r>
          </w:p>
          <w:p w14:paraId="06603338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Large, Medium, Small</w:t>
            </w:r>
            <w:r>
              <w:tab/>
            </w:r>
          </w:p>
          <w:p w14:paraId="26D09713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Vivid Colors</w:t>
            </w:r>
            <w:r>
              <w:tab/>
            </w:r>
          </w:p>
          <w:p w14:paraId="2B4089C6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Pictures (specify)</w:t>
            </w:r>
          </w:p>
          <w:p w14:paraId="65F22A8C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Groups, single people, no people</w:t>
            </w:r>
          </w:p>
          <w:p w14:paraId="165730DA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Sounds</w:t>
            </w:r>
            <w:r>
              <w:tab/>
            </w:r>
            <w:r>
              <w:tab/>
            </w:r>
            <w:r>
              <w:tab/>
            </w:r>
            <w:r>
              <w:tab/>
            </w:r>
          </w:p>
          <w:p w14:paraId="29F9D591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Animation, video</w:t>
            </w:r>
            <w:r>
              <w:tab/>
            </w:r>
            <w:r>
              <w:tab/>
            </w:r>
          </w:p>
          <w:p w14:paraId="682EDBDC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Textual content prominence</w:t>
            </w:r>
            <w:r>
              <w:tab/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Audiovisual content prominence</w:t>
            </w:r>
          </w:p>
        </w:tc>
        <w:tc>
          <w:tcPr>
            <w:tcW w:w="12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EC5BB51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14:paraId="45550F86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D1</w:t>
            </w:r>
          </w:p>
          <w:p w14:paraId="521BB6FA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D2</w:t>
            </w:r>
          </w:p>
          <w:p w14:paraId="2D3066C4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D3</w:t>
            </w:r>
          </w:p>
          <w:p w14:paraId="091E9CBD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D4</w:t>
            </w:r>
          </w:p>
          <w:p w14:paraId="37568BC6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D5</w:t>
            </w:r>
          </w:p>
          <w:p w14:paraId="55125511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D6</w:t>
            </w:r>
          </w:p>
          <w:p w14:paraId="45407E98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D7</w:t>
            </w:r>
          </w:p>
          <w:p w14:paraId="3B564CDC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D8</w:t>
            </w:r>
          </w:p>
        </w:tc>
      </w:tr>
      <w:tr w14:paraId="25A96FAA">
        <w:tblPrEx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2122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4870867C">
            <w:pPr>
              <w:pStyle w:val="5"/>
              <w:spacing w:after="0" w:line="360" w:lineRule="auto"/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>XII. Integrated Tourism Services</w:t>
            </w:r>
          </w:p>
          <w:p w14:paraId="1FE42E92">
            <w:pPr>
              <w:pStyle w:val="5"/>
              <w:spacing w:after="0" w:line="360" w:lineRule="auto"/>
              <w:rPr>
                <w:rFonts w:ascii="Times New Roman" w:hAnsi="Times New Roman" w:eastAsia="Times New Roman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>(only for regional websites)</w:t>
            </w:r>
          </w:p>
        </w:tc>
        <w:tc>
          <w:tcPr>
            <w:tcW w:w="1983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0FDB639E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Existence or absence of webpage, section or   on local tourism</w:t>
            </w:r>
          </w:p>
        </w:tc>
        <w:tc>
          <w:tcPr>
            <w:tcW w:w="3258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6E89704C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Individual content page for tourism &amp; hospitality</w:t>
            </w:r>
            <w:r>
              <w:tab/>
            </w:r>
          </w:p>
          <w:p w14:paraId="29A613E3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If </w:t>
            </w:r>
            <w:r>
              <w:rPr>
                <w:rFonts w:ascii="Times New Roman" w:hAnsi="Times New Roman" w:eastAsia="Times New Roman"/>
                <w:b/>
                <w:bCs/>
                <w:sz w:val="24"/>
                <w:szCs w:val="24"/>
              </w:rPr>
              <w:t>(a)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option marked, indicate depth of location:</w:t>
            </w:r>
          </w:p>
          <w:p w14:paraId="6355C41A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14:paraId="6C511513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Home page</w:t>
            </w:r>
          </w:p>
          <w:p w14:paraId="7DA26EDD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Single layer below home page</w:t>
            </w:r>
          </w:p>
          <w:p w14:paraId="5B8402F4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Or</w:t>
            </w:r>
          </w:p>
          <w:p w14:paraId="2192017A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Below more than one submenu</w:t>
            </w:r>
          </w:p>
          <w:p w14:paraId="794F647B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-Promotion of local tourism product</w:t>
            </w:r>
            <w:r>
              <w:tab/>
            </w:r>
            <w:r>
              <w:tab/>
            </w:r>
            <w:r>
              <w:tab/>
            </w:r>
          </w:p>
          <w:p w14:paraId="18CC6824">
            <w:pPr>
              <w:pStyle w:val="5"/>
              <w:spacing w:after="0" w:line="360" w:lineRule="auto"/>
              <w:rPr>
                <w:rFonts w:ascii="Times New Roman" w:hAnsi="Times New Roman" w:eastAsia="Times New Roman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-Out links to other tourism websites</w:t>
            </w:r>
            <w:r>
              <w:tab/>
            </w:r>
            <w:r>
              <w:tab/>
            </w:r>
            <w:r>
              <w:tab/>
            </w:r>
          </w:p>
        </w:tc>
        <w:tc>
          <w:tcPr>
            <w:tcW w:w="1279" w:type="dxa"/>
            <w:tcBorders>
              <w:top w:val="single" w:color="00000A" w:sz="4" w:space="0"/>
              <w:left w:val="single" w:color="00000A" w:sz="4" w:space="0"/>
              <w:bottom w:val="single" w:color="00000A" w:sz="4" w:space="0"/>
              <w:right w:val="single" w:color="00000A" w:sz="4" w:space="0"/>
            </w:tcBorders>
            <w:shd w:val="clear" w:color="auto" w:fill="FFFFFF" w:themeFill="background1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4C3F708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TS1</w:t>
            </w:r>
          </w:p>
          <w:p w14:paraId="1CE8D276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14:paraId="2ADEC9B7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14:paraId="3FED4AF2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14:paraId="0D60FB1C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14:paraId="54C03330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TS2</w:t>
            </w:r>
          </w:p>
          <w:p w14:paraId="6C7895CC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TS3</w:t>
            </w:r>
          </w:p>
          <w:p w14:paraId="69179962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14:paraId="6BCC3FE5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TS4</w:t>
            </w:r>
          </w:p>
          <w:p w14:paraId="15BC1D8B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TS5</w:t>
            </w:r>
          </w:p>
          <w:p w14:paraId="6CC61FF5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</w:p>
          <w:p w14:paraId="07C4D844">
            <w:pPr>
              <w:pStyle w:val="5"/>
              <w:spacing w:after="0" w:line="360" w:lineRule="auto"/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>TS6</w:t>
            </w:r>
          </w:p>
        </w:tc>
      </w:tr>
    </w:tbl>
    <w:p w14:paraId="4F178BCB">
      <w:pPr>
        <w:pStyle w:val="5"/>
        <w:spacing w:line="360" w:lineRule="auto"/>
        <w:rPr>
          <w:rFonts w:ascii="Times New Roman" w:hAnsi="Times New Roman" w:eastAsia="Times New Roman"/>
        </w:rPr>
      </w:pPr>
    </w:p>
    <w:p w14:paraId="5D38A47B">
      <w:pPr>
        <w:spacing w:line="360" w:lineRule="auto"/>
        <w:rPr>
          <w:rFonts w:ascii="Times New Roman" w:hAnsi="Times New Roman" w:eastAsia="Times New Roman"/>
          <w:lang w:val="en-US" w:eastAsia="en-US"/>
        </w:rPr>
        <w:sectPr>
          <w:footerReference r:id="rId3" w:type="default"/>
          <w:footerReference r:id="rId4" w:type="even"/>
          <w:pgSz w:w="11906" w:h="16838"/>
          <w:pgMar w:top="1440" w:right="1800" w:bottom="1440" w:left="1800" w:header="708" w:footer="708" w:gutter="0"/>
          <w:cols w:space="720" w:num="1"/>
        </w:sectPr>
      </w:pPr>
    </w:p>
    <w:p w14:paraId="35142420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2093847941"/>
      <w:docPartObj>
        <w:docPartGallery w:val="autotext"/>
      </w:docPartObj>
    </w:sdtPr>
    <w:sdtContent>
      <w:p w14:paraId="12532088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E355934"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08033199"/>
      <w:docPartObj>
        <w:docPartGallery w:val="autotext"/>
      </w:docPartObj>
    </w:sdtPr>
    <w:sdtContent>
      <w:p w14:paraId="698DE46D"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3F48639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9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5051B3"/>
    <w:rsid w:val="795051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uppressAutoHyphens/>
      <w:autoSpaceDN w:val="0"/>
      <w:textAlignment w:val="baseline"/>
    </w:pPr>
    <w:rPr>
      <w:rFonts w:ascii="Calibri" w:hAnsi="Calibri" w:eastAsia="Calibri" w:cs="Times New Roman"/>
      <w:kern w:val="3"/>
      <w:sz w:val="22"/>
      <w:szCs w:val="22"/>
      <w:lang w:val="it-IT" w:eastAsia="it-IT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5"/>
    <w:qFormat/>
    <w:uiPriority w:val="99"/>
    <w:pPr>
      <w:suppressLineNumbers/>
      <w:tabs>
        <w:tab w:val="center" w:pos="4680"/>
        <w:tab w:val="right" w:pos="9360"/>
      </w:tabs>
      <w:spacing w:after="0" w:line="240" w:lineRule="auto"/>
    </w:pPr>
  </w:style>
  <w:style w:type="paragraph" w:customStyle="1" w:styleId="5">
    <w:name w:val="Standard"/>
    <w:qFormat/>
    <w:uiPriority w:val="0"/>
    <w:pPr>
      <w:widowControl/>
      <w:suppressAutoHyphens/>
      <w:autoSpaceDN w:val="0"/>
      <w:spacing w:after="160" w:line="242" w:lineRule="auto"/>
      <w:textAlignment w:val="baseline"/>
    </w:pPr>
    <w:rPr>
      <w:rFonts w:ascii="Calibri" w:hAnsi="Calibri" w:eastAsia="Calibri" w:cs="Times New Roman"/>
      <w:kern w:val="3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Office_12.2.0.21931_F1E327BC-269C-435d-A152-05C5408002CA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2025-07-22T06:21:00Z</dcterms:created>
  <dc:creator>Shiney Precilla</dc:creator>
  <cp:lastModifiedBy>Shiney Precilla</cp:lastModifiedBy>
  <dcterms:modified xsi:type="dcterms:W3CDTF">2025-07-22T06:21:18Z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FCC22CD1C41048F5B95E526949CDBED4_11</vt:lpwstr>
  </property>
</Properties>
</file>