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8C64" w14:textId="77777777" w:rsidR="001C53EB" w:rsidRPr="008F7CC3" w:rsidRDefault="008F7CC3">
      <w:pPr>
        <w:pStyle w:val="Ttulo1"/>
        <w:ind w:left="708" w:hanging="708"/>
        <w:rPr>
          <w:rFonts w:ascii="Calibri" w:eastAsia="Calibri" w:hAnsi="Calibri" w:cs="Calibri"/>
        </w:rPr>
      </w:pPr>
      <w:bookmarkStart w:id="0" w:name="_heading=h.1op6sb5bhqyo" w:colFirst="0" w:colLast="0"/>
      <w:bookmarkEnd w:id="0"/>
      <w:r w:rsidRPr="008F7CC3">
        <w:rPr>
          <w:rFonts w:ascii="Calibri" w:eastAsia="Calibri" w:hAnsi="Calibri" w:cs="Calibri"/>
        </w:rPr>
        <w:t>Supplementary Data - Appendix A: literature analysis</w:t>
      </w:r>
    </w:p>
    <w:p w14:paraId="0F02A608" w14:textId="77777777" w:rsidR="001C53EB" w:rsidRPr="008F7CC3" w:rsidRDefault="008F7CC3">
      <w:pPr>
        <w:ind w:right="-30"/>
        <w:rPr>
          <w:rFonts w:ascii="Calibri" w:eastAsia="Calibri" w:hAnsi="Calibri" w:cs="Calibri"/>
          <w:b/>
          <w:bCs/>
        </w:rPr>
      </w:pPr>
      <w:r w:rsidRPr="008F7CC3">
        <w:rPr>
          <w:rFonts w:ascii="Calibri" w:eastAsia="Calibri" w:hAnsi="Calibri" w:cs="Calibri"/>
          <w:b/>
          <w:bCs/>
        </w:rPr>
        <w:t xml:space="preserve">Literature analysis on HCD capability development: list </w:t>
      </w:r>
      <w:r w:rsidRPr="008F7CC3">
        <w:rPr>
          <w:rFonts w:ascii="Calibri" w:eastAsia="Calibri" w:hAnsi="Calibri" w:cs="Calibri"/>
          <w:b/>
          <w:bCs/>
        </w:rPr>
        <w:t xml:space="preserve">of the selected literature and </w:t>
      </w:r>
      <w:r w:rsidRPr="008F7CC3">
        <w:rPr>
          <w:rFonts w:ascii="Calibri" w:eastAsia="Calibri" w:hAnsi="Calibri" w:cs="Calibri"/>
          <w:b/>
          <w:bCs/>
        </w:rPr>
        <w:t>sub-themes.</w:t>
      </w:r>
      <w:r w:rsidRPr="008F7CC3">
        <w:rPr>
          <w:rFonts w:ascii="Calibri" w:eastAsia="Calibri" w:hAnsi="Calibri" w:cs="Calibri"/>
          <w:b/>
          <w:bCs/>
        </w:rPr>
        <w:t xml:space="preserve"> The code * indicates if the article</w:t>
      </w:r>
      <w:r w:rsidRPr="008F7CC3">
        <w:rPr>
          <w:rFonts w:ascii="Calibri" w:eastAsia="Calibri" w:hAnsi="Calibri" w:cs="Calibri"/>
          <w:b/>
          <w:bCs/>
          <w:color w:val="1F1F1F"/>
          <w:sz w:val="42"/>
          <w:szCs w:val="42"/>
        </w:rPr>
        <w:t xml:space="preserve"> </w:t>
      </w:r>
      <w:r w:rsidRPr="008F7CC3">
        <w:rPr>
          <w:rFonts w:ascii="Calibri" w:eastAsia="Calibri" w:hAnsi="Calibri" w:cs="Calibri"/>
          <w:b/>
          <w:bCs/>
        </w:rPr>
        <w:t xml:space="preserve">discusses the </w:t>
      </w:r>
      <w:r w:rsidRPr="008F7CC3">
        <w:rPr>
          <w:rFonts w:ascii="Calibri" w:eastAsia="Calibri" w:hAnsi="Calibri" w:cs="Calibri"/>
          <w:b/>
          <w:bCs/>
        </w:rPr>
        <w:t>sub-theme.</w:t>
      </w:r>
    </w:p>
    <w:tbl>
      <w:tblPr>
        <w:tblStyle w:val="a"/>
        <w:tblW w:w="13178" w:type="dxa"/>
        <w:jc w:val="center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3"/>
        <w:gridCol w:w="1416"/>
        <w:gridCol w:w="1416"/>
        <w:gridCol w:w="993"/>
        <w:gridCol w:w="1275"/>
        <w:gridCol w:w="1276"/>
        <w:gridCol w:w="1559"/>
        <w:gridCol w:w="1276"/>
        <w:gridCol w:w="1134"/>
      </w:tblGrid>
      <w:tr w:rsidR="001C53EB" w:rsidRPr="008F7CC3" w14:paraId="03928DAC" w14:textId="77777777">
        <w:trPr>
          <w:cantSplit/>
          <w:trHeight w:val="497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A8423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Articles</w:t>
            </w:r>
          </w:p>
        </w:tc>
        <w:tc>
          <w:tcPr>
            <w:tcW w:w="1034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022D5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Sub-themes</w:t>
            </w:r>
          </w:p>
        </w:tc>
      </w:tr>
      <w:tr w:rsidR="001C53EB" w:rsidRPr="008F7CC3" w14:paraId="021B2E42" w14:textId="77777777">
        <w:trPr>
          <w:cantSplit/>
          <w:trHeight w:val="1489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51A6E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bookmarkStart w:id="1" w:name="_heading=h.b5hzob6u5fdo" w:colFirst="0" w:colLast="0"/>
            <w:bookmarkEnd w:id="1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C8DD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Organisational Conditions and Culture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B15A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Environmental Drivers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979C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Process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0F12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Implications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F36C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Barriers and Enablers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6896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Management Tools and Models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204F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Individuals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55BA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8F7CC3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Training</w:t>
            </w:r>
          </w:p>
        </w:tc>
      </w:tr>
      <w:tr w:rsidR="001C53EB" w:rsidRPr="008F7CC3" w14:paraId="6C74F514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A39B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Acklin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2010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ED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4EB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B71D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F0C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4B4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7B66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A92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288B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2751C20E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AFD7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Acklin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2013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AD28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AD75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3DFB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A21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9E73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7D0B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DFA7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F14E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2E014CE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E485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Beckman &amp; Barry, 2007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AD0E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C315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CA14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40B1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B4E1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EF02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05D1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103E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61DBFE78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AF2C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Björklund et al., 2020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0DB9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5102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8F83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7263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26D8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30C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B20B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427E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72D5088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E1FD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Björklund et al., 2025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8DB5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4719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5F8B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4001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44A6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6EEF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95CC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843C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781974EE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75B6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Brinkman et al., 2023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B659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67CB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B97B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7ADB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FC00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602F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C897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3261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BC38BFF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7C53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Buchanan, 2015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5F1C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A13F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E054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CBD3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3098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2065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B1B1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A351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5334E6CC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E8AF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Cai et al., 2023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694C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743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88CD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F0D2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8B29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721E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C110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6144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ABFEF54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6F56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Carlgren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2014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058D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CF85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FD8F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3D19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BDDA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4178E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8770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B3C9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2A955AFE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D432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Carlgren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2016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2C1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A60A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AB3EC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522A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E2F5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9EC1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270D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FBD1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39569F7D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09AF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Chen &amp; </w:t>
            </w:r>
            <w:r w:rsidRPr="008F7CC3">
              <w:rPr>
                <w:rFonts w:ascii="Calibri" w:eastAsia="Calibri" w:hAnsi="Calibri" w:cs="Calibri"/>
                <w:sz w:val="20"/>
                <w:szCs w:val="20"/>
              </w:rPr>
              <w:t xml:space="preserve">Venkatesh, </w:t>
            </w: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82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3544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53D2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6CED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DC4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94C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ECD1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EB37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17687BAA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1430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Crişan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2017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5E58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3081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94B7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1059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091A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1848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6BB8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4637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57EB77F5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CDB6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Dorst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2011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A1CE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3372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8F6B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CBE7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2BC3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C12B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6531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F639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0F13BCCD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5DA6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Dunne, 2018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7960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4504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7BE2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6E31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2CC2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01752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B5C0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5B3E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621ABEE9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EBF1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Elsbach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Stigliani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2018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4CAA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FAD4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7859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DA57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0858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EEBE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CB35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7FF52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335F3022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ACD7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Iriarte et al., 2017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9C38C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F9FD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4982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D28B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EEE0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F948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2129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F843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177B503E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6442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Jaskyte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Lietka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2022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1175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8F43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CCD4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AEBB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832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F6D8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9AA8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F2E9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3370848E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217E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Junginger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2015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B569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6249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69C1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F9D5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3CAC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7FD2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7A37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73EC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3E35009E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A05C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sz w:val="18"/>
                <w:szCs w:val="18"/>
              </w:rPr>
              <w:t>Karpen</w:t>
            </w:r>
            <w:proofErr w:type="spellEnd"/>
            <w:r w:rsidRPr="008F7CC3">
              <w:rPr>
                <w:rFonts w:ascii="Calibri" w:eastAsia="Calibri" w:hAnsi="Calibri" w:cs="Calibri"/>
                <w:sz w:val="18"/>
                <w:szCs w:val="18"/>
              </w:rPr>
              <w:t xml:space="preserve"> et al., 2017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C034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7656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9344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81D5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9F19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4F72E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B7FB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E9D4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4B44F48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573F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Kurtmollaiev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Fjuk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et al., 2018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F421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676D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B03A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90CA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8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AE582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7F2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297C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0BA13EBF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24F4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Kurtmollaiev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Pedersen, et al., 2018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833A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1835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8E1D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D069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3AB8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707A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D1CF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DBEE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7DBFAABD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0D9E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Landoni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2016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4A62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6C5D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182C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20D4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4AE4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F47F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99F7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7309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60EC2A75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61EA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Legarda et al., 2021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3C32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306D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92A4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717D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B7D1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A7BE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F13C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64CC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1C34CC07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5C53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Magalhaes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2018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C93D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19C4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4B6C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463C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BCA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754EC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1C94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3D08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11A9E46E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3E65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Magistretti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2021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92BA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C12B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6ABAE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50AD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E227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CFDD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29CA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1CA4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6178D726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D135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Magistretti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2023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B15F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5A0A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037C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8875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DCBD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27EE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C394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EBB0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37B64FC4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2B91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Mahmoud-</w:t>
            </w: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Jouini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2016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2F9C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5F68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76B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9B32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B2D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7E44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E38C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5568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7D41784F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EE54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sz w:val="18"/>
                <w:szCs w:val="18"/>
              </w:rPr>
              <w:t>Martinkenaite</w:t>
            </w:r>
            <w:proofErr w:type="spellEnd"/>
            <w:r w:rsidRPr="008F7CC3">
              <w:rPr>
                <w:rFonts w:ascii="Calibri" w:eastAsia="Calibri" w:hAnsi="Calibri" w:cs="Calibri"/>
                <w:sz w:val="18"/>
                <w:szCs w:val="18"/>
              </w:rPr>
              <w:t xml:space="preserve"> et al., 2027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F7F5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3C65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D3D9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B99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0C96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C2B1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D2E8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EB48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5E276923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6EE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Micheli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865A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10B1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4480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B1A7D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41C3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BCFB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C4F8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318B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335D2D3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942F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Muratovski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2015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A38F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77F7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2EE0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3241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B74A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5C66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A916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83D5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527F8C92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5C68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Mutanen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2008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667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D9DE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F7A0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8AFC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CA50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41D2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EC40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2DAC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5FBB3AD2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0ACE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Nandan et al., 2020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6216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BBC6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7289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D762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AD10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27E3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1016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FF58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4037328F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C710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Nusem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2017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8816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9ACF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DDB1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C081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FD77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9BA0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2C1E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4FA6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054F2E31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B7C6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Nusem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2019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151B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7C2F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EC15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BF10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9C1C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CBAC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62DF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D8BF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72E9EE67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BCEC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Price et al., 2021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7FB2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C2CF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4DE7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8191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712E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CB42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7472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0AD0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5071A0A7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ED1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Rauth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2014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4499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776A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FADD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E2F9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5473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9F72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A60E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4C62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4410FE0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CF72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Ravanello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FD1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6389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6A4C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CF4B2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4565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0FCE2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2233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D1EBE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2E24A003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AEEB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Sahakian &amp; Mahmoud-</w:t>
            </w: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Jouini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2023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4193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7A10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8774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4EFC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F915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78D9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FFC1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6486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5B7058E3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B71F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Sipe, 2020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F4F7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806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349D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45CB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6181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655D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7D0C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13A8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66879D00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ED9C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Snyder et al., 2018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E37C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F0A1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3D7D2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B729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83339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1CAE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0E3E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4817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62B20B73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F030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Storvang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2014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52C2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C3FA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358FC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9C1E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03BE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187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400DE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222E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34F3023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E2D9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Vetterli</w:t>
            </w:r>
            <w:proofErr w:type="spellEnd"/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et al., 2016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6F802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52086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D663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6DB9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21B2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75F1D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88FC3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FF67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C53EB" w:rsidRPr="008F7CC3" w14:paraId="4C067418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680B0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Wrigley, 2016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3AED6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72BD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9F11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296E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3374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CEDE5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F4621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234F4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</w:tr>
      <w:tr w:rsidR="001C53EB" w:rsidRPr="008F7CC3" w14:paraId="6FBD1592" w14:textId="77777777">
        <w:trPr>
          <w:trHeight w:val="340"/>
          <w:jc w:val="center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0956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Wrigley et al., 2020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19F8F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321C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4315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623E8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C6FCB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A9F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662A" w14:textId="77777777" w:rsidR="001C53EB" w:rsidRPr="008F7CC3" w:rsidRDefault="008F7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F7C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E0F4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3F168C4" w14:textId="77777777" w:rsidR="001C53EB" w:rsidRPr="008F7CC3" w:rsidRDefault="001C53EB">
      <w:pPr>
        <w:rPr>
          <w:rFonts w:ascii="Calibri" w:eastAsia="Calibri" w:hAnsi="Calibri" w:cs="Calibri"/>
        </w:rPr>
      </w:pPr>
    </w:p>
    <w:p w14:paraId="1F4D023E" w14:textId="77777777" w:rsidR="001C53EB" w:rsidRPr="008F7CC3" w:rsidRDefault="008F7CC3">
      <w:pPr>
        <w:ind w:right="-30"/>
        <w:rPr>
          <w:rFonts w:ascii="Calibri" w:eastAsia="Calibri" w:hAnsi="Calibri" w:cs="Calibri"/>
          <w:b/>
          <w:bCs/>
        </w:rPr>
      </w:pPr>
      <w:r w:rsidRPr="008F7CC3">
        <w:rPr>
          <w:rFonts w:ascii="Calibri" w:eastAsia="Calibri" w:hAnsi="Calibri" w:cs="Calibri"/>
          <w:b/>
          <w:bCs/>
        </w:rPr>
        <w:t>Literature analysis on HCD capability development: 20 preliminary sub-themes, 8 sub-themes, and 4 themes gathered from the literature analysis.</w:t>
      </w:r>
    </w:p>
    <w:tbl>
      <w:tblPr>
        <w:tblStyle w:val="a0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4"/>
        <w:gridCol w:w="4665"/>
        <w:gridCol w:w="4665"/>
      </w:tblGrid>
      <w:tr w:rsidR="001C53EB" w:rsidRPr="008F7CC3" w14:paraId="428B0B95" w14:textId="77777777">
        <w:tc>
          <w:tcPr>
            <w:tcW w:w="4664" w:type="dxa"/>
          </w:tcPr>
          <w:p w14:paraId="685BD299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Preliminary sub-themes</w:t>
            </w:r>
          </w:p>
        </w:tc>
        <w:tc>
          <w:tcPr>
            <w:tcW w:w="4665" w:type="dxa"/>
          </w:tcPr>
          <w:p w14:paraId="25AB1BC3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Sub-themes</w:t>
            </w:r>
          </w:p>
        </w:tc>
        <w:tc>
          <w:tcPr>
            <w:tcW w:w="4665" w:type="dxa"/>
          </w:tcPr>
          <w:p w14:paraId="3054DC0F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Themes</w:t>
            </w:r>
          </w:p>
        </w:tc>
      </w:tr>
      <w:tr w:rsidR="001C53EB" w:rsidRPr="008F7CC3" w14:paraId="2212908C" w14:textId="77777777">
        <w:tc>
          <w:tcPr>
            <w:tcW w:w="4664" w:type="dxa"/>
          </w:tcPr>
          <w:p w14:paraId="6B482EB0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 xml:space="preserve">User/Customer-centred organisational culture       </w:t>
            </w:r>
          </w:p>
        </w:tc>
        <w:tc>
          <w:tcPr>
            <w:tcW w:w="4665" w:type="dxa"/>
            <w:vMerge w:val="restart"/>
          </w:tcPr>
          <w:p w14:paraId="4B3414CA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Organisational Conditions and Culture (34 papers)</w:t>
            </w:r>
          </w:p>
          <w:p w14:paraId="280E7728" w14:textId="77777777" w:rsidR="001C53EB" w:rsidRPr="008F7CC3" w:rsidRDefault="001C53EB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 w:val="restart"/>
          </w:tcPr>
          <w:p w14:paraId="4DFDF0FA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Contextual perspective</w:t>
            </w:r>
          </w:p>
        </w:tc>
      </w:tr>
      <w:tr w:rsidR="001C53EB" w:rsidRPr="008F7CC3" w14:paraId="2205B1E6" w14:textId="77777777">
        <w:tc>
          <w:tcPr>
            <w:tcW w:w="4664" w:type="dxa"/>
          </w:tcPr>
          <w:p w14:paraId="3D4009A6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Organisational maturity for integrating HCD</w:t>
            </w:r>
          </w:p>
        </w:tc>
        <w:tc>
          <w:tcPr>
            <w:tcW w:w="4665" w:type="dxa"/>
            <w:vMerge/>
          </w:tcPr>
          <w:p w14:paraId="5CBF0762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278B31E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56EB93D9" w14:textId="77777777">
        <w:tc>
          <w:tcPr>
            <w:tcW w:w="4664" w:type="dxa"/>
          </w:tcPr>
          <w:p w14:paraId="4F8695A0" w14:textId="77777777" w:rsidR="001C53EB" w:rsidRPr="008F7CC3" w:rsidRDefault="008F7CC3">
            <w:pPr>
              <w:ind w:right="160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Organisational structures and governance mechanisms for HCD</w:t>
            </w:r>
          </w:p>
        </w:tc>
        <w:tc>
          <w:tcPr>
            <w:tcW w:w="4665" w:type="dxa"/>
            <w:vMerge/>
          </w:tcPr>
          <w:p w14:paraId="7927097E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69A415F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7C324EAF" w14:textId="77777777">
        <w:tc>
          <w:tcPr>
            <w:tcW w:w="4664" w:type="dxa"/>
          </w:tcPr>
          <w:p w14:paraId="2693D3FC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Legitimacy of HCD</w:t>
            </w:r>
          </w:p>
        </w:tc>
        <w:tc>
          <w:tcPr>
            <w:tcW w:w="4665" w:type="dxa"/>
            <w:vMerge/>
          </w:tcPr>
          <w:p w14:paraId="1038307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56A7BE0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5D4E509C" w14:textId="77777777">
        <w:tc>
          <w:tcPr>
            <w:tcW w:w="4664" w:type="dxa"/>
          </w:tcPr>
          <w:p w14:paraId="31019399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Organisational capabilities for absorbing design</w:t>
            </w:r>
          </w:p>
        </w:tc>
        <w:tc>
          <w:tcPr>
            <w:tcW w:w="4665" w:type="dxa"/>
            <w:vMerge/>
          </w:tcPr>
          <w:p w14:paraId="2488308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17BA334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0738551F" w14:textId="77777777">
        <w:tc>
          <w:tcPr>
            <w:tcW w:w="4664" w:type="dxa"/>
          </w:tcPr>
          <w:p w14:paraId="20774964" w14:textId="77777777" w:rsidR="001C53EB" w:rsidRPr="008F7CC3" w:rsidRDefault="008F7CC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Market and competitive pressures toward customer-centricity</w:t>
            </w:r>
          </w:p>
        </w:tc>
        <w:tc>
          <w:tcPr>
            <w:tcW w:w="4665" w:type="dxa"/>
            <w:vMerge w:val="restart"/>
          </w:tcPr>
          <w:p w14:paraId="1B473734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Environmental drivers (15 papers)</w:t>
            </w:r>
          </w:p>
        </w:tc>
        <w:tc>
          <w:tcPr>
            <w:tcW w:w="4665" w:type="dxa"/>
            <w:vMerge/>
          </w:tcPr>
          <w:p w14:paraId="161D905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2A4C954F" w14:textId="77777777">
        <w:tc>
          <w:tcPr>
            <w:tcW w:w="4664" w:type="dxa"/>
          </w:tcPr>
          <w:p w14:paraId="17263A1D" w14:textId="77777777" w:rsidR="001C53EB" w:rsidRPr="008F7CC3" w:rsidRDefault="008F7CC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Technological Disruption and the shift to digital service ecosystems</w:t>
            </w:r>
          </w:p>
        </w:tc>
        <w:tc>
          <w:tcPr>
            <w:tcW w:w="4665" w:type="dxa"/>
            <w:vMerge/>
          </w:tcPr>
          <w:p w14:paraId="309038B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27DB7CB9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26B29D87" w14:textId="77777777">
        <w:tc>
          <w:tcPr>
            <w:tcW w:w="4664" w:type="dxa"/>
          </w:tcPr>
          <w:p w14:paraId="5708B1D8" w14:textId="77777777" w:rsidR="001C53EB" w:rsidRPr="008F7CC3" w:rsidRDefault="008F7CC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Institutional pressures and legacies</w:t>
            </w:r>
          </w:p>
        </w:tc>
        <w:tc>
          <w:tcPr>
            <w:tcW w:w="4665" w:type="dxa"/>
            <w:vMerge/>
          </w:tcPr>
          <w:p w14:paraId="039B8383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0010FC7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747B815A" w14:textId="77777777">
        <w:tc>
          <w:tcPr>
            <w:tcW w:w="4664" w:type="dxa"/>
          </w:tcPr>
          <w:p w14:paraId="2D520948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Routinisation and standardisation of HCD practice</w:t>
            </w:r>
          </w:p>
        </w:tc>
        <w:tc>
          <w:tcPr>
            <w:tcW w:w="4665" w:type="dxa"/>
            <w:vMerge w:val="restart"/>
          </w:tcPr>
          <w:p w14:paraId="3F3AC9FA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Process (30 papers)</w:t>
            </w:r>
          </w:p>
        </w:tc>
        <w:tc>
          <w:tcPr>
            <w:tcW w:w="4665" w:type="dxa"/>
            <w:vMerge w:val="restart"/>
          </w:tcPr>
          <w:p w14:paraId="4D6345D9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Longitudinal perspective</w:t>
            </w:r>
          </w:p>
        </w:tc>
      </w:tr>
      <w:tr w:rsidR="001C53EB" w:rsidRPr="008F7CC3" w14:paraId="475C0CFC" w14:textId="77777777">
        <w:tc>
          <w:tcPr>
            <w:tcW w:w="4664" w:type="dxa"/>
          </w:tcPr>
          <w:p w14:paraId="411E4CA3" w14:textId="77777777" w:rsidR="001C53EB" w:rsidRPr="008F7CC3" w:rsidRDefault="008F7CC3">
            <w:pPr>
              <w:ind w:right="19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Integration of HCD practice into new product and service development</w:t>
            </w:r>
          </w:p>
        </w:tc>
        <w:tc>
          <w:tcPr>
            <w:tcW w:w="4665" w:type="dxa"/>
            <w:vMerge/>
          </w:tcPr>
          <w:p w14:paraId="426ED544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30F8798E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687E7857" w14:textId="77777777">
        <w:tc>
          <w:tcPr>
            <w:tcW w:w="4664" w:type="dxa"/>
          </w:tcPr>
          <w:p w14:paraId="316AF591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 xml:space="preserve">Organisational learning through HCD   </w:t>
            </w:r>
          </w:p>
        </w:tc>
        <w:tc>
          <w:tcPr>
            <w:tcW w:w="4665" w:type="dxa"/>
            <w:vMerge/>
          </w:tcPr>
          <w:p w14:paraId="6F5B833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24C65A2F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104E6B31" w14:textId="77777777">
        <w:tc>
          <w:tcPr>
            <w:tcW w:w="4664" w:type="dxa"/>
          </w:tcPr>
          <w:p w14:paraId="56DB9572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HCD implications (cost vs benefits)</w:t>
            </w:r>
          </w:p>
        </w:tc>
        <w:tc>
          <w:tcPr>
            <w:tcW w:w="4665" w:type="dxa"/>
          </w:tcPr>
          <w:p w14:paraId="41010936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Implications (26 papers)</w:t>
            </w:r>
          </w:p>
        </w:tc>
        <w:tc>
          <w:tcPr>
            <w:tcW w:w="4665" w:type="dxa"/>
            <w:vMerge/>
          </w:tcPr>
          <w:p w14:paraId="5FCB2B71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6E48E012" w14:textId="77777777">
        <w:tc>
          <w:tcPr>
            <w:tcW w:w="4664" w:type="dxa"/>
          </w:tcPr>
          <w:p w14:paraId="2B72E1D0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Structural barriers and internal tensions</w:t>
            </w:r>
          </w:p>
        </w:tc>
        <w:tc>
          <w:tcPr>
            <w:tcW w:w="4665" w:type="dxa"/>
            <w:vMerge w:val="restart"/>
          </w:tcPr>
          <w:p w14:paraId="714DA613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Barriers &amp; enablers (34 papers)</w:t>
            </w:r>
          </w:p>
        </w:tc>
        <w:tc>
          <w:tcPr>
            <w:tcW w:w="4665" w:type="dxa"/>
            <w:vMerge w:val="restart"/>
          </w:tcPr>
          <w:p w14:paraId="4AE92BFA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Operational perspective</w:t>
            </w:r>
          </w:p>
        </w:tc>
      </w:tr>
      <w:tr w:rsidR="001C53EB" w:rsidRPr="008F7CC3" w14:paraId="1DCDAD93" w14:textId="77777777">
        <w:tc>
          <w:tcPr>
            <w:tcW w:w="4664" w:type="dxa"/>
          </w:tcPr>
          <w:p w14:paraId="7CC912F6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 xml:space="preserve">Lack of shared understanding of HCD value      </w:t>
            </w:r>
          </w:p>
        </w:tc>
        <w:tc>
          <w:tcPr>
            <w:tcW w:w="4665" w:type="dxa"/>
            <w:vMerge/>
          </w:tcPr>
          <w:p w14:paraId="48E9747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3F25878B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0FF6230E" w14:textId="77777777">
        <w:tc>
          <w:tcPr>
            <w:tcW w:w="4664" w:type="dxa"/>
          </w:tcPr>
          <w:p w14:paraId="76889E37" w14:textId="77777777" w:rsidR="001C53EB" w:rsidRPr="008F7CC3" w:rsidRDefault="008F7CC3">
            <w:pPr>
              <w:ind w:right="160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Use of HCD tools and methods</w:t>
            </w:r>
          </w:p>
        </w:tc>
        <w:tc>
          <w:tcPr>
            <w:tcW w:w="4665" w:type="dxa"/>
            <w:vMerge w:val="restart"/>
          </w:tcPr>
          <w:p w14:paraId="722A9E8F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Management tools and models (17 papers)</w:t>
            </w:r>
          </w:p>
        </w:tc>
        <w:tc>
          <w:tcPr>
            <w:tcW w:w="4665" w:type="dxa"/>
            <w:vMerge/>
          </w:tcPr>
          <w:p w14:paraId="6811DA72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2F5DAC91" w14:textId="77777777">
        <w:tc>
          <w:tcPr>
            <w:tcW w:w="4664" w:type="dxa"/>
          </w:tcPr>
          <w:p w14:paraId="70AB892E" w14:textId="77777777" w:rsidR="001C53EB" w:rsidRPr="008F7CC3" w:rsidRDefault="008F7CC3">
            <w:pPr>
              <w:ind w:right="160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Use of HCD frameworks and maturity models</w:t>
            </w:r>
          </w:p>
        </w:tc>
        <w:tc>
          <w:tcPr>
            <w:tcW w:w="4665" w:type="dxa"/>
            <w:vMerge/>
          </w:tcPr>
          <w:p w14:paraId="7FBA9348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33B12ED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2A3A2BBA" w14:textId="77777777">
        <w:tc>
          <w:tcPr>
            <w:tcW w:w="4664" w:type="dxa"/>
          </w:tcPr>
          <w:p w14:paraId="37B209B2" w14:textId="77777777" w:rsidR="001C53EB" w:rsidRPr="008F7CC3" w:rsidRDefault="008F7CC3">
            <w:pPr>
              <w:ind w:right="160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Measuring the impact of HCD</w:t>
            </w:r>
          </w:p>
        </w:tc>
        <w:tc>
          <w:tcPr>
            <w:tcW w:w="4665" w:type="dxa"/>
            <w:vMerge/>
          </w:tcPr>
          <w:p w14:paraId="442AD565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3A495477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1611CC3C" w14:textId="77777777">
        <w:tc>
          <w:tcPr>
            <w:tcW w:w="4664" w:type="dxa"/>
          </w:tcPr>
          <w:p w14:paraId="14AC57E3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 xml:space="preserve">Individual competences for HCD practice   </w:t>
            </w:r>
          </w:p>
        </w:tc>
        <w:tc>
          <w:tcPr>
            <w:tcW w:w="4665" w:type="dxa"/>
            <w:vMerge w:val="restart"/>
          </w:tcPr>
          <w:p w14:paraId="32B466B9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Individuals (43 papers)</w:t>
            </w:r>
          </w:p>
        </w:tc>
        <w:tc>
          <w:tcPr>
            <w:tcW w:w="4665" w:type="dxa"/>
            <w:vMerge w:val="restart"/>
          </w:tcPr>
          <w:p w14:paraId="4DD59714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People perspective</w:t>
            </w:r>
          </w:p>
        </w:tc>
      </w:tr>
      <w:tr w:rsidR="001C53EB" w:rsidRPr="008F7CC3" w14:paraId="336E1A8F" w14:textId="77777777">
        <w:tc>
          <w:tcPr>
            <w:tcW w:w="4664" w:type="dxa"/>
          </w:tcPr>
          <w:p w14:paraId="43D4D7D6" w14:textId="77777777" w:rsidR="001C53EB" w:rsidRPr="008F7CC3" w:rsidRDefault="008F7CC3">
            <w:pPr>
              <w:ind w:right="19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Design champions, leadership, and executive support</w:t>
            </w:r>
          </w:p>
        </w:tc>
        <w:tc>
          <w:tcPr>
            <w:tcW w:w="4665" w:type="dxa"/>
            <w:vMerge/>
          </w:tcPr>
          <w:p w14:paraId="576915DE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65" w:type="dxa"/>
            <w:vMerge/>
          </w:tcPr>
          <w:p w14:paraId="7578B96A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53EB" w:rsidRPr="008F7CC3" w14:paraId="49AC2C82" w14:textId="77777777">
        <w:tc>
          <w:tcPr>
            <w:tcW w:w="4664" w:type="dxa"/>
          </w:tcPr>
          <w:p w14:paraId="21FDADF4" w14:textId="77777777" w:rsidR="001C53EB" w:rsidRPr="008F7CC3" w:rsidRDefault="008F7CC3">
            <w:pPr>
              <w:ind w:right="19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Training, mentoring, and capability-building programmes</w:t>
            </w:r>
          </w:p>
        </w:tc>
        <w:tc>
          <w:tcPr>
            <w:tcW w:w="4665" w:type="dxa"/>
          </w:tcPr>
          <w:p w14:paraId="1C07207E" w14:textId="77777777" w:rsidR="001C53EB" w:rsidRPr="008F7CC3" w:rsidRDefault="008F7CC3">
            <w:pPr>
              <w:ind w:right="-965"/>
              <w:rPr>
                <w:rFonts w:ascii="Calibri" w:eastAsia="Calibri" w:hAnsi="Calibri" w:cs="Calibri"/>
                <w:sz w:val="22"/>
                <w:szCs w:val="22"/>
              </w:rPr>
            </w:pPr>
            <w:r w:rsidRPr="008F7CC3">
              <w:rPr>
                <w:rFonts w:ascii="Calibri" w:eastAsia="Calibri" w:hAnsi="Calibri" w:cs="Calibri"/>
                <w:sz w:val="22"/>
                <w:szCs w:val="22"/>
              </w:rPr>
              <w:t>Training (11 papers)</w:t>
            </w:r>
          </w:p>
        </w:tc>
        <w:tc>
          <w:tcPr>
            <w:tcW w:w="4665" w:type="dxa"/>
            <w:vMerge/>
          </w:tcPr>
          <w:p w14:paraId="587633C0" w14:textId="77777777" w:rsidR="001C53EB" w:rsidRPr="008F7CC3" w:rsidRDefault="001C5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D34564F" w14:textId="77777777" w:rsidR="001C53EB" w:rsidRPr="008F7CC3" w:rsidRDefault="001C53EB">
      <w:pPr>
        <w:widowControl w:val="0"/>
        <w:ind w:left="480" w:hanging="480"/>
        <w:rPr>
          <w:rFonts w:ascii="Calibri" w:eastAsia="Calibri" w:hAnsi="Calibri" w:cs="Calibri"/>
          <w:b/>
          <w:bCs/>
          <w:sz w:val="20"/>
          <w:szCs w:val="20"/>
        </w:rPr>
      </w:pPr>
    </w:p>
    <w:p w14:paraId="0BE001CC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b/>
          <w:bCs/>
          <w:sz w:val="20"/>
          <w:szCs w:val="20"/>
        </w:rPr>
      </w:pPr>
      <w:r w:rsidRPr="008F7CC3">
        <w:rPr>
          <w:rFonts w:ascii="Calibri" w:eastAsia="Calibri" w:hAnsi="Calibri" w:cs="Calibri"/>
          <w:b/>
          <w:bCs/>
          <w:sz w:val="20"/>
          <w:szCs w:val="20"/>
        </w:rPr>
        <w:t>References</w:t>
      </w:r>
    </w:p>
    <w:p w14:paraId="2BB1B492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Acklin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C. (2010). Design‐driven innovation process model.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Design Management Journal, 5</w:t>
      </w:r>
      <w:r w:rsidRPr="008F7CC3">
        <w:rPr>
          <w:rFonts w:ascii="Calibri" w:eastAsia="Calibri" w:hAnsi="Calibri" w:cs="Calibri"/>
          <w:sz w:val="20"/>
          <w:szCs w:val="20"/>
        </w:rPr>
        <w:t>(1), 50-60.</w:t>
      </w:r>
    </w:p>
    <w:p w14:paraId="5B690720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Acklin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C. (2013). Design management absorption model: A framework to describe and measure the absorption process of design knowledge by SMEs with little or </w:t>
      </w:r>
      <w:r w:rsidRPr="008F7CC3">
        <w:rPr>
          <w:rFonts w:ascii="Calibri" w:eastAsia="Calibri" w:hAnsi="Calibri" w:cs="Calibri"/>
          <w:sz w:val="20"/>
          <w:szCs w:val="20"/>
        </w:rPr>
        <w:t>no prior design experience.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 xml:space="preserve"> Creativity and Innovation management, 22</w:t>
      </w:r>
      <w:r w:rsidRPr="008F7CC3">
        <w:rPr>
          <w:rFonts w:ascii="Calibri" w:eastAsia="Calibri" w:hAnsi="Calibri" w:cs="Calibri"/>
          <w:sz w:val="20"/>
          <w:szCs w:val="20"/>
        </w:rPr>
        <w:t>(2), 147-160.</w:t>
      </w:r>
    </w:p>
    <w:p w14:paraId="67433868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>Beckman, S. L., &amp; Barry, M. (2007). Innovation as a learning process: Embedding design thinking.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California management review, 50</w:t>
      </w:r>
      <w:r w:rsidRPr="008F7CC3">
        <w:rPr>
          <w:rFonts w:ascii="Calibri" w:eastAsia="Calibri" w:hAnsi="Calibri" w:cs="Calibri"/>
          <w:sz w:val="20"/>
          <w:szCs w:val="20"/>
        </w:rPr>
        <w:t>(1), 25-56.</w:t>
      </w:r>
    </w:p>
    <w:p w14:paraId="18D7C932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 xml:space="preserve">Björklund, T. A.,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Hannukainen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P.</w:t>
      </w:r>
      <w:r w:rsidRPr="008F7CC3">
        <w:rPr>
          <w:rFonts w:ascii="Calibri" w:eastAsia="Calibri" w:hAnsi="Calibri" w:cs="Calibri"/>
          <w:sz w:val="20"/>
          <w:szCs w:val="20"/>
        </w:rPr>
        <w:t xml:space="preserve">, Manninen, T.,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Hyysalo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S. (2025). Extending Design in Organizations: A Meshwork of Organizing, Aligning, and Displaying Actions.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California Management Review, 67</w:t>
      </w:r>
      <w:r w:rsidRPr="008F7CC3">
        <w:rPr>
          <w:rFonts w:ascii="Calibri" w:eastAsia="Calibri" w:hAnsi="Calibri" w:cs="Calibri"/>
          <w:sz w:val="20"/>
          <w:szCs w:val="20"/>
        </w:rPr>
        <w:t>(4), 95-120.</w:t>
      </w:r>
    </w:p>
    <w:p w14:paraId="294E4DB8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>Björklund, T., Maula, H., Soule, S. A., &amp; Maula, J. (2020). Integrating design</w:t>
      </w:r>
      <w:r w:rsidRPr="008F7CC3">
        <w:rPr>
          <w:rFonts w:ascii="Calibri" w:eastAsia="Calibri" w:hAnsi="Calibri" w:cs="Calibri"/>
          <w:sz w:val="20"/>
          <w:szCs w:val="20"/>
        </w:rPr>
        <w:t xml:space="preserve"> into organizations: The coevolution of design capabilities.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 California management review, 62</w:t>
      </w:r>
      <w:r w:rsidRPr="008F7CC3">
        <w:rPr>
          <w:rFonts w:ascii="Calibri" w:eastAsia="Calibri" w:hAnsi="Calibri" w:cs="Calibri"/>
          <w:sz w:val="20"/>
          <w:szCs w:val="20"/>
        </w:rPr>
        <w:t>(2), 100-124.</w:t>
      </w:r>
    </w:p>
    <w:p w14:paraId="3C085B6B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bookmarkStart w:id="2" w:name="_heading=h.jzw6j9h6tpqz" w:colFirst="0" w:colLast="0"/>
      <w:bookmarkEnd w:id="2"/>
      <w:r w:rsidRPr="008F7CC3">
        <w:rPr>
          <w:rFonts w:ascii="Calibri" w:eastAsia="Calibri" w:hAnsi="Calibri" w:cs="Calibri"/>
          <w:sz w:val="20"/>
          <w:szCs w:val="20"/>
        </w:rPr>
        <w:lastRenderedPageBreak/>
        <w:t xml:space="preserve">Brinkman, G., van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Buuren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A.,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Voorberg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W., &amp; van der Bijl-Brouwer, M. (2023). Making way for design thinking in the public sector: a taxonomy of str</w:t>
      </w:r>
      <w:r w:rsidRPr="008F7CC3">
        <w:rPr>
          <w:rFonts w:ascii="Calibri" w:eastAsia="Calibri" w:hAnsi="Calibri" w:cs="Calibri"/>
          <w:sz w:val="20"/>
          <w:szCs w:val="20"/>
        </w:rPr>
        <w:t>ategies.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Policy Design and Practice, 6</w:t>
      </w:r>
      <w:r w:rsidRPr="008F7CC3">
        <w:rPr>
          <w:rFonts w:ascii="Calibri" w:eastAsia="Calibri" w:hAnsi="Calibri" w:cs="Calibri"/>
          <w:sz w:val="20"/>
          <w:szCs w:val="20"/>
        </w:rPr>
        <w:t>(3), 241-265.</w:t>
      </w:r>
    </w:p>
    <w:p w14:paraId="27A7EDF7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 xml:space="preserve">Buchanan, R. (2015). Worlds in the making: Design, management, and the reform of organizational culture.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She Ji: The Journal of Design, Economics, and Innovation, 1</w:t>
      </w:r>
      <w:r w:rsidRPr="008F7CC3">
        <w:rPr>
          <w:rFonts w:ascii="Calibri" w:eastAsia="Calibri" w:hAnsi="Calibri" w:cs="Calibri"/>
          <w:sz w:val="20"/>
          <w:szCs w:val="20"/>
        </w:rPr>
        <w:t>(1), 5-21.</w:t>
      </w:r>
    </w:p>
    <w:p w14:paraId="7060EB41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>Cai, Y., Lin, J., &amp; Zhang, R. (2023). When and how to implement design thinking in the innovation process: A longitudinal case study. </w:t>
      </w:r>
      <w:proofErr w:type="spellStart"/>
      <w:r w:rsidRPr="008F7CC3">
        <w:rPr>
          <w:rFonts w:ascii="Calibri" w:eastAsia="Calibri" w:hAnsi="Calibri" w:cs="Calibri"/>
          <w:i/>
          <w:iCs/>
          <w:sz w:val="20"/>
          <w:szCs w:val="20"/>
        </w:rPr>
        <w:t>Technovation</w:t>
      </w:r>
      <w:proofErr w:type="spellEnd"/>
      <w:r w:rsidRPr="008F7CC3">
        <w:rPr>
          <w:rFonts w:ascii="Calibri" w:eastAsia="Calibri" w:hAnsi="Calibri" w:cs="Calibri"/>
          <w:i/>
          <w:iCs/>
          <w:sz w:val="20"/>
          <w:szCs w:val="20"/>
        </w:rPr>
        <w:t>, 126</w:t>
      </w:r>
      <w:r w:rsidRPr="008F7CC3">
        <w:rPr>
          <w:rFonts w:ascii="Calibri" w:eastAsia="Calibri" w:hAnsi="Calibri" w:cs="Calibri"/>
          <w:sz w:val="20"/>
          <w:szCs w:val="20"/>
        </w:rPr>
        <w:t>, 102816.</w:t>
      </w:r>
    </w:p>
    <w:p w14:paraId="512E043D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Carlgren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L.,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Elmquist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M.,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Rauth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I. (2014). Design thinking: Exploring values and effects f</w:t>
      </w:r>
      <w:r w:rsidRPr="008F7CC3">
        <w:rPr>
          <w:rFonts w:ascii="Calibri" w:eastAsia="Calibri" w:hAnsi="Calibri" w:cs="Calibri"/>
          <w:sz w:val="20"/>
          <w:szCs w:val="20"/>
        </w:rPr>
        <w:t>rom an innovation capability perspective.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The Design Journal, 17</w:t>
      </w:r>
      <w:r w:rsidRPr="008F7CC3">
        <w:rPr>
          <w:rFonts w:ascii="Calibri" w:eastAsia="Calibri" w:hAnsi="Calibri" w:cs="Calibri"/>
          <w:sz w:val="20"/>
          <w:szCs w:val="20"/>
        </w:rPr>
        <w:t>(3), 403-423.</w:t>
      </w:r>
    </w:p>
    <w:p w14:paraId="6D657A17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Carlgren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L.,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Elmquist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M.,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Rauth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I. (2016). The challenges of using design thinking in industry–experiences from five large firms.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 Creativity and Innovation Management, 25</w:t>
      </w:r>
      <w:r w:rsidRPr="008F7CC3">
        <w:rPr>
          <w:rFonts w:ascii="Calibri" w:eastAsia="Calibri" w:hAnsi="Calibri" w:cs="Calibri"/>
          <w:sz w:val="20"/>
          <w:szCs w:val="20"/>
        </w:rPr>
        <w:t>(3)</w:t>
      </w:r>
      <w:r w:rsidRPr="008F7CC3">
        <w:rPr>
          <w:rFonts w:ascii="Calibri" w:eastAsia="Calibri" w:hAnsi="Calibri" w:cs="Calibri"/>
          <w:sz w:val="20"/>
          <w:szCs w:val="20"/>
        </w:rPr>
        <w:t>, 344-362.</w:t>
      </w:r>
    </w:p>
    <w:p w14:paraId="6909ADB4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bookmarkStart w:id="3" w:name="_heading=h.5w70zkd7jjhl" w:colFirst="0" w:colLast="0"/>
      <w:bookmarkEnd w:id="3"/>
      <w:r w:rsidRPr="008F7CC3">
        <w:rPr>
          <w:rFonts w:ascii="Calibri" w:eastAsia="Calibri" w:hAnsi="Calibri" w:cs="Calibri"/>
          <w:sz w:val="20"/>
          <w:szCs w:val="20"/>
        </w:rPr>
        <w:t>Chen, S., &amp; Venkatesh, A. (2013). An investigation of how design-oriented organisations implement design thinking.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Journal of Marketing Management, 29</w:t>
      </w:r>
      <w:r w:rsidRPr="008F7CC3">
        <w:rPr>
          <w:rFonts w:ascii="Calibri" w:eastAsia="Calibri" w:hAnsi="Calibri" w:cs="Calibri"/>
          <w:sz w:val="20"/>
          <w:szCs w:val="20"/>
        </w:rPr>
        <w:t>(15-16), 1680-1700.</w:t>
      </w:r>
    </w:p>
    <w:p w14:paraId="3359BB37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Crişan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C. (2017). Design thinking: what it is and how it works. A case stu</w:t>
      </w:r>
      <w:r w:rsidRPr="008F7CC3">
        <w:rPr>
          <w:rFonts w:ascii="Calibri" w:eastAsia="Calibri" w:hAnsi="Calibri" w:cs="Calibri"/>
          <w:sz w:val="20"/>
          <w:szCs w:val="20"/>
        </w:rPr>
        <w:t xml:space="preserve">dy on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romanian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 libraries. </w:t>
      </w:r>
      <w:proofErr w:type="spellStart"/>
      <w:r w:rsidRPr="008F7CC3">
        <w:rPr>
          <w:rFonts w:ascii="Calibri" w:eastAsia="Calibri" w:hAnsi="Calibri" w:cs="Calibri"/>
          <w:i/>
          <w:iCs/>
          <w:sz w:val="20"/>
          <w:szCs w:val="20"/>
        </w:rPr>
        <w:t>Euromentor</w:t>
      </w:r>
      <w:proofErr w:type="spellEnd"/>
      <w:r w:rsidRPr="008F7CC3">
        <w:rPr>
          <w:rFonts w:ascii="Calibri" w:eastAsia="Calibri" w:hAnsi="Calibri" w:cs="Calibri"/>
          <w:i/>
          <w:iCs/>
          <w:sz w:val="20"/>
          <w:szCs w:val="20"/>
        </w:rPr>
        <w:t xml:space="preserve"> Journal-Studies about education, 8</w:t>
      </w:r>
      <w:r w:rsidRPr="008F7CC3">
        <w:rPr>
          <w:rFonts w:ascii="Calibri" w:eastAsia="Calibri" w:hAnsi="Calibri" w:cs="Calibri"/>
          <w:sz w:val="20"/>
          <w:szCs w:val="20"/>
        </w:rPr>
        <w:t>(4), 181-194.</w:t>
      </w:r>
    </w:p>
    <w:p w14:paraId="14700B3E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Dorst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K. (2011). The core of ‘design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thinking’and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 its application. Design studies, 32(6), 521-532.</w:t>
      </w:r>
    </w:p>
    <w:p w14:paraId="296C1055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>Dunne, D. (2018). Implementing design thinking in organizations: An exp</w:t>
      </w:r>
      <w:r w:rsidRPr="008F7CC3">
        <w:rPr>
          <w:rFonts w:ascii="Calibri" w:eastAsia="Calibri" w:hAnsi="Calibri" w:cs="Calibri"/>
          <w:sz w:val="20"/>
          <w:szCs w:val="20"/>
        </w:rPr>
        <w:t>loratory study.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 Journal of Organization Design, 7</w:t>
      </w:r>
      <w:r w:rsidRPr="008F7CC3">
        <w:rPr>
          <w:rFonts w:ascii="Calibri" w:eastAsia="Calibri" w:hAnsi="Calibri" w:cs="Calibri"/>
          <w:sz w:val="20"/>
          <w:szCs w:val="20"/>
        </w:rPr>
        <w:t>(1), 1-16.</w:t>
      </w:r>
    </w:p>
    <w:p w14:paraId="31BB594F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Elsbach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K. D.,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Stigliani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I. (2018). Design thinking and organizational culture: A review and framework for future research.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 Journal of management, 44</w:t>
      </w:r>
      <w:r w:rsidRPr="008F7CC3">
        <w:rPr>
          <w:rFonts w:ascii="Calibri" w:eastAsia="Calibri" w:hAnsi="Calibri" w:cs="Calibri"/>
          <w:sz w:val="20"/>
          <w:szCs w:val="20"/>
        </w:rPr>
        <w:t>(6), 2274-2306.</w:t>
      </w:r>
    </w:p>
    <w:p w14:paraId="7B5DE9A9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 xml:space="preserve">Iriarte, I.,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Alberdi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A., U</w:t>
      </w:r>
      <w:r w:rsidRPr="008F7CC3">
        <w:rPr>
          <w:rFonts w:ascii="Calibri" w:eastAsia="Calibri" w:hAnsi="Calibri" w:cs="Calibri"/>
          <w:sz w:val="20"/>
          <w:szCs w:val="20"/>
        </w:rPr>
        <w:t xml:space="preserve">rrutia, E.,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Justel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D. (2017). Beyond customer satisfaction. Supporting organisational change through Service Design. A case study in the insurance industry.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The Design Journal, 20</w:t>
      </w:r>
      <w:r w:rsidRPr="008F7CC3">
        <w:rPr>
          <w:rFonts w:ascii="Calibri" w:eastAsia="Calibri" w:hAnsi="Calibri" w:cs="Calibri"/>
          <w:sz w:val="20"/>
          <w:szCs w:val="20"/>
        </w:rPr>
        <w:t>(sup1), S424-S434.</w:t>
      </w:r>
    </w:p>
    <w:p w14:paraId="5CDA00EA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Jaskyte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K.,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Liedtka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J. (2022). Design thinking for </w:t>
      </w:r>
      <w:r w:rsidRPr="008F7CC3">
        <w:rPr>
          <w:rFonts w:ascii="Calibri" w:eastAsia="Calibri" w:hAnsi="Calibri" w:cs="Calibri"/>
          <w:sz w:val="20"/>
          <w:szCs w:val="20"/>
        </w:rPr>
        <w:t>innovation: Practices and intermediate outcomes. </w:t>
      </w:r>
      <w:proofErr w:type="spellStart"/>
      <w:r w:rsidRPr="008F7CC3">
        <w:rPr>
          <w:rFonts w:ascii="Calibri" w:eastAsia="Calibri" w:hAnsi="Calibri" w:cs="Calibri"/>
          <w:i/>
          <w:iCs/>
          <w:sz w:val="20"/>
          <w:szCs w:val="20"/>
        </w:rPr>
        <w:t>Nonprofit</w:t>
      </w:r>
      <w:proofErr w:type="spellEnd"/>
      <w:r w:rsidRPr="008F7CC3">
        <w:rPr>
          <w:rFonts w:ascii="Calibri" w:eastAsia="Calibri" w:hAnsi="Calibri" w:cs="Calibri"/>
          <w:i/>
          <w:iCs/>
          <w:sz w:val="20"/>
          <w:szCs w:val="20"/>
        </w:rPr>
        <w:t xml:space="preserve"> Management and Leadership, 32</w:t>
      </w:r>
      <w:r w:rsidRPr="008F7CC3">
        <w:rPr>
          <w:rFonts w:ascii="Calibri" w:eastAsia="Calibri" w:hAnsi="Calibri" w:cs="Calibri"/>
          <w:sz w:val="20"/>
          <w:szCs w:val="20"/>
        </w:rPr>
        <w:t>(4), 555-575.</w:t>
      </w:r>
    </w:p>
    <w:p w14:paraId="3261E90D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Junginger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S. (2015). Organizational design legacies and service design.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The Design Journal, 18</w:t>
      </w:r>
      <w:r w:rsidRPr="008F7CC3">
        <w:rPr>
          <w:rFonts w:ascii="Calibri" w:eastAsia="Calibri" w:hAnsi="Calibri" w:cs="Calibri"/>
          <w:sz w:val="20"/>
          <w:szCs w:val="20"/>
        </w:rPr>
        <w:t>(2), 209-226.</w:t>
      </w:r>
    </w:p>
    <w:p w14:paraId="71365B9B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lastRenderedPageBreak/>
        <w:t>Karpen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I.O.,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Gemser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G.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Calabretta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G. (20</w:t>
      </w:r>
      <w:r w:rsidRPr="008F7CC3">
        <w:rPr>
          <w:rFonts w:ascii="Calibri" w:eastAsia="Calibri" w:hAnsi="Calibri" w:cs="Calibri"/>
          <w:sz w:val="20"/>
          <w:szCs w:val="20"/>
        </w:rPr>
        <w:t xml:space="preserve">17). A multilevel consideration of service design conditions: Towards a portfolio of organisational capabilities, interactive practices and individual abilities.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Journal of Service Theory and Practice, 27</w:t>
      </w:r>
      <w:r w:rsidRPr="008F7CC3">
        <w:rPr>
          <w:rFonts w:ascii="Calibri" w:eastAsia="Calibri" w:hAnsi="Calibri" w:cs="Calibri"/>
          <w:sz w:val="20"/>
          <w:szCs w:val="20"/>
        </w:rPr>
        <w:t>(2):384-407.</w:t>
      </w:r>
    </w:p>
    <w:p w14:paraId="4D6538E0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Kurtmollaiev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S.,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Fjuk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A., Pedersen, P</w:t>
      </w:r>
      <w:r w:rsidRPr="008F7CC3">
        <w:rPr>
          <w:rFonts w:ascii="Calibri" w:eastAsia="Calibri" w:hAnsi="Calibri" w:cs="Calibri"/>
          <w:sz w:val="20"/>
          <w:szCs w:val="20"/>
        </w:rPr>
        <w:t xml:space="preserve">. E.,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Clatworthy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S.,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Kvale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K. (2018). Organizational transformation through service design: The institutional logics perspective.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Journal of Service Research, 21</w:t>
      </w:r>
      <w:r w:rsidRPr="008F7CC3">
        <w:rPr>
          <w:rFonts w:ascii="Calibri" w:eastAsia="Calibri" w:hAnsi="Calibri" w:cs="Calibri"/>
          <w:sz w:val="20"/>
          <w:szCs w:val="20"/>
        </w:rPr>
        <w:t>(1), 59-74.</w:t>
      </w:r>
    </w:p>
    <w:p w14:paraId="3F43D50C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  <w:lang w:val="es-ES"/>
        </w:rPr>
        <w:t>Landoni, P., Dell'Era, C., Ferraloro, G., Peradotto, M., Karlsson, H., &amp; Vergan</w:t>
      </w:r>
      <w:r w:rsidRPr="008F7CC3">
        <w:rPr>
          <w:rFonts w:ascii="Calibri" w:eastAsia="Calibri" w:hAnsi="Calibri" w:cs="Calibri"/>
          <w:sz w:val="20"/>
          <w:szCs w:val="20"/>
          <w:lang w:val="es-ES"/>
        </w:rPr>
        <w:t xml:space="preserve">ti, R. (2016). </w:t>
      </w:r>
      <w:r w:rsidRPr="008F7CC3">
        <w:rPr>
          <w:rFonts w:ascii="Calibri" w:eastAsia="Calibri" w:hAnsi="Calibri" w:cs="Calibri"/>
          <w:sz w:val="20"/>
          <w:szCs w:val="20"/>
        </w:rPr>
        <w:t>Design contribution to the competitive performance of SMEs: The role of design innovation capabilities.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 Creativity and Innovation Management, 25</w:t>
      </w:r>
      <w:r w:rsidRPr="008F7CC3">
        <w:rPr>
          <w:rFonts w:ascii="Calibri" w:eastAsia="Calibri" w:hAnsi="Calibri" w:cs="Calibri"/>
          <w:sz w:val="20"/>
          <w:szCs w:val="20"/>
        </w:rPr>
        <w:t>(4), 484-499.</w:t>
      </w:r>
    </w:p>
    <w:p w14:paraId="285107E0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Landoni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P.,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Dell'Era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C.,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Ferraloro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G.,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Peradotto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M., Karlsson, H.,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Verganti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</w:t>
      </w:r>
      <w:r w:rsidRPr="008F7CC3">
        <w:rPr>
          <w:rFonts w:ascii="Calibri" w:eastAsia="Calibri" w:hAnsi="Calibri" w:cs="Calibri"/>
          <w:sz w:val="20"/>
          <w:szCs w:val="20"/>
        </w:rPr>
        <w:t>R. (2016). Design contribution to the competitive performance of SMEs: The role of design innovation capabilities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. Creativity and Innovation Management, 25</w:t>
      </w:r>
      <w:r w:rsidRPr="008F7CC3">
        <w:rPr>
          <w:rFonts w:ascii="Calibri" w:eastAsia="Calibri" w:hAnsi="Calibri" w:cs="Calibri"/>
          <w:sz w:val="20"/>
          <w:szCs w:val="20"/>
        </w:rPr>
        <w:t>(4), 484-499.</w:t>
      </w:r>
    </w:p>
    <w:p w14:paraId="47A7E009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 xml:space="preserve">Legarda, I., Iriarte, I.,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Hoveskog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M.,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Justel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-Lozano, D. (2021). A Model for Measuring and Managing the Impact of Design on the Organization: Insights from Four Companies.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Sustainability, 13</w:t>
      </w:r>
      <w:r w:rsidRPr="008F7CC3">
        <w:rPr>
          <w:rFonts w:ascii="Calibri" w:eastAsia="Calibri" w:hAnsi="Calibri" w:cs="Calibri"/>
          <w:sz w:val="20"/>
          <w:szCs w:val="20"/>
        </w:rPr>
        <w:t>(22), 12580.</w:t>
      </w:r>
    </w:p>
    <w:p w14:paraId="0E4A93F0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Magalhães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R. (2018). Human-centred organization d</w:t>
      </w:r>
      <w:r w:rsidRPr="008F7CC3">
        <w:rPr>
          <w:rFonts w:ascii="Calibri" w:eastAsia="Calibri" w:hAnsi="Calibri" w:cs="Calibri"/>
          <w:sz w:val="20"/>
          <w:szCs w:val="20"/>
        </w:rPr>
        <w:t>esign.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The Design Journal, 21</w:t>
      </w:r>
      <w:r w:rsidRPr="008F7CC3">
        <w:rPr>
          <w:rFonts w:ascii="Calibri" w:eastAsia="Calibri" w:hAnsi="Calibri" w:cs="Calibri"/>
          <w:sz w:val="20"/>
          <w:szCs w:val="20"/>
        </w:rPr>
        <w:t>(2), 227-246.</w:t>
      </w:r>
    </w:p>
    <w:p w14:paraId="5E1A096B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Magistretti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S.,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Ardito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L.,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Messeni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Petruzzelli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A. (2021). Framing the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microfoundations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 of design thinking as a dynamic capability for innovation: Reconciling theory and practice.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 Journal of Product Innovation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 xml:space="preserve"> Management, 38</w:t>
      </w:r>
      <w:r w:rsidRPr="008F7CC3">
        <w:rPr>
          <w:rFonts w:ascii="Calibri" w:eastAsia="Calibri" w:hAnsi="Calibri" w:cs="Calibri"/>
          <w:sz w:val="20"/>
          <w:szCs w:val="20"/>
        </w:rPr>
        <w:t>(6), 645-667.</w:t>
      </w:r>
    </w:p>
    <w:p w14:paraId="27E846A8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Magistretti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S.,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Dell’Era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C., Cautela, C.,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Kotlar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J. (2023). Design thinking for organizational innovation at PepsiCo.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California Management Review, 65</w:t>
      </w:r>
      <w:r w:rsidRPr="008F7CC3">
        <w:rPr>
          <w:rFonts w:ascii="Calibri" w:eastAsia="Calibri" w:hAnsi="Calibri" w:cs="Calibri"/>
          <w:sz w:val="20"/>
          <w:szCs w:val="20"/>
        </w:rPr>
        <w:t>(3), 5-26.</w:t>
      </w:r>
    </w:p>
    <w:p w14:paraId="14EB6D61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bookmarkStart w:id="4" w:name="_heading=h.xuznsdn2c295" w:colFirst="0" w:colLast="0"/>
      <w:bookmarkEnd w:id="4"/>
      <w:r w:rsidRPr="008F7CC3">
        <w:rPr>
          <w:rFonts w:ascii="Calibri" w:eastAsia="Calibri" w:hAnsi="Calibri" w:cs="Calibri"/>
          <w:sz w:val="20"/>
          <w:szCs w:val="20"/>
        </w:rPr>
        <w:t>Mahmoud‐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Jouini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S., Midler, C.,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Silberzahn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P. (2016). Cont</w:t>
      </w:r>
      <w:r w:rsidRPr="008F7CC3">
        <w:rPr>
          <w:rFonts w:ascii="Calibri" w:eastAsia="Calibri" w:hAnsi="Calibri" w:cs="Calibri"/>
          <w:sz w:val="20"/>
          <w:szCs w:val="20"/>
        </w:rPr>
        <w:t>ributions of design thinking to project management in an innovation context. P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roject management journal, 47</w:t>
      </w:r>
      <w:r w:rsidRPr="008F7CC3">
        <w:rPr>
          <w:rFonts w:ascii="Calibri" w:eastAsia="Calibri" w:hAnsi="Calibri" w:cs="Calibri"/>
          <w:sz w:val="20"/>
          <w:szCs w:val="20"/>
        </w:rPr>
        <w:t>(2), 144-156.</w:t>
      </w:r>
    </w:p>
    <w:p w14:paraId="26CFED9E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Martinkenaite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I.,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Breunig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K.J.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Fjuk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A. (2017). Capable design or designing capabilities? An exploration of service design as an em</w:t>
      </w:r>
      <w:r w:rsidRPr="008F7CC3">
        <w:rPr>
          <w:rFonts w:ascii="Calibri" w:eastAsia="Calibri" w:hAnsi="Calibri" w:cs="Calibri"/>
          <w:sz w:val="20"/>
          <w:szCs w:val="20"/>
        </w:rPr>
        <w:t>erging organizational capability in Telenor.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 xml:space="preserve"> Journal of Entrepreneurship, Management and Innovation, 13</w:t>
      </w:r>
      <w:r w:rsidRPr="008F7CC3">
        <w:rPr>
          <w:rFonts w:ascii="Calibri" w:eastAsia="Calibri" w:hAnsi="Calibri" w:cs="Calibri"/>
          <w:sz w:val="20"/>
          <w:szCs w:val="20"/>
        </w:rPr>
        <w:t>(1):69-87.</w:t>
      </w:r>
    </w:p>
    <w:p w14:paraId="11DB95E7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Micheli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P., Perks, H.,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Beverland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M. B. (2018). Elevating Design in the Organisation.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Journal of Product Innovation Management, 35</w:t>
      </w:r>
      <w:r w:rsidRPr="008F7CC3">
        <w:rPr>
          <w:rFonts w:ascii="Calibri" w:eastAsia="Calibri" w:hAnsi="Calibri" w:cs="Calibri"/>
          <w:sz w:val="20"/>
          <w:szCs w:val="20"/>
        </w:rPr>
        <w:t>(4), 124–</w:t>
      </w:r>
      <w:r w:rsidRPr="008F7CC3">
        <w:rPr>
          <w:rFonts w:ascii="Calibri" w:eastAsia="Calibri" w:hAnsi="Calibri" w:cs="Calibri"/>
          <w:sz w:val="20"/>
          <w:szCs w:val="20"/>
        </w:rPr>
        <w:t>148.</w:t>
      </w:r>
    </w:p>
    <w:p w14:paraId="301267AE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lastRenderedPageBreak/>
        <w:t>Muratovski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G. (2015). Paradigm Shift: Report on the New Role of Design in Business and Society.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She Ji: The Journal of Design, Economics, and Innovation</w:t>
      </w:r>
      <w:r w:rsidRPr="008F7CC3">
        <w:rPr>
          <w:rFonts w:ascii="Calibri" w:eastAsia="Calibri" w:hAnsi="Calibri" w:cs="Calibri"/>
          <w:sz w:val="20"/>
          <w:szCs w:val="20"/>
        </w:rPr>
        <w:t>, 1(2), 118–139.</w:t>
      </w:r>
    </w:p>
    <w:p w14:paraId="4D2050DB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Mutanen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U. M. (2008). Developing organisational design capability in a Finland-b</w:t>
      </w:r>
      <w:r w:rsidRPr="008F7CC3">
        <w:rPr>
          <w:rFonts w:ascii="Calibri" w:eastAsia="Calibri" w:hAnsi="Calibri" w:cs="Calibri"/>
          <w:sz w:val="20"/>
          <w:szCs w:val="20"/>
        </w:rPr>
        <w:t>ased engineering corporation: the case of Metso.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Design Studies, 29</w:t>
      </w:r>
      <w:r w:rsidRPr="008F7CC3">
        <w:rPr>
          <w:rFonts w:ascii="Calibri" w:eastAsia="Calibri" w:hAnsi="Calibri" w:cs="Calibri"/>
          <w:sz w:val="20"/>
          <w:szCs w:val="20"/>
        </w:rPr>
        <w:t>(5), 500-520.</w:t>
      </w:r>
    </w:p>
    <w:p w14:paraId="6BCAC8CF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 xml:space="preserve">Nandan, M.,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Jaskyte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K.,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Mandayam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G. (2020). Human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centered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 design as a new approach to creative problem solving: Its usefulness and applicability for social work practice.</w:t>
      </w:r>
      <w:r w:rsidRPr="008F7CC3">
        <w:rPr>
          <w:rFonts w:ascii="Calibri" w:eastAsia="Calibri" w:hAnsi="Calibri" w:cs="Calibri"/>
          <w:sz w:val="20"/>
          <w:szCs w:val="20"/>
        </w:rPr>
        <w:t>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Human Service Organizations: Management, Leadership &amp; Governance, 44</w:t>
      </w:r>
      <w:r w:rsidRPr="008F7CC3">
        <w:rPr>
          <w:rFonts w:ascii="Calibri" w:eastAsia="Calibri" w:hAnsi="Calibri" w:cs="Calibri"/>
          <w:sz w:val="20"/>
          <w:szCs w:val="20"/>
        </w:rPr>
        <w:t>(4), 310-316.</w:t>
      </w:r>
    </w:p>
    <w:p w14:paraId="5D869293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Nusem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E., Matthews, J., &amp; Wrigley, C. (2019). Toward design orientation and integration: Driving design from awareness to action.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Design Issues, 35</w:t>
      </w:r>
      <w:r w:rsidRPr="008F7CC3">
        <w:rPr>
          <w:rFonts w:ascii="Calibri" w:eastAsia="Calibri" w:hAnsi="Calibri" w:cs="Calibri"/>
          <w:sz w:val="20"/>
          <w:szCs w:val="20"/>
        </w:rPr>
        <w:t>(3), 35-49.</w:t>
      </w:r>
    </w:p>
    <w:p w14:paraId="0EB20877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Nusem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E., Wr</w:t>
      </w:r>
      <w:r w:rsidRPr="008F7CC3">
        <w:rPr>
          <w:rFonts w:ascii="Calibri" w:eastAsia="Calibri" w:hAnsi="Calibri" w:cs="Calibri"/>
          <w:sz w:val="20"/>
          <w:szCs w:val="20"/>
        </w:rPr>
        <w:t xml:space="preserve">igley, C., &amp; Matthews, J. (2017). Developing design capability in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nonprofit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 organizations.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Design Issues, 33</w:t>
      </w:r>
      <w:r w:rsidRPr="008F7CC3">
        <w:rPr>
          <w:rFonts w:ascii="Calibri" w:eastAsia="Calibri" w:hAnsi="Calibri" w:cs="Calibri"/>
          <w:sz w:val="20"/>
          <w:szCs w:val="20"/>
        </w:rPr>
        <w:t>(1), 61-75.</w:t>
      </w:r>
    </w:p>
    <w:p w14:paraId="5EFB88C2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>Price, R., Wrigley, C., &amp; Matthews, J. (2021). Action researcher to design innovation catalyst: Building design capability from within.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Action Research, 19</w:t>
      </w:r>
      <w:r w:rsidRPr="008F7CC3">
        <w:rPr>
          <w:rFonts w:ascii="Calibri" w:eastAsia="Calibri" w:hAnsi="Calibri" w:cs="Calibri"/>
          <w:sz w:val="20"/>
          <w:szCs w:val="20"/>
        </w:rPr>
        <w:t>(2), 318-337.</w:t>
      </w:r>
    </w:p>
    <w:p w14:paraId="72BA57E9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Rauth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I.,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Carlgren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L.,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Elmquist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M. (2014). Making it happen: Legitimizing design thinking in large organizations.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Design Management Journal, 9</w:t>
      </w:r>
      <w:r w:rsidRPr="008F7CC3">
        <w:rPr>
          <w:rFonts w:ascii="Calibri" w:eastAsia="Calibri" w:hAnsi="Calibri" w:cs="Calibri"/>
          <w:sz w:val="20"/>
          <w:szCs w:val="20"/>
        </w:rPr>
        <w:t>(1).</w:t>
      </w:r>
    </w:p>
    <w:p w14:paraId="71CB72E3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Ravanello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I., Wolff, F., &amp; Capra, A. (2017). Design Absorption and Learning Processes: a study on desig</w:t>
      </w:r>
      <w:r w:rsidRPr="008F7CC3">
        <w:rPr>
          <w:rFonts w:ascii="Calibri" w:eastAsia="Calibri" w:hAnsi="Calibri" w:cs="Calibri"/>
          <w:sz w:val="20"/>
          <w:szCs w:val="20"/>
        </w:rPr>
        <w:t xml:space="preserve">ners’ perceptions about companies.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The Design Journal, 20</w:t>
      </w:r>
      <w:r w:rsidRPr="008F7CC3">
        <w:rPr>
          <w:rFonts w:ascii="Calibri" w:eastAsia="Calibri" w:hAnsi="Calibri" w:cs="Calibri"/>
          <w:sz w:val="20"/>
          <w:szCs w:val="20"/>
        </w:rPr>
        <w:t>(sup1), S2616–S2624.</w:t>
      </w:r>
    </w:p>
    <w:p w14:paraId="25036860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>Sahakian, J., &amp; Mahmoud-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Jouini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S. (2023). Building design as a dynamic capability: A model for design integration.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 Journal of Product Innovation Management, 40</w:t>
      </w:r>
      <w:r w:rsidRPr="008F7CC3">
        <w:rPr>
          <w:rFonts w:ascii="Calibri" w:eastAsia="Calibri" w:hAnsi="Calibri" w:cs="Calibri"/>
          <w:sz w:val="20"/>
          <w:szCs w:val="20"/>
        </w:rPr>
        <w:t>(5), 733-758.</w:t>
      </w:r>
    </w:p>
    <w:p w14:paraId="0EC7F2BC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>Sipe</w:t>
      </w:r>
      <w:r w:rsidRPr="008F7CC3">
        <w:rPr>
          <w:rFonts w:ascii="Calibri" w:eastAsia="Calibri" w:hAnsi="Calibri" w:cs="Calibri"/>
          <w:sz w:val="20"/>
          <w:szCs w:val="20"/>
        </w:rPr>
        <w:t>, B. S. (2020). Embedding design thinking in a culture of innovation at two community colleges.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Community College Journal of Research and Practice. 44</w:t>
      </w:r>
      <w:r w:rsidRPr="008F7CC3">
        <w:rPr>
          <w:rFonts w:ascii="Calibri" w:eastAsia="Calibri" w:hAnsi="Calibri" w:cs="Calibri"/>
          <w:sz w:val="20"/>
          <w:szCs w:val="20"/>
        </w:rPr>
        <w:t>(9), 657–676</w:t>
      </w:r>
    </w:p>
    <w:p w14:paraId="27B7D131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 xml:space="preserve">Snyder, K.,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Ingelsson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P.,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Bäckström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I. (2018). Using design thinking to support value-based leadership for sustainable quality development. 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Business Process Management Journal, 24</w:t>
      </w:r>
      <w:r w:rsidRPr="008F7CC3">
        <w:rPr>
          <w:rFonts w:ascii="Calibri" w:eastAsia="Calibri" w:hAnsi="Calibri" w:cs="Calibri"/>
          <w:sz w:val="20"/>
          <w:szCs w:val="20"/>
        </w:rPr>
        <w:t>(6), 1289-1301.</w:t>
      </w:r>
    </w:p>
    <w:p w14:paraId="51E115CC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Storvang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P., Jensen, S., &amp; Christensen, P. R. (2014). In</w:t>
      </w:r>
      <w:r w:rsidRPr="008F7CC3">
        <w:rPr>
          <w:rFonts w:ascii="Calibri" w:eastAsia="Calibri" w:hAnsi="Calibri" w:cs="Calibri"/>
          <w:sz w:val="20"/>
          <w:szCs w:val="20"/>
        </w:rPr>
        <w:t xml:space="preserve">novation through Design: A Framework for Design Capacity in a Danish Context.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Design Management Journal, 9</w:t>
      </w:r>
      <w:r w:rsidRPr="008F7CC3">
        <w:rPr>
          <w:rFonts w:ascii="Calibri" w:eastAsia="Calibri" w:hAnsi="Calibri" w:cs="Calibri"/>
          <w:sz w:val="20"/>
          <w:szCs w:val="20"/>
        </w:rPr>
        <w:t>(1), 9–22.</w:t>
      </w:r>
    </w:p>
    <w:p w14:paraId="430E1A83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proofErr w:type="spellStart"/>
      <w:r w:rsidRPr="008F7CC3">
        <w:rPr>
          <w:rFonts w:ascii="Calibri" w:eastAsia="Calibri" w:hAnsi="Calibri" w:cs="Calibri"/>
          <w:sz w:val="20"/>
          <w:szCs w:val="20"/>
        </w:rPr>
        <w:t>Vetterli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C.,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Uebernickel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F., Brenner, W., Petrie, C., &amp;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Stermann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 xml:space="preserve">, D. (2016). </w:t>
      </w:r>
      <w:proofErr w:type="gramStart"/>
      <w:r w:rsidRPr="008F7CC3">
        <w:rPr>
          <w:rFonts w:ascii="Calibri" w:eastAsia="Calibri" w:hAnsi="Calibri" w:cs="Calibri"/>
          <w:sz w:val="20"/>
          <w:szCs w:val="20"/>
        </w:rPr>
        <w:t>How</w:t>
      </w:r>
      <w:proofErr w:type="gramEnd"/>
      <w:r w:rsidRPr="008F7CC3">
        <w:rPr>
          <w:rFonts w:ascii="Calibri" w:eastAsia="Calibri" w:hAnsi="Calibri" w:cs="Calibri"/>
          <w:sz w:val="20"/>
          <w:szCs w:val="20"/>
        </w:rPr>
        <w:t xml:space="preserve"> Deutsche Bank’s IT Division Used Design Thinking to Achi</w:t>
      </w:r>
      <w:r w:rsidRPr="008F7CC3">
        <w:rPr>
          <w:rFonts w:ascii="Calibri" w:eastAsia="Calibri" w:hAnsi="Calibri" w:cs="Calibri"/>
          <w:sz w:val="20"/>
          <w:szCs w:val="20"/>
        </w:rPr>
        <w:t xml:space="preserve">eve Customer Proximity.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 xml:space="preserve">MIS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lastRenderedPageBreak/>
        <w:t>Quarterly Executive</w:t>
      </w:r>
      <w:r w:rsidRPr="008F7CC3">
        <w:rPr>
          <w:rFonts w:ascii="Calibri" w:eastAsia="Calibri" w:hAnsi="Calibri" w:cs="Calibri"/>
          <w:sz w:val="20"/>
          <w:szCs w:val="20"/>
        </w:rPr>
        <w:t xml:space="preserve">,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15</w:t>
      </w:r>
      <w:r w:rsidRPr="008F7CC3">
        <w:rPr>
          <w:rFonts w:ascii="Calibri" w:eastAsia="Calibri" w:hAnsi="Calibri" w:cs="Calibri"/>
          <w:sz w:val="20"/>
          <w:szCs w:val="20"/>
        </w:rPr>
        <w:t>(1), 37–53.</w:t>
      </w:r>
    </w:p>
    <w:p w14:paraId="0F1BE08B" w14:textId="77777777" w:rsidR="001C53EB" w:rsidRPr="008F7CC3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 xml:space="preserve">Wrigley, C. (2016). Design Innovation Catalysts: Education and Impact. 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She Ji: The Journal of Design, Economics, and Innovation</w:t>
      </w:r>
      <w:r w:rsidRPr="008F7CC3">
        <w:rPr>
          <w:rFonts w:ascii="Calibri" w:eastAsia="Calibri" w:hAnsi="Calibri" w:cs="Calibri"/>
          <w:sz w:val="20"/>
          <w:szCs w:val="20"/>
        </w:rPr>
        <w:t>,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 xml:space="preserve"> 2</w:t>
      </w:r>
      <w:r w:rsidRPr="008F7CC3">
        <w:rPr>
          <w:rFonts w:ascii="Calibri" w:eastAsia="Calibri" w:hAnsi="Calibri" w:cs="Calibri"/>
          <w:sz w:val="20"/>
          <w:szCs w:val="20"/>
        </w:rPr>
        <w:t xml:space="preserve">(2), 148–165. </w:t>
      </w:r>
    </w:p>
    <w:p w14:paraId="3B81FCE1" w14:textId="77777777" w:rsidR="001C53EB" w:rsidRDefault="008F7CC3">
      <w:pPr>
        <w:widowControl w:val="0"/>
        <w:ind w:left="480" w:hanging="480"/>
        <w:rPr>
          <w:rFonts w:ascii="Calibri" w:eastAsia="Calibri" w:hAnsi="Calibri" w:cs="Calibri"/>
          <w:sz w:val="20"/>
          <w:szCs w:val="20"/>
        </w:rPr>
      </w:pPr>
      <w:r w:rsidRPr="008F7CC3">
        <w:rPr>
          <w:rFonts w:ascii="Calibri" w:eastAsia="Calibri" w:hAnsi="Calibri" w:cs="Calibri"/>
          <w:sz w:val="20"/>
          <w:szCs w:val="20"/>
        </w:rPr>
        <w:t xml:space="preserve">Wrigley, C., </w:t>
      </w:r>
      <w:proofErr w:type="spellStart"/>
      <w:r w:rsidRPr="008F7CC3">
        <w:rPr>
          <w:rFonts w:ascii="Calibri" w:eastAsia="Calibri" w:hAnsi="Calibri" w:cs="Calibri"/>
          <w:sz w:val="20"/>
          <w:szCs w:val="20"/>
        </w:rPr>
        <w:t>Nusem</w:t>
      </w:r>
      <w:proofErr w:type="spellEnd"/>
      <w:r w:rsidRPr="008F7CC3">
        <w:rPr>
          <w:rFonts w:ascii="Calibri" w:eastAsia="Calibri" w:hAnsi="Calibri" w:cs="Calibri"/>
          <w:sz w:val="20"/>
          <w:szCs w:val="20"/>
        </w:rPr>
        <w:t>, E., &amp; Straker, K. (2020). Im</w:t>
      </w:r>
      <w:r w:rsidRPr="008F7CC3">
        <w:rPr>
          <w:rFonts w:ascii="Calibri" w:eastAsia="Calibri" w:hAnsi="Calibri" w:cs="Calibri"/>
          <w:sz w:val="20"/>
          <w:szCs w:val="20"/>
        </w:rPr>
        <w:t>plementing design thinking: Understanding organizational conditions.</w:t>
      </w:r>
      <w:r w:rsidRPr="008F7CC3">
        <w:rPr>
          <w:rFonts w:ascii="Calibri" w:eastAsia="Calibri" w:hAnsi="Calibri" w:cs="Calibri"/>
          <w:i/>
          <w:iCs/>
          <w:sz w:val="20"/>
          <w:szCs w:val="20"/>
        </w:rPr>
        <w:t> California Management Review, 62</w:t>
      </w:r>
      <w:r w:rsidRPr="008F7CC3">
        <w:rPr>
          <w:rFonts w:ascii="Calibri" w:eastAsia="Calibri" w:hAnsi="Calibri" w:cs="Calibri"/>
          <w:sz w:val="20"/>
          <w:szCs w:val="20"/>
        </w:rPr>
        <w:t>(2), 125-143.</w:t>
      </w:r>
    </w:p>
    <w:sectPr w:rsidR="001C53EB"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EED36D-F291-4859-8380-84C3BBD41367}"/>
    <w:embedBold r:id="rId2" w:fontKey="{AA3193E4-941E-4BCF-B312-F175DBB38385}"/>
    <w:embedItalic r:id="rId3" w:fontKey="{C20A2624-4DCE-4302-9427-93AE244B73A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17372FBA-603F-499E-9EC8-F027E3FE50ED}"/>
  </w:font>
  <w:font w:name="Georgia">
    <w:panose1 w:val="02040502050405020303"/>
    <w:charset w:val="00"/>
    <w:family w:val="auto"/>
    <w:pitch w:val="default"/>
    <w:embedItalic r:id="rId5" w:fontKey="{EACE8B4F-E95A-453C-9FBD-3071478811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EB"/>
    <w:rsid w:val="001C53EB"/>
    <w:rsid w:val="008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EBE0"/>
  <w15:docId w15:val="{E9937128-89C9-47E5-AA5F-2CE29AB1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s-E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ind w:left="567" w:hanging="567"/>
      <w:outlineLvl w:val="0"/>
    </w:pPr>
    <w:rPr>
      <w:b/>
      <w:bCs/>
      <w:color w:val="00000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after="0"/>
      <w:ind w:left="567" w:hanging="567"/>
      <w:jc w:val="both"/>
      <w:outlineLvl w:val="1"/>
    </w:pPr>
    <w:rPr>
      <w:b/>
      <w:bCs/>
      <w:color w:val="000000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ar">
    <w:name w:val="Título 1 Car"/>
    <w:basedOn w:val="Fuentedeprrafopredeter"/>
    <w:uiPriority w:val="9"/>
    <w:rsid w:val="001855C5"/>
    <w:rPr>
      <w:rFonts w:ascii="Times New Roman" w:eastAsiaTheme="majorEastAsia" w:hAnsi="Times New Roman" w:cs="Times New Roman"/>
      <w:b/>
      <w:color w:val="000000" w:themeColor="text1"/>
      <w:sz w:val="36"/>
      <w:szCs w:val="36"/>
      <w:lang w:val="en-GB" w:eastAsia="es-ES"/>
    </w:rPr>
  </w:style>
  <w:style w:type="character" w:customStyle="1" w:styleId="Ttulo2Car">
    <w:name w:val="Título 2 Car"/>
    <w:basedOn w:val="Fuentedeprrafopredeter"/>
    <w:uiPriority w:val="9"/>
    <w:rsid w:val="001855C5"/>
    <w:rPr>
      <w:rFonts w:ascii="Times New Roman" w:eastAsiaTheme="majorEastAsia" w:hAnsi="Times New Roman" w:cs="Times New Roman"/>
      <w:b/>
      <w:bCs/>
      <w:iCs/>
      <w:color w:val="000000" w:themeColor="text1"/>
      <w:sz w:val="28"/>
      <w:szCs w:val="24"/>
      <w:lang w:val="en-GB" w:eastAsia="es-ES"/>
    </w:rPr>
  </w:style>
  <w:style w:type="character" w:customStyle="1" w:styleId="Ttulo3Car">
    <w:name w:val="Título 3 Car"/>
    <w:basedOn w:val="Fuentedeprrafopredeter"/>
    <w:uiPriority w:val="9"/>
    <w:semiHidden/>
    <w:rsid w:val="001855C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37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379E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Piedepgina">
    <w:name w:val="footer"/>
    <w:basedOn w:val="Normal"/>
    <w:link w:val="PiedepginaCar"/>
    <w:uiPriority w:val="99"/>
    <w:unhideWhenUsed/>
    <w:rsid w:val="00C637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379E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table" w:styleId="Tablaconcuadrcula">
    <w:name w:val="Table Grid"/>
    <w:basedOn w:val="Tablanormal"/>
    <w:uiPriority w:val="39"/>
    <w:rsid w:val="0077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U6NmyNFHHyV8fDhIlD0W2kfL7g==">CgMxLjAyDmguMW9wNnNiNWJocXlvMg5oLmI1aHpvYjZ1NWZkbzIOaC5qenc2ajloNnRwcXoyDmguNXc3MHprZDdqamhsMg5oLnh1em5zZG4yYzI5NTgAaiUKFHN1Z2dlc3QuYmsyaWYwbTFhanJoEg1NYXlhIEhvdmVza29nciExNmo1dHVHdFNHMmh0R3VMcEtEZzFQRk8zM0EwOFRZeVA=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1735</Words>
  <Characters>9546</Characters>
  <Application>Microsoft Office Word</Application>
  <DocSecurity>0</DocSecurity>
  <Lines>79</Lines>
  <Paragraphs>22</Paragraphs>
  <ScaleCrop>false</ScaleCrop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Iriarte</dc:creator>
  <cp:lastModifiedBy>Ion Iriarte</cp:lastModifiedBy>
  <cp:revision>2</cp:revision>
  <dcterms:created xsi:type="dcterms:W3CDTF">2025-05-07T08:26:00Z</dcterms:created>
  <dcterms:modified xsi:type="dcterms:W3CDTF">2026-02-06T17:27:00Z</dcterms:modified>
</cp:coreProperties>
</file>