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41F94" w14:textId="77777777" w:rsidR="00312265" w:rsidRPr="001F1D37" w:rsidRDefault="00A810D8">
      <w:pPr>
        <w:pStyle w:val="Ttulo1"/>
        <w:ind w:left="708" w:hanging="708"/>
        <w:rPr>
          <w:rFonts w:ascii="Calibri" w:eastAsia="Calibri" w:hAnsi="Calibri" w:cs="Calibri"/>
        </w:rPr>
      </w:pPr>
      <w:r w:rsidRPr="001F1D37">
        <w:rPr>
          <w:rFonts w:ascii="Calibri" w:eastAsia="Calibri" w:hAnsi="Calibri" w:cs="Calibri"/>
        </w:rPr>
        <w:t>Supplementary Data - Appendix C: Illustrative quotes</w:t>
      </w:r>
    </w:p>
    <w:p w14:paraId="462C2F68" w14:textId="5E2A0D1D" w:rsidR="00312265" w:rsidRPr="003546BD" w:rsidRDefault="00A810D8">
      <w:pPr>
        <w:rPr>
          <w:b/>
          <w:bCs/>
        </w:rPr>
      </w:pPr>
      <w:r w:rsidRPr="001F1D37">
        <w:rPr>
          <w:b/>
          <w:bCs/>
        </w:rPr>
        <w:t xml:space="preserve">This table includes the </w:t>
      </w:r>
      <w:r w:rsidR="003546BD" w:rsidRPr="001F1D37">
        <w:rPr>
          <w:b/>
          <w:bCs/>
        </w:rPr>
        <w:t xml:space="preserve">main </w:t>
      </w:r>
      <w:r w:rsidRPr="001F1D37">
        <w:rPr>
          <w:b/>
          <w:bCs/>
        </w:rPr>
        <w:t xml:space="preserve">themes identified in the literature, together with expert designers’ illustrative quotes that inform the </w:t>
      </w:r>
      <w:r w:rsidR="003546BD" w:rsidRPr="001F1D37">
        <w:rPr>
          <w:b/>
          <w:bCs/>
        </w:rPr>
        <w:t xml:space="preserve">codes, sub-themes and themes. The sub-themes summarise descriptive, data-grounded patterns identified during analysis, prior to their interpretive translation into </w:t>
      </w:r>
      <w:r w:rsidR="00FA4610" w:rsidRPr="001F1D37">
        <w:rPr>
          <w:b/>
          <w:bCs/>
        </w:rPr>
        <w:t xml:space="preserve">practice-oriented </w:t>
      </w:r>
      <w:r w:rsidR="003546BD" w:rsidRPr="001F1D37">
        <w:rPr>
          <w:b/>
          <w:bCs/>
        </w:rPr>
        <w:t xml:space="preserve">sub-themes and </w:t>
      </w:r>
      <w:r w:rsidR="00FA4610" w:rsidRPr="001F1D37">
        <w:rPr>
          <w:b/>
          <w:bCs/>
        </w:rPr>
        <w:t>themes (</w:t>
      </w:r>
      <w:r w:rsidR="003546BD" w:rsidRPr="001F1D37">
        <w:rPr>
          <w:b/>
          <w:bCs/>
        </w:rPr>
        <w:t>managerial propositions</w:t>
      </w:r>
      <w:r w:rsidR="00FA4610" w:rsidRPr="001F1D37">
        <w:rPr>
          <w:b/>
          <w:bCs/>
        </w:rPr>
        <w:t>).</w:t>
      </w:r>
      <w:r w:rsidR="003546BD" w:rsidRPr="00FA4610">
        <w:rPr>
          <w:b/>
          <w:bCs/>
        </w:rPr>
        <w:t xml:space="preserve"> </w:t>
      </w:r>
    </w:p>
    <w:tbl>
      <w:tblPr>
        <w:tblStyle w:val="a"/>
        <w:tblW w:w="13913" w:type="dxa"/>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92"/>
        <w:gridCol w:w="2346"/>
        <w:gridCol w:w="2032"/>
        <w:gridCol w:w="2360"/>
        <w:gridCol w:w="1961"/>
        <w:gridCol w:w="1961"/>
        <w:gridCol w:w="1961"/>
      </w:tblGrid>
      <w:tr w:rsidR="00F8107A" w:rsidRPr="001F1D37" w14:paraId="59AF1CC4" w14:textId="77777777" w:rsidTr="00F810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2" w:type="dxa"/>
          </w:tcPr>
          <w:p w14:paraId="28237CED" w14:textId="77777777" w:rsidR="00F8107A" w:rsidRPr="001F1D37" w:rsidRDefault="00F8107A">
            <w:pPr>
              <w:rPr>
                <w:rFonts w:ascii="Calibri" w:eastAsia="Calibri" w:hAnsi="Calibri" w:cs="Calibri"/>
                <w:sz w:val="16"/>
                <w:szCs w:val="16"/>
              </w:rPr>
            </w:pPr>
            <w:r w:rsidRPr="001F1D37">
              <w:rPr>
                <w:rFonts w:ascii="Calibri" w:eastAsia="Calibri" w:hAnsi="Calibri" w:cs="Calibri"/>
                <w:sz w:val="16"/>
                <w:szCs w:val="16"/>
              </w:rPr>
              <w:t>Themes from the literature review</w:t>
            </w:r>
          </w:p>
        </w:tc>
        <w:tc>
          <w:tcPr>
            <w:tcW w:w="2346" w:type="dxa"/>
          </w:tcPr>
          <w:p w14:paraId="747C6942" w14:textId="77777777" w:rsidR="00F8107A" w:rsidRPr="001F1D37" w:rsidRDefault="00F8107A">
            <w:pPr>
              <w:cnfStyle w:val="100000000000" w:firstRow="1" w:lastRow="0" w:firstColumn="0" w:lastColumn="0" w:oddVBand="0" w:evenVBand="0" w:oddHBand="0" w:evenHBand="0" w:firstRowFirstColumn="0" w:firstRowLastColumn="0" w:lastRowFirstColumn="0" w:lastRowLastColumn="0"/>
              <w:rPr>
                <w:sz w:val="16"/>
                <w:szCs w:val="16"/>
              </w:rPr>
            </w:pPr>
            <w:r w:rsidRPr="001F1D37">
              <w:rPr>
                <w:rFonts w:ascii="Calibri" w:eastAsia="Calibri" w:hAnsi="Calibri" w:cs="Calibri"/>
                <w:sz w:val="16"/>
                <w:szCs w:val="16"/>
              </w:rPr>
              <w:t>Illustrative quotes from expert designers about concerns (quotes informing the codes)</w:t>
            </w:r>
          </w:p>
        </w:tc>
        <w:tc>
          <w:tcPr>
            <w:tcW w:w="2032" w:type="dxa"/>
          </w:tcPr>
          <w:p w14:paraId="63DF0F05" w14:textId="77777777" w:rsidR="00F8107A" w:rsidRPr="001F1D37" w:rsidRDefault="00F8107A">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Common concerns raised in financial organisations by expert designers</w:t>
            </w:r>
          </w:p>
        </w:tc>
        <w:tc>
          <w:tcPr>
            <w:tcW w:w="2360" w:type="dxa"/>
          </w:tcPr>
          <w:p w14:paraId="7F50315E" w14:textId="77777777" w:rsidR="00F8107A" w:rsidRPr="001F1D37" w:rsidRDefault="00F8107A">
            <w:pPr>
              <w:cnfStyle w:val="100000000000" w:firstRow="1" w:lastRow="0" w:firstColumn="0" w:lastColumn="0" w:oddVBand="0" w:evenVBand="0" w:oddHBand="0" w:evenHBand="0" w:firstRowFirstColumn="0" w:firstRowLastColumn="0" w:lastRowFirstColumn="0" w:lastRowLastColumn="0"/>
              <w:rPr>
                <w:sz w:val="16"/>
                <w:szCs w:val="16"/>
              </w:rPr>
            </w:pPr>
            <w:r w:rsidRPr="001F1D37">
              <w:rPr>
                <w:rFonts w:ascii="Calibri" w:eastAsia="Calibri" w:hAnsi="Calibri" w:cs="Calibri"/>
                <w:sz w:val="16"/>
                <w:szCs w:val="16"/>
              </w:rPr>
              <w:t>Illustrative quotes from expert designers about managerial propositions to address the concerns (quotes informing the codes)</w:t>
            </w:r>
          </w:p>
        </w:tc>
        <w:tc>
          <w:tcPr>
            <w:tcW w:w="1961" w:type="dxa"/>
          </w:tcPr>
          <w:p w14:paraId="0F963A88" w14:textId="20EB8E77" w:rsidR="00F8107A" w:rsidRPr="001F1D37" w:rsidRDefault="00FA4610">
            <w:pPr>
              <w:cnfStyle w:val="100000000000" w:firstRow="1" w:lastRow="0" w:firstColumn="0" w:lastColumn="0" w:oddVBand="0" w:evenVBand="0" w:oddHBand="0" w:evenHBand="0" w:firstRowFirstColumn="0" w:firstRowLastColumn="0" w:lastRowFirstColumn="0" w:lastRowLastColumn="0"/>
              <w:rPr>
                <w:sz w:val="16"/>
                <w:szCs w:val="16"/>
              </w:rPr>
            </w:pPr>
            <w:r w:rsidRPr="001F1D37">
              <w:rPr>
                <w:rFonts w:ascii="Calibri" w:eastAsia="Calibri" w:hAnsi="Calibri" w:cs="Calibri"/>
                <w:sz w:val="16"/>
                <w:szCs w:val="16"/>
              </w:rPr>
              <w:t>S</w:t>
            </w:r>
            <w:r w:rsidR="00F8107A" w:rsidRPr="001F1D37">
              <w:rPr>
                <w:rFonts w:ascii="Calibri" w:eastAsia="Calibri" w:hAnsi="Calibri" w:cs="Calibri"/>
                <w:sz w:val="16"/>
                <w:szCs w:val="16"/>
              </w:rPr>
              <w:t xml:space="preserve">ub-themes </w:t>
            </w:r>
          </w:p>
        </w:tc>
        <w:tc>
          <w:tcPr>
            <w:tcW w:w="1961" w:type="dxa"/>
          </w:tcPr>
          <w:p w14:paraId="31253335" w14:textId="13B73E17" w:rsidR="00F8107A" w:rsidRPr="001F1D37" w:rsidRDefault="00FA4610">
            <w:pPr>
              <w:cnfStyle w:val="100000000000" w:firstRow="1" w:lastRow="0" w:firstColumn="0" w:lastColumn="0" w:oddVBand="0" w:evenVBand="0" w:oddHBand="0" w:evenHBand="0" w:firstRowFirstColumn="0" w:firstRowLastColumn="0" w:lastRowFirstColumn="0" w:lastRowLastColumn="0"/>
              <w:rPr>
                <w:sz w:val="16"/>
                <w:szCs w:val="16"/>
              </w:rPr>
            </w:pPr>
            <w:r w:rsidRPr="001F1D37">
              <w:rPr>
                <w:rFonts w:ascii="Calibri" w:eastAsia="Calibri" w:hAnsi="Calibri" w:cs="Calibri"/>
                <w:sz w:val="16"/>
                <w:szCs w:val="16"/>
              </w:rPr>
              <w:t>P</w:t>
            </w:r>
            <w:r w:rsidR="00287EE1" w:rsidRPr="001F1D37">
              <w:rPr>
                <w:rFonts w:ascii="Calibri" w:eastAsia="Calibri" w:hAnsi="Calibri" w:cs="Calibri"/>
                <w:sz w:val="16"/>
                <w:szCs w:val="16"/>
              </w:rPr>
              <w:t>ractice-oriented sub-themes</w:t>
            </w:r>
          </w:p>
        </w:tc>
        <w:tc>
          <w:tcPr>
            <w:tcW w:w="1961" w:type="dxa"/>
          </w:tcPr>
          <w:p w14:paraId="7B2A3E3C" w14:textId="77777777" w:rsidR="00F8107A" w:rsidRPr="001F1D37" w:rsidRDefault="00F8107A">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Managerial propositions for developing HCD capabilities in financial organisations</w:t>
            </w:r>
          </w:p>
          <w:p w14:paraId="1EA276AA" w14:textId="77777777" w:rsidR="00F8107A" w:rsidRPr="001F1D37" w:rsidRDefault="00F8107A">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(themes)</w:t>
            </w:r>
          </w:p>
        </w:tc>
      </w:tr>
      <w:tr w:rsidR="00C55266" w:rsidRPr="001F1D37" w14:paraId="3389DEDF" w14:textId="77777777" w:rsidTr="00F81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2" w:type="dxa"/>
            <w:vMerge w:val="restart"/>
          </w:tcPr>
          <w:p w14:paraId="2DEF7035" w14:textId="77777777" w:rsidR="00F8107A" w:rsidRPr="001F1D37" w:rsidRDefault="00F8107A">
            <w:pPr>
              <w:rPr>
                <w:rFonts w:ascii="Calibri" w:eastAsia="Calibri" w:hAnsi="Calibri" w:cs="Calibri"/>
                <w:sz w:val="16"/>
                <w:szCs w:val="16"/>
              </w:rPr>
            </w:pPr>
            <w:r w:rsidRPr="001F1D37">
              <w:rPr>
                <w:rFonts w:ascii="Calibri" w:eastAsia="Calibri" w:hAnsi="Calibri" w:cs="Calibri"/>
                <w:b w:val="0"/>
                <w:bCs w:val="0"/>
                <w:sz w:val="16"/>
                <w:szCs w:val="16"/>
              </w:rPr>
              <w:t>Contextual Perspective</w:t>
            </w:r>
          </w:p>
        </w:tc>
        <w:tc>
          <w:tcPr>
            <w:tcW w:w="2346" w:type="dxa"/>
          </w:tcPr>
          <w:p w14:paraId="55B07566"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“The teams were doing very good, high-impact work and the changes were noticeable, but without a support structure everything collapsed after a few months. There was no institutional memory. The wheel was constantly being reinvented.” (Expert Designer 1)</w:t>
            </w:r>
          </w:p>
          <w:p w14:paraId="6D94A338"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7A467B06"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“We are constantly engaged in the work of evangelising so that the value of HCD is understood. That takes time away from what really matters: designing and improving the user experience. Many times, we are told: ‘we’ve already done a Design Thinking course, that’s enough’, but no investment is made in structures, processes or resources that would allow these capabilities to be consolidated within the organisation.” (Expert Designer 2)</w:t>
            </w:r>
          </w:p>
          <w:p w14:paraId="7CEA93BB"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4E326531"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lastRenderedPageBreak/>
              <w:t>“We have carried out many training programmes, even with very good external experts, but afterwards everything returned to the way it was before. The culture did not change because there was no organisational transformation. People leave workshops motivated, but the very next day they encounter the same barriers.” (Expert Designer 8)</w:t>
            </w:r>
          </w:p>
          <w:p w14:paraId="7E60F72B"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68F71BD0"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“Many times, we are told that they have already taken a Design Thinking course and that it is sufficient. But the reality is that this kind of one-off training changes nothing if it is not accompanied by initiatives that enable what has been learnt to be applied, the impact measured, and the capability further developed. They keep the pretty picture from the workshop, but without touching the systems, processes or incentives that make it possible for HCD to have an impact.” (Expert Designer 9)</w:t>
            </w:r>
          </w:p>
          <w:p w14:paraId="6AF2E9AE"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03FBA05E"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 xml:space="preserve">“Even if the experts within the financial organisation understand the value of HCD, if there are no structures to back up that work afterwards, it becomes a constant struggle for designers and eventually wears them out. You can run training workshops, pilot projects, even achieve good results, but if the organisation does not change, everything dissipates. A different </w:t>
            </w:r>
            <w:r w:rsidRPr="001F1D37">
              <w:rPr>
                <w:rFonts w:ascii="Calibri" w:eastAsia="Calibri" w:hAnsi="Calibri" w:cs="Calibri"/>
                <w:i/>
                <w:iCs/>
                <w:sz w:val="16"/>
                <w:szCs w:val="16"/>
              </w:rPr>
              <w:lastRenderedPageBreak/>
              <w:t>organisational foundation is needed for design to be sustained over time.” (Expert Designer 9)</w:t>
            </w:r>
          </w:p>
          <w:p w14:paraId="6743D5D7"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306F92F1" w14:textId="009359B3" w:rsidR="00F8107A" w:rsidRPr="001F1D37" w:rsidRDefault="00F8107A">
            <w:pPr>
              <w:cnfStyle w:val="000000100000" w:firstRow="0" w:lastRow="0" w:firstColumn="0" w:lastColumn="0" w:oddVBand="0" w:evenVBand="0" w:oddHBand="1" w:evenHBand="0" w:firstRowFirstColumn="0" w:firstRowLastColumn="0" w:lastRowFirstColumn="0" w:lastRowLastColumn="0"/>
              <w:rPr>
                <w:sz w:val="16"/>
                <w:szCs w:val="16"/>
              </w:rPr>
            </w:pPr>
            <w:r w:rsidRPr="001F1D37">
              <w:rPr>
                <w:rFonts w:ascii="Calibri" w:eastAsia="Calibri" w:hAnsi="Calibri" w:cs="Calibri"/>
                <w:i/>
                <w:iCs/>
                <w:sz w:val="16"/>
                <w:szCs w:val="16"/>
              </w:rPr>
              <w:t>“We started off with support, but when there is no stable budget or follow-up, everything falls apart. The team changes, focus is lost, and what was learnt fades away. We need structures that sustain what has been learnt over time.” (Expert Designer 11)</w:t>
            </w:r>
          </w:p>
        </w:tc>
        <w:tc>
          <w:tcPr>
            <w:tcW w:w="2032" w:type="dxa"/>
          </w:tcPr>
          <w:p w14:paraId="4364E85D"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lastRenderedPageBreak/>
              <w:t>In financial organisations, failed attempts to develop HCD capability often stemmed from a narrow focus on training, neglecting broader organisational change.</w:t>
            </w:r>
          </w:p>
        </w:tc>
        <w:tc>
          <w:tcPr>
            <w:tcW w:w="2360" w:type="dxa"/>
          </w:tcPr>
          <w:p w14:paraId="11331633"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“Beyond knowing how to use HCD tools, we have realised that we need spaces in our organisational structure in which to share experiences, reflect on practice and support each other as peers. What really enables someone to grow as a designer is having a legitimate place for practice.” (Expert Designer 5)</w:t>
            </w:r>
          </w:p>
          <w:p w14:paraId="6FE750E8"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1817BED5"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“In our organisation we carried out intensive HCD courses, but afterwards everything remained the same. The team returned to its previous dynamics. Nothing changed until the role of internal design ambassadors was established in each area and they were given authority and decision-making power. Enthusiasm alone is not enough if the structure does not change.” (Expert Designer 9)</w:t>
            </w:r>
          </w:p>
          <w:p w14:paraId="6200B03E"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4F762393"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 xml:space="preserve">“I realised that we needed much more than occasional training workshops. Without continuous </w:t>
            </w:r>
            <w:r w:rsidRPr="001F1D37">
              <w:rPr>
                <w:rFonts w:ascii="Calibri" w:eastAsia="Calibri" w:hAnsi="Calibri" w:cs="Calibri"/>
                <w:i/>
                <w:iCs/>
                <w:sz w:val="16"/>
                <w:szCs w:val="16"/>
              </w:rPr>
              <w:lastRenderedPageBreak/>
              <w:t>support, the impact of learning quickly faded. It is not enough to teach an HCD method or tool; it is necessary to build a community, to create safe spaces within the organisational structure to share experiences, reflect on practice and strengthen the role of those driving change. Only in this way can HCD knowledge be transferred in a real and sustainable manner within the organisation.” (Expert Designer 10)</w:t>
            </w:r>
          </w:p>
          <w:p w14:paraId="023F8B35"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5ACC2AB2"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sz w:val="16"/>
                <w:szCs w:val="16"/>
              </w:rPr>
            </w:pPr>
          </w:p>
        </w:tc>
        <w:tc>
          <w:tcPr>
            <w:tcW w:w="1961" w:type="dxa"/>
          </w:tcPr>
          <w:p w14:paraId="2FC802C4"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1F1D37">
              <w:rPr>
                <w:rFonts w:asciiTheme="minorHAnsi" w:hAnsiTheme="minorHAnsi" w:cstheme="minorHAnsi"/>
                <w:sz w:val="16"/>
                <w:szCs w:val="16"/>
              </w:rPr>
              <w:lastRenderedPageBreak/>
              <w:t>Absence of organisational support structures</w:t>
            </w:r>
          </w:p>
          <w:p w14:paraId="67AF9211"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p w14:paraId="1AB038F3"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1F1D37">
              <w:rPr>
                <w:rFonts w:asciiTheme="minorHAnsi" w:hAnsiTheme="minorHAnsi" w:cstheme="minorHAnsi"/>
                <w:sz w:val="16"/>
                <w:szCs w:val="16"/>
              </w:rPr>
              <w:t>Absence of legitimised HCD roles and responsibilities</w:t>
            </w:r>
          </w:p>
          <w:p w14:paraId="1B6805C5" w14:textId="77777777" w:rsidR="00D9258F" w:rsidRPr="001F1D37" w:rsidRDefault="00D9258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p w14:paraId="49BA0BBE" w14:textId="15B253A0" w:rsidR="00D9258F" w:rsidRPr="001F1D37" w:rsidRDefault="00D9258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1F1D37">
              <w:rPr>
                <w:rFonts w:asciiTheme="minorHAnsi" w:hAnsiTheme="minorHAnsi" w:cstheme="minorHAnsi"/>
                <w:sz w:val="16"/>
                <w:szCs w:val="16"/>
              </w:rPr>
              <w:t>Over-reliance on training without structural management support</w:t>
            </w:r>
          </w:p>
        </w:tc>
        <w:tc>
          <w:tcPr>
            <w:tcW w:w="1961" w:type="dxa"/>
          </w:tcPr>
          <w:p w14:paraId="658EE294" w14:textId="11501ECB"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Restructure the organisation and establish scaffolding mechanisms throughout the organisational hierarchy.</w:t>
            </w:r>
          </w:p>
          <w:p w14:paraId="35973889"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p>
          <w:p w14:paraId="0560A169"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Ensure support from top management that links HCD to strategic business indicators beyond immediate conversion.</w:t>
            </w:r>
          </w:p>
          <w:p w14:paraId="671CF11D"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p>
          <w:p w14:paraId="5C5AD9AC"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p>
        </w:tc>
        <w:tc>
          <w:tcPr>
            <w:tcW w:w="1961" w:type="dxa"/>
          </w:tcPr>
          <w:p w14:paraId="245D8A28"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Proposition 1: developing HCD capability requires support systems beyond training initiatives.</w:t>
            </w:r>
          </w:p>
        </w:tc>
      </w:tr>
      <w:tr w:rsidR="00C55266" w:rsidRPr="001F1D37" w14:paraId="63CEAD77" w14:textId="77777777" w:rsidTr="00F8107A">
        <w:tc>
          <w:tcPr>
            <w:cnfStyle w:val="001000000000" w:firstRow="0" w:lastRow="0" w:firstColumn="1" w:lastColumn="0" w:oddVBand="0" w:evenVBand="0" w:oddHBand="0" w:evenHBand="0" w:firstRowFirstColumn="0" w:firstRowLastColumn="0" w:lastRowFirstColumn="0" w:lastRowLastColumn="0"/>
            <w:tcW w:w="1292" w:type="dxa"/>
            <w:vMerge/>
          </w:tcPr>
          <w:p w14:paraId="4B37EFA5" w14:textId="77777777" w:rsidR="00F8107A" w:rsidRPr="001F1D37" w:rsidRDefault="00F8107A">
            <w:pPr>
              <w:widowControl w:val="0"/>
              <w:pBdr>
                <w:top w:val="nil"/>
                <w:left w:val="nil"/>
                <w:bottom w:val="nil"/>
                <w:right w:val="nil"/>
                <w:between w:val="nil"/>
              </w:pBdr>
              <w:spacing w:line="276" w:lineRule="auto"/>
              <w:rPr>
                <w:rFonts w:ascii="Calibri" w:eastAsia="Calibri" w:hAnsi="Calibri" w:cs="Calibri"/>
                <w:sz w:val="16"/>
                <w:szCs w:val="16"/>
              </w:rPr>
            </w:pPr>
          </w:p>
        </w:tc>
        <w:tc>
          <w:tcPr>
            <w:tcW w:w="2346" w:type="dxa"/>
          </w:tcPr>
          <w:p w14:paraId="3BF17697"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“We used to work for the rest as if we were a consultancy, not directly involved in the day-to-day of the projects. That meant we were perceived only as visual support, the ones who ‘make the screens’. Even though we participated from the early stages of product development, I felt that our voice did not carry the same weight as that of other areas.” (Expert Designer 2)</w:t>
            </w:r>
          </w:p>
          <w:p w14:paraId="395F5D0B"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1A812ED6"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“There are still many people in financial institutions who think that design is just about drawing screens. We constantly have to explain that design also structures processes, helps to think about the user, and does not simply beautify. It is crucial that design is understood as a way of thinking that adds value to decision-making, not merely as a visual resource.” (Expert Designer 5)</w:t>
            </w:r>
          </w:p>
          <w:p w14:paraId="68EE984A"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245532D7"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 xml:space="preserve">“In my experience, in many financial organisations, design is </w:t>
            </w:r>
            <w:r w:rsidRPr="001F1D37">
              <w:rPr>
                <w:rFonts w:ascii="Calibri" w:eastAsia="Calibri" w:hAnsi="Calibri" w:cs="Calibri"/>
                <w:i/>
                <w:iCs/>
                <w:sz w:val="16"/>
                <w:szCs w:val="16"/>
              </w:rPr>
              <w:lastRenderedPageBreak/>
              <w:t>viewed as a discipline that helps to fix things or to execute a solution. For me, however, it is about how we influence culture, how ways of working are transformed, and how decisions are made. If we cannot bring design to that level, it will be very difficult to generate real transformations.” (Expert Designer 5)</w:t>
            </w:r>
          </w:p>
          <w:p w14:paraId="738C216B"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61EAF25E"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“Design is often seen as something aesthetic, a one-off stage of the project. There is a great deal of confusion about what it actually entails. If we do not do the work of explaining its strategic value, we continue to be seen as ‘the post-it people’. That greatly limits what we can achieve.” (Expert Designer 7)</w:t>
            </w:r>
          </w:p>
          <w:p w14:paraId="0D60DA97"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57AE8F8C"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sz w:val="16"/>
                <w:szCs w:val="16"/>
              </w:rPr>
            </w:pPr>
            <w:r w:rsidRPr="001F1D37">
              <w:rPr>
                <w:rFonts w:ascii="Calibri" w:eastAsia="Calibri" w:hAnsi="Calibri" w:cs="Calibri"/>
                <w:i/>
                <w:iCs/>
                <w:sz w:val="16"/>
                <w:szCs w:val="16"/>
              </w:rPr>
              <w:t>“When we try to talk about strategy or experience, we are told that those are more ‘business matters’.” (Expert Designer 9)</w:t>
            </w:r>
          </w:p>
        </w:tc>
        <w:tc>
          <w:tcPr>
            <w:tcW w:w="2032" w:type="dxa"/>
          </w:tcPr>
          <w:p w14:paraId="5EC5CCA4"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lastRenderedPageBreak/>
              <w:t>In financial organisations, HCD capability development is constrained by limited cultural legitimacy.</w:t>
            </w:r>
          </w:p>
        </w:tc>
        <w:tc>
          <w:tcPr>
            <w:tcW w:w="2360" w:type="dxa"/>
          </w:tcPr>
          <w:p w14:paraId="6548A729"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“In a project where HCD was involved in a legitimate way, the most striking thing was seeing how the dynamics between teams changed. They began to share more, make decisions together, and listen to one another. It was not only an improvement in the outcome, it was a transformation in the working culture.” (Expert Designer 3)</w:t>
            </w:r>
          </w:p>
          <w:p w14:paraId="2F41CC34"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0A43A77B"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 xml:space="preserve">“It is not enough to have HCD methodologies or processes if we do not transform the way teams relate, listen, or understand the user. Design has an enabling role: it can open up new spaces for conversation and collaboration that did not exist before. That is deeply cultural […] Design helps us to make tensions visible, to work in a different, more horizontal way. It is an entry point for changing much more structural aspects within the organisation, not just </w:t>
            </w:r>
            <w:r w:rsidRPr="001F1D37">
              <w:rPr>
                <w:rFonts w:ascii="Calibri" w:eastAsia="Calibri" w:hAnsi="Calibri" w:cs="Calibri"/>
                <w:i/>
                <w:iCs/>
                <w:sz w:val="16"/>
                <w:szCs w:val="16"/>
              </w:rPr>
              <w:lastRenderedPageBreak/>
              <w:t>processes or products.” (Expert Designer 5)</w:t>
            </w:r>
          </w:p>
          <w:p w14:paraId="607CE330"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3224898C"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“When design truly enters a bank, the first thing that changes is not the product, but the way in which people from different departments relate to one another […] suddenly you see meetings where people listen more, hierarchies fade, and everyone understands that the client is at the centre. For me, that is the greatest achievement: not only changing what we do, but how we do it.” (Expert Designer 6)</w:t>
            </w:r>
          </w:p>
          <w:p w14:paraId="3EBD82EC"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07546105"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sz w:val="16"/>
                <w:szCs w:val="16"/>
              </w:rPr>
            </w:pPr>
            <w:r w:rsidRPr="001F1D37">
              <w:rPr>
                <w:rFonts w:ascii="Calibri" w:eastAsia="Calibri" w:hAnsi="Calibri" w:cs="Calibri"/>
                <w:i/>
                <w:iCs/>
                <w:sz w:val="16"/>
                <w:szCs w:val="16"/>
              </w:rPr>
              <w:t>“When we managed to involve HCD in the organisation’s internal dynamics, it was not only the customer experience that improved. What changed was the way teams collaborated with one another. They listened more, there was less friction, and a stronger shared focus. Design acted as a catalyst for a new way of relating internally.” (Expert Designer 11)</w:t>
            </w:r>
          </w:p>
        </w:tc>
        <w:tc>
          <w:tcPr>
            <w:tcW w:w="1961" w:type="dxa"/>
          </w:tcPr>
          <w:p w14:paraId="17EFD185" w14:textId="77777777" w:rsidR="00F8107A" w:rsidRPr="001F1D37" w:rsidRDefault="00D9258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lastRenderedPageBreak/>
              <w:t>Lack of safe spaces for reflection, learning, and peer exchange.</w:t>
            </w:r>
          </w:p>
          <w:p w14:paraId="1738BFC3" w14:textId="77777777" w:rsidR="00D9258F" w:rsidRPr="001F1D37" w:rsidRDefault="00D9258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p>
          <w:p w14:paraId="5706E5D6" w14:textId="77777777" w:rsidR="00D9258F" w:rsidRPr="001F1D37" w:rsidRDefault="00D9258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Limited cultural legitimacy of HCD within everyday organisational practices</w:t>
            </w:r>
          </w:p>
          <w:p w14:paraId="6D8BFDE2" w14:textId="77777777" w:rsidR="00101590" w:rsidRPr="001F1D37" w:rsidRDefault="00101590">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p>
          <w:p w14:paraId="0B32B81E" w14:textId="7B7BF5E6" w:rsidR="00101590" w:rsidRPr="001F1D37" w:rsidRDefault="00101590">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Weak integration of HCD into collaborative and relational dynamics</w:t>
            </w:r>
          </w:p>
        </w:tc>
        <w:tc>
          <w:tcPr>
            <w:tcW w:w="1961" w:type="dxa"/>
          </w:tcPr>
          <w:p w14:paraId="4B1AA2A8" w14:textId="01614222"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Create committees, or formal coordination structures that support HCD practices to ensure coherence, continuity, and strategic visibility.</w:t>
            </w:r>
          </w:p>
          <w:p w14:paraId="2618A71C"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p>
          <w:p w14:paraId="57DED674" w14:textId="706D576C" w:rsidR="00F8107A" w:rsidRPr="001F1D37" w:rsidRDefault="00F8107A">
            <w:pPr>
              <w:pBdr>
                <w:top w:val="nil"/>
                <w:left w:val="nil"/>
                <w:bottom w:val="nil"/>
                <w:right w:val="nil"/>
                <w:between w:val="nil"/>
              </w:pBdr>
              <w:spacing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Establish dedicated governance structures for HCD and formalise interdepartmental co-creation spaces.</w:t>
            </w:r>
          </w:p>
          <w:p w14:paraId="1AD60EAA"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sz w:val="16"/>
                <w:szCs w:val="16"/>
              </w:rPr>
            </w:pPr>
          </w:p>
        </w:tc>
        <w:tc>
          <w:tcPr>
            <w:tcW w:w="1961" w:type="dxa"/>
          </w:tcPr>
          <w:p w14:paraId="20FD402A"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Proposition 2: financial organisations can use rituals to conceive HCD as a cultural lever.</w:t>
            </w:r>
          </w:p>
          <w:p w14:paraId="2E934BC6"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p>
        </w:tc>
      </w:tr>
      <w:tr w:rsidR="00C55266" w:rsidRPr="001F1D37" w14:paraId="53E69BB7" w14:textId="77777777" w:rsidTr="00F81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2" w:type="dxa"/>
            <w:vMerge/>
          </w:tcPr>
          <w:p w14:paraId="0AE19376" w14:textId="77777777" w:rsidR="00F8107A" w:rsidRPr="001F1D37" w:rsidRDefault="00F8107A">
            <w:pPr>
              <w:widowControl w:val="0"/>
              <w:pBdr>
                <w:top w:val="nil"/>
                <w:left w:val="nil"/>
                <w:bottom w:val="nil"/>
                <w:right w:val="nil"/>
                <w:between w:val="nil"/>
              </w:pBdr>
              <w:spacing w:line="276" w:lineRule="auto"/>
              <w:rPr>
                <w:rFonts w:ascii="Calibri" w:eastAsia="Calibri" w:hAnsi="Calibri" w:cs="Calibri"/>
                <w:sz w:val="16"/>
                <w:szCs w:val="16"/>
              </w:rPr>
            </w:pPr>
          </w:p>
        </w:tc>
        <w:tc>
          <w:tcPr>
            <w:tcW w:w="2346" w:type="dxa"/>
          </w:tcPr>
          <w:p w14:paraId="0AE2D88F"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“Every time you design something it has to go through five or six different departments – legal, compliance, technology, and so on. Unfortunately, in some projects we still work in a waterfall model, which means that by the time something is implemented the design is already outdated.” (Expert Designer 2)</w:t>
            </w:r>
          </w:p>
          <w:p w14:paraId="3B9A8C63"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330892C6"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lastRenderedPageBreak/>
              <w:t>“In the financial sector, which is heavily regulated, many disruptive design contributions cannot be made because the regulator does not allow them. And internally, banking operates very much in silos. Design becomes just another silo and remains isolated, even if people verbally acknowledge the importance of including it.” (Expert Designer 4)</w:t>
            </w:r>
          </w:p>
          <w:p w14:paraId="6AF3837A"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1B07DF73"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“This is a sector heavily conditioned by each company’s trajectory, especially when it has been operating for many years. Breaking away from established dynamics proves difficult. There are countless opportunities if more attention were paid to the new needs of customers and to the external context. Yet many of these opportunities are lost because the focus remains on internal processes that have been in place for decades, without looking at the financial business environment that is constantly changing.” (Expert Designer 6)</w:t>
            </w:r>
          </w:p>
          <w:p w14:paraId="181409A2"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53C250EF"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 xml:space="preserve">“What has blocked us the most is the internal culture. There is a very traditional way of doing things in this sector, highly resistant to anything new. Even if you achieve good results thanks to HCD practice, if you do not fit into that logic, it is as if the change did not exist […] our practices collapse against the weight of legacy structures and </w:t>
            </w:r>
            <w:r w:rsidRPr="001F1D37">
              <w:rPr>
                <w:rFonts w:ascii="Calibri" w:eastAsia="Calibri" w:hAnsi="Calibri" w:cs="Calibri"/>
                <w:i/>
                <w:iCs/>
                <w:sz w:val="16"/>
                <w:szCs w:val="16"/>
              </w:rPr>
              <w:lastRenderedPageBreak/>
              <w:t>logics that privilege control over experimentation.” (Expert Designer 6)</w:t>
            </w:r>
          </w:p>
          <w:p w14:paraId="60A7CCCB"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20687E23"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“In traditional sectors like banking there are already established processes, hierarchies, and egos. Senior managers often come from financial backgrounds, and because of their past success, they feel entitled to have the final word on UX, even if they lack any real design knowledge. In practice, this means design is treated as an isolated step, rather than a strategic tool. Decisions usually come from the top, and our role is more about execution than strategy. Without design leaders included in strategic decision-making, design remains tactical and loses its potential to create long-term impact.” (Expert Designer 7)</w:t>
            </w:r>
          </w:p>
          <w:p w14:paraId="63BBB7E4"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338A81FE"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“In such a highly defined field as finance, the upper levels of hierarchy still carry a lot of weight. This means that management and decision-making are heavily influenced by laws, markets, and external agents. Even though design is increasingly taken into account, it does not really permeate the strategy.” (Expert Designer 10)</w:t>
            </w:r>
          </w:p>
          <w:p w14:paraId="63A9B0C8"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7FEFDBBE"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 xml:space="preserve">“The final decision is still very corporate and very legislative. The financial world is highly regulated, so one way to </w:t>
            </w:r>
            <w:r w:rsidRPr="001F1D37">
              <w:rPr>
                <w:rFonts w:ascii="Calibri" w:eastAsia="Calibri" w:hAnsi="Calibri" w:cs="Calibri"/>
                <w:i/>
                <w:iCs/>
                <w:sz w:val="16"/>
                <w:szCs w:val="16"/>
              </w:rPr>
              <w:lastRenderedPageBreak/>
              <w:t>integrate design is to adapt to those constraints from the outset. If everything is already decided and design only comes in to make the product look nice, it has very little power to move the project forward.” (Expert Designer 11)</w:t>
            </w:r>
          </w:p>
          <w:p w14:paraId="2FCE083A"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0E1E6AD2"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sz w:val="16"/>
                <w:szCs w:val="16"/>
              </w:rPr>
            </w:pPr>
            <w:r w:rsidRPr="001F1D37">
              <w:rPr>
                <w:rFonts w:ascii="Calibri" w:eastAsia="Calibri" w:hAnsi="Calibri" w:cs="Calibri"/>
                <w:i/>
                <w:iCs/>
                <w:sz w:val="16"/>
                <w:szCs w:val="16"/>
              </w:rPr>
              <w:t>“This sector is hyper-regulated. This has a huge influence on how much you can actually innovate trough HCD. Very often, the priority is compliance with regulation and the short term, and design loses its strategic strength.” (Expert Designer 11)</w:t>
            </w:r>
          </w:p>
        </w:tc>
        <w:tc>
          <w:tcPr>
            <w:tcW w:w="2032" w:type="dxa"/>
          </w:tcPr>
          <w:p w14:paraId="3FF4B449"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lastRenderedPageBreak/>
              <w:t>Financial organisations miss opportunities to develop HCD capability from their business environment because of internal and external inertia.</w:t>
            </w:r>
          </w:p>
        </w:tc>
        <w:tc>
          <w:tcPr>
            <w:tcW w:w="2360" w:type="dxa"/>
          </w:tcPr>
          <w:p w14:paraId="29B51EA0"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bookmarkStart w:id="0" w:name="_heading=h.k2bui72inhn0" w:colFirst="0" w:colLast="0"/>
            <w:bookmarkEnd w:id="0"/>
            <w:r w:rsidRPr="001F1D37">
              <w:rPr>
                <w:rFonts w:ascii="Calibri" w:eastAsia="Calibri" w:hAnsi="Calibri" w:cs="Calibri"/>
                <w:i/>
                <w:iCs/>
                <w:sz w:val="16"/>
                <w:szCs w:val="16"/>
              </w:rPr>
              <w:t xml:space="preserve">“Breaking out of our bubble was key. We collaborated with a design-oriented tech start-up and that forced us to think differently. We had to change processes, language, and timing. At first it was uncomfortable, but it helped us to rethink how we functioned internally […] The internal culture matters, but without a supportive ecosystem, change is much harder. External alliances and networks give </w:t>
            </w:r>
            <w:r w:rsidRPr="001F1D37">
              <w:rPr>
                <w:rFonts w:ascii="Calibri" w:eastAsia="Calibri" w:hAnsi="Calibri" w:cs="Calibri"/>
                <w:i/>
                <w:iCs/>
                <w:sz w:val="16"/>
                <w:szCs w:val="16"/>
              </w:rPr>
              <w:lastRenderedPageBreak/>
              <w:t>legitimacy and momentum to HCD” (Expert Designer 2).</w:t>
            </w:r>
          </w:p>
          <w:p w14:paraId="2464AC41"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45310212"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“What really opened our minds was starting to see how companies outside the financial sector were working. That was when we understood how much we had to learn. We began to participate in events, to open ourselves to external collaborations, and that completely changed the way we thought about design.” (Expert Designer 3)</w:t>
            </w:r>
          </w:p>
          <w:p w14:paraId="042938D2"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3C758052"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“In one of the most successful projects we worked on, a network was created with start-ups and universities that made it possible to bring in new perspectives and methodologies. That outward openness completely changed the way the team viewed its own work. We began to step out of autopilot and to ask ourselves how we could adapt to what was happening beyond our bubble.” (Expert Designer 4)</w:t>
            </w:r>
          </w:p>
          <w:p w14:paraId="02C88DD4"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62F5AECB"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sz w:val="16"/>
                <w:szCs w:val="16"/>
              </w:rPr>
            </w:pPr>
            <w:r w:rsidRPr="001F1D37">
              <w:rPr>
                <w:rFonts w:ascii="Calibri" w:eastAsia="Calibri" w:hAnsi="Calibri" w:cs="Calibri"/>
                <w:i/>
                <w:iCs/>
                <w:sz w:val="16"/>
                <w:szCs w:val="16"/>
              </w:rPr>
              <w:t xml:space="preserve">“What has truly made the difference is that we have had very strong design leaders who not only trained the team and evangelised internally, but also promoted connections with the external ecosystem. They began to observe what other industries were doing that could serve as a reference, to bring in designers from those industries who, in turn, introduced new HCD </w:t>
            </w:r>
            <w:r w:rsidRPr="001F1D37">
              <w:rPr>
                <w:rFonts w:ascii="Calibri" w:eastAsia="Calibri" w:hAnsi="Calibri" w:cs="Calibri"/>
                <w:i/>
                <w:iCs/>
                <w:sz w:val="16"/>
                <w:szCs w:val="16"/>
              </w:rPr>
              <w:lastRenderedPageBreak/>
              <w:t>practices and adapted them to the financial context. I believe that openness to the external environment transformed the team’s mindset and laid the foundations for developing a genuine organisational vision conducive to HCD.” (Expert Designer 5)</w:t>
            </w:r>
          </w:p>
        </w:tc>
        <w:tc>
          <w:tcPr>
            <w:tcW w:w="1961" w:type="dxa"/>
          </w:tcPr>
          <w:p w14:paraId="5F95894F" w14:textId="31D26B64" w:rsidR="00F8107A" w:rsidRPr="001F1D37" w:rsidRDefault="0010159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lastRenderedPageBreak/>
              <w:t>Organisational isolation from external HCD innovation ecosystems</w:t>
            </w:r>
          </w:p>
          <w:p w14:paraId="706E9685" w14:textId="5D915930" w:rsidR="00101590" w:rsidRPr="001F1D37" w:rsidRDefault="0010159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p>
          <w:p w14:paraId="2C175D6E" w14:textId="0CBD5128" w:rsidR="00101590" w:rsidRPr="001F1D37" w:rsidRDefault="0010159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Path dependency and inertia shaped by internal and regulatory logics</w:t>
            </w:r>
          </w:p>
          <w:p w14:paraId="4881ACE3" w14:textId="77777777" w:rsidR="00101590" w:rsidRPr="001F1D37" w:rsidRDefault="0010159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p>
          <w:p w14:paraId="0595BDD7" w14:textId="06C18115" w:rsidR="00101590" w:rsidRPr="001F1D37" w:rsidRDefault="00101590">
            <w:pPr>
              <w:cnfStyle w:val="000000100000" w:firstRow="0" w:lastRow="0" w:firstColumn="0" w:lastColumn="0" w:oddVBand="0" w:evenVBand="0" w:oddHBand="1" w:evenHBand="0" w:firstRowFirstColumn="0" w:firstRowLastColumn="0" w:lastRowFirstColumn="0" w:lastRowLastColumn="0"/>
              <w:rPr>
                <w:sz w:val="16"/>
                <w:szCs w:val="16"/>
              </w:rPr>
            </w:pPr>
          </w:p>
        </w:tc>
        <w:tc>
          <w:tcPr>
            <w:tcW w:w="1961" w:type="dxa"/>
          </w:tcPr>
          <w:p w14:paraId="063F851B" w14:textId="33CE1F5B"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Find good business ecosystem top increase the possibility to develop HCD readiness.</w:t>
            </w:r>
          </w:p>
          <w:p w14:paraId="4DE221BE"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sz w:val="16"/>
                <w:szCs w:val="16"/>
              </w:rPr>
            </w:pPr>
          </w:p>
        </w:tc>
        <w:tc>
          <w:tcPr>
            <w:tcW w:w="1961" w:type="dxa"/>
          </w:tcPr>
          <w:p w14:paraId="7735540E"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Proposition 3: attention to a favourable business ecosystem enhances the development of HCD readiness.</w:t>
            </w:r>
          </w:p>
        </w:tc>
      </w:tr>
      <w:tr w:rsidR="00C55266" w:rsidRPr="001F1D37" w14:paraId="4D39EA86" w14:textId="77777777" w:rsidTr="00F8107A">
        <w:tc>
          <w:tcPr>
            <w:cnfStyle w:val="001000000000" w:firstRow="0" w:lastRow="0" w:firstColumn="1" w:lastColumn="0" w:oddVBand="0" w:evenVBand="0" w:oddHBand="0" w:evenHBand="0" w:firstRowFirstColumn="0" w:firstRowLastColumn="0" w:lastRowFirstColumn="0" w:lastRowLastColumn="0"/>
            <w:tcW w:w="1292" w:type="dxa"/>
            <w:vMerge w:val="restart"/>
          </w:tcPr>
          <w:p w14:paraId="50F0946B" w14:textId="77777777" w:rsidR="00F8107A" w:rsidRPr="001F1D37" w:rsidRDefault="00F8107A">
            <w:pPr>
              <w:rPr>
                <w:rFonts w:ascii="Calibri" w:eastAsia="Calibri" w:hAnsi="Calibri" w:cs="Calibri"/>
                <w:sz w:val="16"/>
                <w:szCs w:val="16"/>
              </w:rPr>
            </w:pPr>
            <w:r w:rsidRPr="001F1D37">
              <w:rPr>
                <w:rFonts w:ascii="Calibri" w:eastAsia="Calibri" w:hAnsi="Calibri" w:cs="Calibri"/>
                <w:b w:val="0"/>
                <w:bCs w:val="0"/>
                <w:sz w:val="16"/>
                <w:szCs w:val="16"/>
              </w:rPr>
              <w:lastRenderedPageBreak/>
              <w:t>Longitudinal Perspective</w:t>
            </w:r>
          </w:p>
        </w:tc>
        <w:tc>
          <w:tcPr>
            <w:tcW w:w="2346" w:type="dxa"/>
          </w:tcPr>
          <w:p w14:paraId="387ABE03"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“Every time we started a project, it felt like we were beginning from scratch. There were no mechanisms for one team’s learning to feed into the others.” (Expert Designer 1)</w:t>
            </w:r>
          </w:p>
          <w:p w14:paraId="57D85D91"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228A73C5"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“Efforts are usually isolated and driven by a small group that already believes in the value of HCD. But if the organisational culture doesn’t support it, and there’s no shared long-term vision, initiatives like trainings or pilot projects can’t take root. Without that backing, many people end up seeing HCD as a passing trend or a one-off initiative, rather than a core organizational capability.” (Expert Designer 3)</w:t>
            </w:r>
          </w:p>
          <w:p w14:paraId="34881C37"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64AF470A"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 xml:space="preserve">“Many times, we repeated mistakes because we didn’t share what we had learned. </w:t>
            </w:r>
            <w:r w:rsidRPr="001F1D37">
              <w:rPr>
                <w:rFonts w:ascii="Calibri" w:eastAsia="Calibri" w:hAnsi="Calibri" w:cs="Calibri"/>
                <w:i/>
                <w:iCs/>
                <w:sz w:val="16"/>
                <w:szCs w:val="16"/>
              </w:rPr>
              <w:lastRenderedPageBreak/>
              <w:t>There were no feedback sessions, no moments to take stock. Everything stayed at the level of individual experience.” (Expert Designer 6)</w:t>
            </w:r>
          </w:p>
          <w:p w14:paraId="33453B67"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0204A00F"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“We did many positive things, but afterwards there was no space to share what we had learned. The knowledge stayed with the participating team and didn’t scale.” (Expert Designer 8)</w:t>
            </w:r>
          </w:p>
          <w:p w14:paraId="067D176D"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07F85804"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“We implemented many things, but we never went back to them. We didn’t know if they were really making a difference. If you don’t measure or reflect, the learning gets lost.” (Expert Designer 8)</w:t>
            </w:r>
          </w:p>
          <w:p w14:paraId="5D554A63"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 xml:space="preserve"> </w:t>
            </w:r>
          </w:p>
          <w:p w14:paraId="2C13AAB6"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“In many cases, even when trainings worked, people didn’t have spaces afterwards to share what they had learned. Knowledge stayed with the individual, but it wasn’t transferred into the organization’s practice. There was a lack of structured opportunities and spaces to socialize practices, generate collective learning, and ensure that knowledge truly contributed to developing shared capabilities.” (Expert Designer 10)</w:t>
            </w:r>
          </w:p>
          <w:p w14:paraId="0988C689"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5F353502"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sz w:val="16"/>
                <w:szCs w:val="16"/>
              </w:rPr>
            </w:pPr>
            <w:r w:rsidRPr="001F1D37">
              <w:rPr>
                <w:rFonts w:ascii="Calibri" w:eastAsia="Calibri" w:hAnsi="Calibri" w:cs="Calibri"/>
                <w:i/>
                <w:iCs/>
                <w:sz w:val="16"/>
                <w:szCs w:val="16"/>
              </w:rPr>
              <w:t xml:space="preserve">“After each project, nobody analysed what had worked or what hadn’t. It was closed, the deliverable was presented, and that was it. There was no room </w:t>
            </w:r>
            <w:r w:rsidRPr="001F1D37">
              <w:rPr>
                <w:rFonts w:ascii="Calibri" w:eastAsia="Calibri" w:hAnsi="Calibri" w:cs="Calibri"/>
                <w:i/>
                <w:iCs/>
                <w:sz w:val="16"/>
                <w:szCs w:val="16"/>
              </w:rPr>
              <w:lastRenderedPageBreak/>
              <w:t>to reflect, learn, or improve the approach.” (Expert Designer 11)</w:t>
            </w:r>
          </w:p>
        </w:tc>
        <w:tc>
          <w:tcPr>
            <w:tcW w:w="2032" w:type="dxa"/>
          </w:tcPr>
          <w:p w14:paraId="173F7342"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lastRenderedPageBreak/>
              <w:t>Financial organisations frequently fall short when instilling HCD capability</w:t>
            </w:r>
          </w:p>
          <w:p w14:paraId="7835632B"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p>
        </w:tc>
        <w:tc>
          <w:tcPr>
            <w:tcW w:w="2360" w:type="dxa"/>
          </w:tcPr>
          <w:p w14:paraId="332A71AB"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“The creation of safe spaces where we can share what we do is very important, so that we are not seen merely as visual support, but as a key part of the value creation process. It is necessary to make visible from within how design can help transform processes and generate better experiences.” (Expert Designer 2)</w:t>
            </w:r>
          </w:p>
          <w:p w14:paraId="7E576923"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7A695082"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 xml:space="preserve">“In my view, the pattern tends to repeat itself: an experienced designer is brought in who, during a pilot project, trains an internal team. If the project is successful, that team acts as an ambassador for design, evangelising other departments by creating safe spaces, workshops for example, where the work is shared and by generating new initiatives. Once management perceives tangible </w:t>
            </w:r>
            <w:r w:rsidRPr="001F1D37">
              <w:rPr>
                <w:rFonts w:ascii="Calibri" w:eastAsia="Calibri" w:hAnsi="Calibri" w:cs="Calibri"/>
                <w:i/>
                <w:iCs/>
                <w:sz w:val="16"/>
                <w:szCs w:val="16"/>
              </w:rPr>
              <w:lastRenderedPageBreak/>
              <w:t>results, there is usually a move to formalise the internal design team and establish structures that enable the progressive scaling of HCD capabilities.” (Expert Designer 4)</w:t>
            </w:r>
          </w:p>
          <w:p w14:paraId="3542818A"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53705DC7"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“We documented the entire process, created spaces to communicate it to different levels of the organisation, and that allowed us to gain prestige. We created an internal guide with lessons from the first pilot. Thanks to that, when it was replicated in other teams, it no longer depended on us to explain everything from scratch each time. It became part of the system.” (Expert 5)</w:t>
            </w:r>
          </w:p>
          <w:p w14:paraId="18CA828C"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2BFEF3E0"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“Each time we repeat the model in another area, we learn more. We started with innovation, then moved on to customer experience, and now we are applying it to internal processes. We don’t just copy and paste, but the overall pattern works: small team, autonomy, measurable results, securing a space to share what we have done, and then scaling up.” (Expert Designer 6)</w:t>
            </w:r>
          </w:p>
          <w:p w14:paraId="6EDEA8FF"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6F06298F"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sz w:val="16"/>
                <w:szCs w:val="16"/>
              </w:rPr>
            </w:pPr>
            <w:r w:rsidRPr="001F1D37">
              <w:rPr>
                <w:rFonts w:ascii="Calibri" w:eastAsia="Calibri" w:hAnsi="Calibri" w:cs="Calibri"/>
                <w:i/>
                <w:iCs/>
                <w:sz w:val="16"/>
                <w:szCs w:val="16"/>
              </w:rPr>
              <w:t xml:space="preserve">“We began with a design cell of three people. For a year we worked with a pilot team and it went very well. That allowed us to showcase results in physical and digital forums within the organisation, and little by little we were given more autonomy. </w:t>
            </w:r>
            <w:r w:rsidRPr="001F1D37">
              <w:rPr>
                <w:rFonts w:ascii="Calibri" w:eastAsia="Calibri" w:hAnsi="Calibri" w:cs="Calibri"/>
                <w:i/>
                <w:iCs/>
                <w:sz w:val="16"/>
                <w:szCs w:val="16"/>
              </w:rPr>
              <w:lastRenderedPageBreak/>
              <w:t>Now we are in six different teams within the bank. The pattern has always been the same: pilot, results, sharing in forums, and scaling up.” (Expert Designer 9)</w:t>
            </w:r>
          </w:p>
        </w:tc>
        <w:tc>
          <w:tcPr>
            <w:tcW w:w="1961" w:type="dxa"/>
          </w:tcPr>
          <w:p w14:paraId="4E43F352" w14:textId="59DDEF17" w:rsidR="00F8107A" w:rsidRPr="001F1D37" w:rsidRDefault="0010159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1F1D37">
              <w:rPr>
                <w:rFonts w:asciiTheme="minorHAnsi" w:hAnsiTheme="minorHAnsi" w:cstheme="minorHAnsi"/>
                <w:sz w:val="16"/>
                <w:szCs w:val="16"/>
              </w:rPr>
              <w:lastRenderedPageBreak/>
              <w:t>Fragmentation of HCD practice and learning across isolated projects and teams.</w:t>
            </w:r>
          </w:p>
          <w:p w14:paraId="17F1C2E8" w14:textId="77777777" w:rsidR="00101590" w:rsidRPr="001F1D37" w:rsidRDefault="0010159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p w14:paraId="26FCFBE1" w14:textId="77777777" w:rsidR="00101590" w:rsidRPr="001F1D37" w:rsidRDefault="0010159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1F1D37">
              <w:rPr>
                <w:rFonts w:asciiTheme="minorHAnsi" w:hAnsiTheme="minorHAnsi" w:cstheme="minorHAnsi"/>
                <w:sz w:val="16"/>
                <w:szCs w:val="16"/>
              </w:rPr>
              <w:t>Lack of mechanisms to capture, share, and scale experiential learning.</w:t>
            </w:r>
          </w:p>
          <w:p w14:paraId="0B13AFFC" w14:textId="77777777" w:rsidR="00101590" w:rsidRPr="001F1D37" w:rsidRDefault="0010159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p w14:paraId="191EA678" w14:textId="79CA060C" w:rsidR="00101590" w:rsidRPr="001F1D37" w:rsidRDefault="0010159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1F1D37">
              <w:rPr>
                <w:rFonts w:asciiTheme="minorHAnsi" w:hAnsiTheme="minorHAnsi" w:cstheme="minorHAnsi"/>
                <w:sz w:val="16"/>
                <w:szCs w:val="16"/>
              </w:rPr>
              <w:t>Dependence on individual initiatives rather than institutionalised patterns.</w:t>
            </w:r>
          </w:p>
        </w:tc>
        <w:tc>
          <w:tcPr>
            <w:tcW w:w="1961" w:type="dxa"/>
          </w:tcPr>
          <w:p w14:paraId="5A753494" w14:textId="5CA09FC8"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Follow consistent, replicable patterns of change in other industries to develop HCD capability.</w:t>
            </w:r>
          </w:p>
          <w:p w14:paraId="5D6F05AE"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sz w:val="16"/>
                <w:szCs w:val="16"/>
              </w:rPr>
            </w:pPr>
          </w:p>
        </w:tc>
        <w:tc>
          <w:tcPr>
            <w:tcW w:w="1961" w:type="dxa"/>
          </w:tcPr>
          <w:p w14:paraId="0739BDFB"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Proposition 4: financial organisations should adopt replicable approaches to developing HCD capabilities over time</w:t>
            </w:r>
          </w:p>
        </w:tc>
      </w:tr>
      <w:tr w:rsidR="00C55266" w:rsidRPr="001F1D37" w14:paraId="769DDBB8" w14:textId="77777777" w:rsidTr="00F81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2" w:type="dxa"/>
            <w:vMerge/>
          </w:tcPr>
          <w:p w14:paraId="41E6F431" w14:textId="77777777" w:rsidR="00F8107A" w:rsidRPr="001F1D37" w:rsidRDefault="00F8107A">
            <w:pPr>
              <w:widowControl w:val="0"/>
              <w:pBdr>
                <w:top w:val="nil"/>
                <w:left w:val="nil"/>
                <w:bottom w:val="nil"/>
                <w:right w:val="nil"/>
                <w:between w:val="nil"/>
              </w:pBdr>
              <w:spacing w:line="276" w:lineRule="auto"/>
              <w:rPr>
                <w:rFonts w:ascii="Calibri" w:eastAsia="Calibri" w:hAnsi="Calibri" w:cs="Calibri"/>
                <w:sz w:val="16"/>
                <w:szCs w:val="16"/>
              </w:rPr>
            </w:pPr>
          </w:p>
        </w:tc>
        <w:tc>
          <w:tcPr>
            <w:tcW w:w="2346" w:type="dxa"/>
          </w:tcPr>
          <w:p w14:paraId="5432C9A6"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“There is no single design methodology or tool or method that always fits. I am in favour of having a shared methodology across the company, but it must be flexible and evolve with the discipline. A rigid, one-size-fits-all approach makes little sense in finance, yet that is often how it is applied.” (Expert Designer 3)</w:t>
            </w:r>
          </w:p>
          <w:p w14:paraId="3B6EDAF1"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26D23023"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“Many times, people are trained in a specific methodology, such as Design Thinking, and stop there. There is no review of processes, no updating. They keep applying the same approach even though the environment and tools have changed. This weakens HCD and makes the results seem less and less relevant.” (Expert Designer 6)</w:t>
            </w:r>
          </w:p>
          <w:p w14:paraId="688D675C"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13C31A8D"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sz w:val="16"/>
                <w:szCs w:val="16"/>
              </w:rPr>
            </w:pPr>
            <w:r w:rsidRPr="001F1D37">
              <w:rPr>
                <w:rFonts w:ascii="Calibri" w:eastAsia="Calibri" w:hAnsi="Calibri" w:cs="Calibri"/>
                <w:i/>
                <w:iCs/>
                <w:sz w:val="16"/>
                <w:szCs w:val="16"/>
              </w:rPr>
              <w:t xml:space="preserve">“For a long time, we applied the same approach: you design until implementation, and that’s where it ends. But that has become outdated. Today the environment is constantly changing, products are evolving all the time, and the customer co-creates value with the product continuously. If HCD does not keep pace with those changes, it loses relevance. We need teams capable of </w:t>
            </w:r>
            <w:r w:rsidRPr="001F1D37">
              <w:rPr>
                <w:rFonts w:ascii="Calibri" w:eastAsia="Calibri" w:hAnsi="Calibri" w:cs="Calibri"/>
                <w:i/>
                <w:iCs/>
                <w:sz w:val="16"/>
                <w:szCs w:val="16"/>
              </w:rPr>
              <w:lastRenderedPageBreak/>
              <w:t>evaluating, iterating and redesigning continuously, not just delivering once.” (Expert Designer 6)</w:t>
            </w:r>
          </w:p>
        </w:tc>
        <w:tc>
          <w:tcPr>
            <w:tcW w:w="2032" w:type="dxa"/>
          </w:tcPr>
          <w:p w14:paraId="3EDE5CCD"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lastRenderedPageBreak/>
              <w:t>Financial organisations risk lagging in the discipline’s evolution and persisting with outdated HCD methods.</w:t>
            </w:r>
          </w:p>
        </w:tc>
        <w:tc>
          <w:tcPr>
            <w:tcW w:w="2360" w:type="dxa"/>
          </w:tcPr>
          <w:p w14:paraId="739B0C8C"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“Breaking out of our bubble was key. We collaborated with a design-oriented tech start-up and that forced us to think differently. We had to change processes, language, and timing. At first it was uncomfortable, but it helped us to rethink how we functioned internally. The external ecosystem is undoubtedly a driver of change.” (Expert Designer 2)</w:t>
            </w:r>
          </w:p>
          <w:p w14:paraId="1E3D3C2A"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2E39E0EA"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“What really opened our minds was starting to see how companies outside the financial sector were working. That was when we understood how much we had to learn. We began to participate in events, to open ourselves to external collaborations, and that completely changed the way we thought about design.” (Expert Designer 3)</w:t>
            </w:r>
          </w:p>
          <w:p w14:paraId="7D7639AF"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3B8FF61F"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 xml:space="preserve">“In one of the most successful projects we worked on, a network was created with start-ups and universities that made it possible to bring in new perspectives and methodologies. That outward openness completely changed the way the team viewed its own work. We began to step out of autopilot and to ask ourselves how we </w:t>
            </w:r>
            <w:r w:rsidRPr="001F1D37">
              <w:rPr>
                <w:rFonts w:ascii="Calibri" w:eastAsia="Calibri" w:hAnsi="Calibri" w:cs="Calibri"/>
                <w:i/>
                <w:iCs/>
                <w:sz w:val="16"/>
                <w:szCs w:val="16"/>
              </w:rPr>
              <w:lastRenderedPageBreak/>
              <w:t>could adapt to what was happening beyond our bubble.” (Expert Designer 4)</w:t>
            </w:r>
          </w:p>
          <w:p w14:paraId="1CE1CD5E"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1D905B47"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sz w:val="16"/>
                <w:szCs w:val="16"/>
              </w:rPr>
            </w:pPr>
            <w:r w:rsidRPr="001F1D37">
              <w:rPr>
                <w:rFonts w:ascii="Calibri" w:eastAsia="Calibri" w:hAnsi="Calibri" w:cs="Calibri"/>
                <w:i/>
                <w:iCs/>
                <w:sz w:val="16"/>
                <w:szCs w:val="16"/>
              </w:rPr>
              <w:t>“What has truly made the difference is that we have had very strong design leaders who not only trained the team and evangelised internally, but also promoted connections with the external ecosystem. They began to observe what other industries were doing that could serve as a reference, to bring in designers from those industries who, in turn, introduced new HCD practices and adapted them to the financial context. That openness to the external environment transformed the team’s mindset and laid the foundations for developing a genuine organisational vision conducive to HCD.” (Expert Designer 5)</w:t>
            </w:r>
          </w:p>
        </w:tc>
        <w:tc>
          <w:tcPr>
            <w:tcW w:w="1961" w:type="dxa"/>
          </w:tcPr>
          <w:p w14:paraId="227A55BC" w14:textId="77777777" w:rsidR="00101590" w:rsidRPr="001F1D37" w:rsidRDefault="0010159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lastRenderedPageBreak/>
              <w:t>Persistence of consolidated HCD practices despite changing contexts.</w:t>
            </w:r>
          </w:p>
          <w:p w14:paraId="59135048" w14:textId="77777777" w:rsidR="00101590" w:rsidRPr="001F1D37" w:rsidRDefault="0010159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p>
          <w:p w14:paraId="39ED511A" w14:textId="77777777" w:rsidR="00101590" w:rsidRPr="001F1D37" w:rsidRDefault="0010159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Insufficient mechanisms for continuous evaluation and renewal of HCD practices.</w:t>
            </w:r>
          </w:p>
          <w:p w14:paraId="0D4C6B50" w14:textId="77777777" w:rsidR="00101590" w:rsidRPr="001F1D37" w:rsidRDefault="0010159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p>
          <w:p w14:paraId="3942F0E4" w14:textId="72F482AC" w:rsidR="00101590" w:rsidRPr="001F1D37" w:rsidRDefault="0010159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Misalignment between evolving organisational needs and HCD practices</w:t>
            </w:r>
          </w:p>
        </w:tc>
        <w:tc>
          <w:tcPr>
            <w:tcW w:w="1961" w:type="dxa"/>
          </w:tcPr>
          <w:p w14:paraId="460A7B40" w14:textId="47E50D7B"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Commit training resources and regular evaluation to ensure HCD sustainability over the long term.</w:t>
            </w:r>
          </w:p>
          <w:p w14:paraId="1B271288"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sz w:val="16"/>
                <w:szCs w:val="16"/>
              </w:rPr>
            </w:pPr>
          </w:p>
        </w:tc>
        <w:tc>
          <w:tcPr>
            <w:tcW w:w="1961" w:type="dxa"/>
          </w:tcPr>
          <w:p w14:paraId="44FE9B6F"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Proposition 5: sustaining HCD capability requires ongoing training and regular evaluation.</w:t>
            </w:r>
          </w:p>
        </w:tc>
      </w:tr>
      <w:tr w:rsidR="00C55266" w:rsidRPr="001F1D37" w14:paraId="054B2BC0" w14:textId="77777777" w:rsidTr="00F8107A">
        <w:tc>
          <w:tcPr>
            <w:cnfStyle w:val="001000000000" w:firstRow="0" w:lastRow="0" w:firstColumn="1" w:lastColumn="0" w:oddVBand="0" w:evenVBand="0" w:oddHBand="0" w:evenHBand="0" w:firstRowFirstColumn="0" w:firstRowLastColumn="0" w:lastRowFirstColumn="0" w:lastRowLastColumn="0"/>
            <w:tcW w:w="1292" w:type="dxa"/>
            <w:vMerge w:val="restart"/>
          </w:tcPr>
          <w:p w14:paraId="21031F5A" w14:textId="77777777" w:rsidR="00F8107A" w:rsidRPr="001F1D37" w:rsidRDefault="00F8107A">
            <w:pPr>
              <w:rPr>
                <w:rFonts w:ascii="Calibri" w:eastAsia="Calibri" w:hAnsi="Calibri" w:cs="Calibri"/>
                <w:sz w:val="16"/>
                <w:szCs w:val="16"/>
              </w:rPr>
            </w:pPr>
            <w:r w:rsidRPr="001F1D37">
              <w:rPr>
                <w:rFonts w:ascii="Calibri" w:eastAsia="Calibri" w:hAnsi="Calibri" w:cs="Calibri"/>
                <w:b w:val="0"/>
                <w:bCs w:val="0"/>
                <w:sz w:val="16"/>
                <w:szCs w:val="16"/>
              </w:rPr>
              <w:t>Operational perspective</w:t>
            </w:r>
          </w:p>
        </w:tc>
        <w:tc>
          <w:tcPr>
            <w:tcW w:w="2346" w:type="dxa"/>
          </w:tcPr>
          <w:p w14:paraId="0FD67CC4"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"Monthly reports are made to track the achievement of objectives, but the impact of HCD is not analysed separately. We use tools like Product Board to gather feedback, but we don’t have a common framework that allows us to evaluate results systematically and across the board from the HCD perspective. It needs to be integrated from the start of the project and measured as a key dimension, not as a diffuse component within the process." (Expert Designer 3)</w:t>
            </w:r>
          </w:p>
          <w:p w14:paraId="327D201B"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0545686E"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lastRenderedPageBreak/>
              <w:t>"When we want to monitor how the organization’s design capability is evolving, we don’t have clear tools. We lack indicators, dashboards, standardized processes. Each team measures what they can and how they can. This makes it difficult to justify progress to management or to know what is actually working." (Expert Designer 4)</w:t>
            </w:r>
          </w:p>
          <w:p w14:paraId="52C3F56A"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42AAB8DA"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"We are missing clear indicators. We do things, but we don’t know how to measure their impact. There are no dashboards or standardized processes. Sometimes we achieve excellent results, but we can’t show them with data. This makes it hard for management to justify why they should continue investing in HCD." (Expert Designer 5)</w:t>
            </w:r>
          </w:p>
          <w:p w14:paraId="2A8258C4"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65941B50"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"We don’t have common metrics. Each team measures their own things, in their own way. So, it’s very difficult to demonstrate that design is generating value in the organization. We need more integrated dashboards." (Expert Designer 6)</w:t>
            </w:r>
          </w:p>
          <w:p w14:paraId="7DE8AA2B"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p>
          <w:p w14:paraId="61D53937"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sz w:val="16"/>
                <w:szCs w:val="16"/>
              </w:rPr>
            </w:pPr>
            <w:r w:rsidRPr="001F1D37">
              <w:rPr>
                <w:rFonts w:ascii="Calibri" w:eastAsia="Calibri" w:hAnsi="Calibri" w:cs="Calibri"/>
                <w:i/>
                <w:iCs/>
                <w:sz w:val="16"/>
                <w:szCs w:val="16"/>
              </w:rPr>
              <w:t xml:space="preserve">"Nothing related to HCD is measured in a structured way. Each team evaluates on their own, with their own criteria, and there is no common methodology or transversal structure that would allow us to </w:t>
            </w:r>
            <w:r w:rsidRPr="001F1D37">
              <w:rPr>
                <w:rFonts w:ascii="Calibri" w:eastAsia="Calibri" w:hAnsi="Calibri" w:cs="Calibri"/>
                <w:i/>
                <w:iCs/>
                <w:sz w:val="16"/>
                <w:szCs w:val="16"/>
              </w:rPr>
              <w:lastRenderedPageBreak/>
              <w:t>understand whether HCD is generating impact at the organizational level." (Expert Designer 11)</w:t>
            </w:r>
          </w:p>
        </w:tc>
        <w:tc>
          <w:tcPr>
            <w:tcW w:w="2032" w:type="dxa"/>
          </w:tcPr>
          <w:p w14:paraId="4C00EE16"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lastRenderedPageBreak/>
              <w:t>Financial organisations lack specific tools for planning and supervising the development of HCD capability</w:t>
            </w:r>
          </w:p>
        </w:tc>
        <w:tc>
          <w:tcPr>
            <w:tcW w:w="2360" w:type="dxa"/>
          </w:tcPr>
          <w:p w14:paraId="5ABAAC8A"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"It was only when we presented a case with metrics that management began to listen to us. Until then, design seemed like something soft. We showed data on reduced call volumes, improved resolution times, and customer satisfaction. Since then, they have asked us (the design team) to take part in more decisions." (Expert Designer 3)</w:t>
            </w:r>
          </w:p>
          <w:p w14:paraId="467A0F36"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53A665BB"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 xml:space="preserve">"We are developing a visual tool to map the HCD practices that already exist within the organisation. This will help us to see where we stand, what we </w:t>
            </w:r>
            <w:r w:rsidRPr="001F1D37">
              <w:rPr>
                <w:rFonts w:ascii="Calibri" w:eastAsia="Calibri" w:hAnsi="Calibri" w:cs="Calibri"/>
                <w:i/>
                <w:iCs/>
                <w:sz w:val="16"/>
                <w:szCs w:val="16"/>
              </w:rPr>
              <w:lastRenderedPageBreak/>
              <w:t>are missing, and how to connect design with strategic objectives. In addition, we are incorporating indicators to see whether what we do has a real impact on the business and does not remain merely good intentions." (Expert Designer 4)</w:t>
            </w:r>
          </w:p>
          <w:p w14:paraId="31998BFA"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6A9BD5E0"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"We once managed to get a steering committee to approve a line of work because we presented a business case with a set of financial indicators. We gathered all the processes in which we had intervened and showed how lead times had been reduced, customer satisfaction had increased, and in some cases costs had gone down. Speaking their language (financial) was key to gaining sustained support." (Expert Designer 5)</w:t>
            </w:r>
          </w:p>
          <w:p w14:paraId="7768ED54"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0F65B27E"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 xml:space="preserve"> "In some cases, we achieved very good results, but as they were not linked to financial KPIs, they went unnoticed. People quickly forget if there is no data to back up what you did […] so we started to create visual data dashboards where we linked our design interventions to financial KPIs, and the impact has been very positive." (Expert Designer 9)</w:t>
            </w:r>
          </w:p>
          <w:p w14:paraId="4B7D52BB"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21DBAA4D"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sz w:val="16"/>
                <w:szCs w:val="16"/>
              </w:rPr>
            </w:pPr>
            <w:r w:rsidRPr="001F1D37">
              <w:rPr>
                <w:rFonts w:ascii="Calibri" w:eastAsia="Calibri" w:hAnsi="Calibri" w:cs="Calibri"/>
                <w:i/>
                <w:iCs/>
                <w:sz w:val="16"/>
                <w:szCs w:val="16"/>
              </w:rPr>
              <w:t xml:space="preserve">"We learnt that design has to speak in business terms. If you do not connect it with financial objectives in this sector, it is seen as something decorative. When </w:t>
            </w:r>
            <w:r w:rsidRPr="001F1D37">
              <w:rPr>
                <w:rFonts w:ascii="Calibri" w:eastAsia="Calibri" w:hAnsi="Calibri" w:cs="Calibri"/>
                <w:i/>
                <w:iCs/>
                <w:sz w:val="16"/>
                <w:szCs w:val="16"/>
              </w:rPr>
              <w:lastRenderedPageBreak/>
              <w:t>we made that translation, we gained much stronger support from management." (Expert Designer 12)</w:t>
            </w:r>
          </w:p>
        </w:tc>
        <w:tc>
          <w:tcPr>
            <w:tcW w:w="1961" w:type="dxa"/>
          </w:tcPr>
          <w:p w14:paraId="7B69E6DA" w14:textId="734F0350" w:rsidR="00F8107A" w:rsidRPr="001F1D37" w:rsidRDefault="0010159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1F1D37">
              <w:rPr>
                <w:rFonts w:asciiTheme="minorHAnsi" w:hAnsiTheme="minorHAnsi" w:cstheme="minorHAnsi"/>
                <w:sz w:val="16"/>
                <w:szCs w:val="16"/>
              </w:rPr>
              <w:lastRenderedPageBreak/>
              <w:t>Difficulty making HCD impact visible in managerial and financial teams.</w:t>
            </w:r>
          </w:p>
          <w:p w14:paraId="654EF6F4" w14:textId="2164C8DB" w:rsidR="00101590" w:rsidRPr="001F1D37" w:rsidRDefault="0010159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p w14:paraId="7077302B" w14:textId="60EAD7E1" w:rsidR="00101590" w:rsidRPr="001F1D37" w:rsidRDefault="0010159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1F1D37">
              <w:rPr>
                <w:rFonts w:asciiTheme="minorHAnsi" w:hAnsiTheme="minorHAnsi" w:cstheme="minorHAnsi"/>
                <w:sz w:val="16"/>
                <w:szCs w:val="16"/>
              </w:rPr>
              <w:t>Absence of valuable indicators and monitoring tools for HCD impact.</w:t>
            </w:r>
          </w:p>
          <w:p w14:paraId="2C68C60E" w14:textId="4A82CF77" w:rsidR="00101590" w:rsidRPr="001F1D37" w:rsidRDefault="0010159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p w14:paraId="175DF3E8" w14:textId="3AD41E2A" w:rsidR="00101590" w:rsidRPr="001F1D37" w:rsidRDefault="0010159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1F1D37">
              <w:rPr>
                <w:rFonts w:asciiTheme="minorHAnsi" w:hAnsiTheme="minorHAnsi" w:cstheme="minorHAnsi"/>
                <w:sz w:val="16"/>
                <w:szCs w:val="16"/>
              </w:rPr>
              <w:t>Challenges translating HCD experiential outcomes into organisational and managerial evidence.</w:t>
            </w:r>
          </w:p>
          <w:p w14:paraId="6DFDD2C5" w14:textId="77777777" w:rsidR="00101590" w:rsidRPr="001F1D37" w:rsidRDefault="00101590">
            <w:pPr>
              <w:cnfStyle w:val="000000000000" w:firstRow="0" w:lastRow="0" w:firstColumn="0" w:lastColumn="0" w:oddVBand="0" w:evenVBand="0" w:oddHBand="0" w:evenHBand="0" w:firstRowFirstColumn="0" w:firstRowLastColumn="0" w:lastRowFirstColumn="0" w:lastRowLastColumn="0"/>
              <w:rPr>
                <w:sz w:val="16"/>
                <w:szCs w:val="16"/>
              </w:rPr>
            </w:pPr>
          </w:p>
          <w:p w14:paraId="637AD95B" w14:textId="28CA2518" w:rsidR="00101590" w:rsidRPr="001F1D37" w:rsidRDefault="00101590">
            <w:pPr>
              <w:cnfStyle w:val="000000000000" w:firstRow="0" w:lastRow="0" w:firstColumn="0" w:lastColumn="0" w:oddVBand="0" w:evenVBand="0" w:oddHBand="0" w:evenHBand="0" w:firstRowFirstColumn="0" w:firstRowLastColumn="0" w:lastRowFirstColumn="0" w:lastRowLastColumn="0"/>
              <w:rPr>
                <w:sz w:val="16"/>
                <w:szCs w:val="16"/>
              </w:rPr>
            </w:pPr>
          </w:p>
        </w:tc>
        <w:tc>
          <w:tcPr>
            <w:tcW w:w="1961" w:type="dxa"/>
          </w:tcPr>
          <w:p w14:paraId="032101B3" w14:textId="58202010"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Make HCD value visible beyond execution and educate the organisation in its underlying principles.</w:t>
            </w:r>
          </w:p>
          <w:p w14:paraId="244AEC92"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p>
          <w:p w14:paraId="69626DE3"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Position HCD as a cultural agent capable of shaping new forms of collaboration, communication, and thinking within the organisation.</w:t>
            </w:r>
          </w:p>
          <w:p w14:paraId="001E8DF0"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p>
          <w:p w14:paraId="2F37D5F4"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sz w:val="16"/>
                <w:szCs w:val="16"/>
              </w:rPr>
            </w:pPr>
          </w:p>
        </w:tc>
        <w:tc>
          <w:tcPr>
            <w:tcW w:w="1961" w:type="dxa"/>
          </w:tcPr>
          <w:p w14:paraId="0C17BA1A"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Proposition 6: visuals help financial organisations design, implement and communicate HCD capability development</w:t>
            </w:r>
          </w:p>
        </w:tc>
      </w:tr>
      <w:tr w:rsidR="00C55266" w:rsidRPr="001F1D37" w14:paraId="28D93304" w14:textId="77777777" w:rsidTr="00F81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2" w:type="dxa"/>
            <w:vMerge/>
          </w:tcPr>
          <w:p w14:paraId="2FDA0FFC" w14:textId="77777777" w:rsidR="00F8107A" w:rsidRPr="001F1D37" w:rsidRDefault="00F8107A">
            <w:pPr>
              <w:widowControl w:val="0"/>
              <w:pBdr>
                <w:top w:val="nil"/>
                <w:left w:val="nil"/>
                <w:bottom w:val="nil"/>
                <w:right w:val="nil"/>
                <w:between w:val="nil"/>
              </w:pBdr>
              <w:spacing w:line="276" w:lineRule="auto"/>
              <w:rPr>
                <w:rFonts w:ascii="Calibri" w:eastAsia="Calibri" w:hAnsi="Calibri" w:cs="Calibri"/>
                <w:sz w:val="16"/>
                <w:szCs w:val="16"/>
              </w:rPr>
            </w:pPr>
          </w:p>
        </w:tc>
        <w:tc>
          <w:tcPr>
            <w:tcW w:w="2346" w:type="dxa"/>
          </w:tcPr>
          <w:p w14:paraId="5BA408F7"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"Designing well requires time and continuity. If every project starts from scratch, without clear resources, without references, without structure, it becomes very difficult to build something with sustained impact." (Expert Designer 3)</w:t>
            </w:r>
          </w:p>
          <w:p w14:paraId="3EF8E471"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6D608E6D"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"We have a very hierarchical and segmented structure. Each department operates as a silo, with its own metrics, tools, and language. This makes it almost impossible to share learning or establish cross-cutting processes. No matter how much we tried to apply HCD tools at the beginning, we always ended up fragmented, because decisions were taken elsewhere at different stages of the project." (Expert Designer 5)</w:t>
            </w:r>
          </w:p>
          <w:p w14:paraId="2C44E176"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698A3B10"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"At the beginning there were resources and support, but it was only temporary. Afterwards, everything was left in the hands of the design team, without budget, without assigned time, without leadership, juggling with whatever was available." (Expert Designer 6)</w:t>
            </w:r>
          </w:p>
          <w:p w14:paraId="7708D4C9"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28D82C84"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sz w:val="16"/>
                <w:szCs w:val="16"/>
              </w:rPr>
            </w:pPr>
            <w:r w:rsidRPr="001F1D37">
              <w:rPr>
                <w:rFonts w:ascii="Calibri" w:eastAsia="Calibri" w:hAnsi="Calibri" w:cs="Calibri"/>
                <w:i/>
                <w:iCs/>
                <w:sz w:val="16"/>
                <w:szCs w:val="16"/>
              </w:rPr>
              <w:t xml:space="preserve">"The resources allocated to HCD are usually very poorly planned. Often there is a budget for a specific project, but not for maintaining or scaling that </w:t>
            </w:r>
            <w:r w:rsidRPr="001F1D37">
              <w:rPr>
                <w:rFonts w:ascii="Calibri" w:eastAsia="Calibri" w:hAnsi="Calibri" w:cs="Calibri"/>
                <w:i/>
                <w:iCs/>
                <w:sz w:val="16"/>
                <w:szCs w:val="16"/>
              </w:rPr>
              <w:lastRenderedPageBreak/>
              <w:t>capability. HCD is not thought of as a long-term investment, but as a temporary cost. This makes resource planning reactive rather than strategic, and each team has to fend for itself as best it can." (Expert Designer 7)</w:t>
            </w:r>
          </w:p>
        </w:tc>
        <w:tc>
          <w:tcPr>
            <w:tcW w:w="2032" w:type="dxa"/>
          </w:tcPr>
          <w:p w14:paraId="0830836C"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lastRenderedPageBreak/>
              <w:t>There is little guidance on how to manage organisational resources efficiently for developing HCD capability.</w:t>
            </w:r>
          </w:p>
        </w:tc>
        <w:tc>
          <w:tcPr>
            <w:tcW w:w="2360" w:type="dxa"/>
          </w:tcPr>
          <w:p w14:paraId="482E73F1"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"At first, I tried to apply the same HCD approach across different teams, but each has its own timings, priorities, and ways of working. In some cases, it works, but in others the process is frustrating. You have to adapt to the context, not impose a formula." (Expert Designer 2)</w:t>
            </w:r>
          </w:p>
          <w:p w14:paraId="3922B6BF"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03C9A132"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"I have worked with several banks and you realise that there is no single way to apply HCD. In some places the team sits within technology, in others in marketing, in others it reports directly to the CEO. That completely changes the dynamics and the type of impact you can have. If you do not understand how the structure and context of each organisation work, it is impossible to design an effective HCD implementation strategy." (Expert Designer 4)</w:t>
            </w:r>
          </w:p>
          <w:p w14:paraId="6939AC8A"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649D1EDF"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sz w:val="16"/>
                <w:szCs w:val="16"/>
              </w:rPr>
            </w:pPr>
            <w:r w:rsidRPr="001F1D37">
              <w:rPr>
                <w:rFonts w:ascii="Calibri" w:eastAsia="Calibri" w:hAnsi="Calibri" w:cs="Calibri"/>
                <w:i/>
                <w:iCs/>
                <w:sz w:val="16"/>
                <w:szCs w:val="16"/>
              </w:rPr>
              <w:t xml:space="preserve">"Each organisation is a world of its own. I have worked in both large and small banks, and the challenges they face are completely different. In some cases, there is already an innovation department familiar with HCD; in others, you have to start from scratch. Moreover, factors such as the legal context, internal structure, or organisational culture have a </w:t>
            </w:r>
            <w:r w:rsidRPr="001F1D37">
              <w:rPr>
                <w:rFonts w:ascii="Calibri" w:eastAsia="Calibri" w:hAnsi="Calibri" w:cs="Calibri"/>
                <w:i/>
                <w:iCs/>
                <w:sz w:val="16"/>
                <w:szCs w:val="16"/>
              </w:rPr>
              <w:lastRenderedPageBreak/>
              <w:t>huge influence. That is why there are no universal solutions: any mechanism to develop HCD capabilities must be adapted to the specific context of the organisation." (Expert Designer 6)</w:t>
            </w:r>
          </w:p>
        </w:tc>
        <w:tc>
          <w:tcPr>
            <w:tcW w:w="1961" w:type="dxa"/>
          </w:tcPr>
          <w:p w14:paraId="6BAE5DA6" w14:textId="793937C3" w:rsidR="00101590" w:rsidRPr="001F1D37" w:rsidRDefault="00101590" w:rsidP="0010159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lastRenderedPageBreak/>
              <w:t>Fragmented resource planning for HCD across the organisation.</w:t>
            </w:r>
          </w:p>
          <w:p w14:paraId="4EDE1C4F" w14:textId="77777777" w:rsidR="00101590" w:rsidRPr="001F1D37" w:rsidRDefault="00101590" w:rsidP="0010159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p>
          <w:p w14:paraId="1B4BA803" w14:textId="18850F60" w:rsidR="00101590" w:rsidRPr="001F1D37" w:rsidRDefault="00101590" w:rsidP="0010159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Tension between adaptation to HCD practice and organisational culture.</w:t>
            </w:r>
          </w:p>
          <w:p w14:paraId="222A93A9" w14:textId="77777777" w:rsidR="00101590" w:rsidRPr="001F1D37" w:rsidRDefault="00101590" w:rsidP="0010159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p>
          <w:p w14:paraId="4079348F" w14:textId="59409330" w:rsidR="00101590" w:rsidRPr="001F1D37" w:rsidRDefault="00101590" w:rsidP="0010159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Internal context-specific barriers shaping the effectiveness of HCD practice.</w:t>
            </w:r>
          </w:p>
          <w:p w14:paraId="19EAB32F"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961" w:type="dxa"/>
          </w:tcPr>
          <w:p w14:paraId="7AB62AB3" w14:textId="7AF16633"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The unique internal and external conditions of each financial organisation shape the specific barriers to HCD capability development, making the effectiveness of enabling mechanisms contingent on the organisation's specific context.</w:t>
            </w:r>
          </w:p>
          <w:p w14:paraId="3990FF20"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p>
          <w:p w14:paraId="0A985043"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Apply measurement for formulating, executing and conveying strategies for HCD development.</w:t>
            </w:r>
          </w:p>
          <w:p w14:paraId="104BC175"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sz w:val="16"/>
                <w:szCs w:val="16"/>
              </w:rPr>
            </w:pPr>
          </w:p>
        </w:tc>
        <w:tc>
          <w:tcPr>
            <w:tcW w:w="1961" w:type="dxa"/>
          </w:tcPr>
          <w:p w14:paraId="454951F0"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Proposition 7: HCD capability development in financial organisations requires contextual adaptation combined with shared frameworks for alignment and evaluation of resources across teams.</w:t>
            </w:r>
          </w:p>
        </w:tc>
      </w:tr>
      <w:tr w:rsidR="00C55266" w:rsidRPr="001F1D37" w14:paraId="640368EE" w14:textId="77777777" w:rsidTr="00F8107A">
        <w:tc>
          <w:tcPr>
            <w:cnfStyle w:val="001000000000" w:firstRow="0" w:lastRow="0" w:firstColumn="1" w:lastColumn="0" w:oddVBand="0" w:evenVBand="0" w:oddHBand="0" w:evenHBand="0" w:firstRowFirstColumn="0" w:firstRowLastColumn="0" w:lastRowFirstColumn="0" w:lastRowLastColumn="0"/>
            <w:tcW w:w="1292" w:type="dxa"/>
            <w:vMerge/>
          </w:tcPr>
          <w:p w14:paraId="2F86D73A" w14:textId="77777777" w:rsidR="00F8107A" w:rsidRPr="001F1D37" w:rsidRDefault="00F8107A">
            <w:pPr>
              <w:widowControl w:val="0"/>
              <w:pBdr>
                <w:top w:val="nil"/>
                <w:left w:val="nil"/>
                <w:bottom w:val="nil"/>
                <w:right w:val="nil"/>
                <w:between w:val="nil"/>
              </w:pBdr>
              <w:spacing w:line="276" w:lineRule="auto"/>
              <w:rPr>
                <w:rFonts w:ascii="Calibri" w:eastAsia="Calibri" w:hAnsi="Calibri" w:cs="Calibri"/>
                <w:sz w:val="16"/>
                <w:szCs w:val="16"/>
              </w:rPr>
            </w:pPr>
          </w:p>
        </w:tc>
        <w:tc>
          <w:tcPr>
            <w:tcW w:w="2346" w:type="dxa"/>
          </w:tcPr>
          <w:p w14:paraId="62FB9D71"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"Many times, we are only invited to the initial part of the project. We do the research, define problems, but then we disappear. So, the solution that gets implemented does not reflect what we found, because nobody defended that vision through to the end." (Expert Designer 1)</w:t>
            </w:r>
          </w:p>
          <w:p w14:paraId="69D3DBEE"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7FA9182B"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"In general, we are called when the project has already been decided. They want us to dress up something that is already closed. So, what strategic capacity can we have if we only decorate what others have defined? […] Design is not part of strategic conversations. We are invited when it comes to execution, not when the direction is being decided. That makes it very difficult to have influence." (Expert Designer 2)</w:t>
            </w:r>
          </w:p>
          <w:p w14:paraId="15111A3E"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4C28704C"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"Often design comes in once everything has already been defined. They only ask us to make it look good. There is no room to question whether the approach makes sense, whether it is the best for the user, or whether it brings value to the business." (Expert Designer 3)</w:t>
            </w:r>
          </w:p>
          <w:p w14:paraId="46690128"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455E2470"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lastRenderedPageBreak/>
              <w:t>"It has happened to us that we are called in when the product is practically finished. At that point, the contribution we can make is minimal, more decorative than strategic." (Expert Designer 6)</w:t>
            </w:r>
          </w:p>
          <w:p w14:paraId="47A8AC69"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2CEB1C2D"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"When we are brought in late, we already depend on the work of other teams, and in many cases, it is too late to make meaningful changes. We are racing against the clock, under pressure to meet KPIs, and that creates friction. They ask us to fix what has already gone wrong, but we were not given the chance to step in earlier to prevent those problems." (Expert Designer 7)</w:t>
            </w:r>
          </w:p>
          <w:p w14:paraId="52A4B0A1"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1318F8DE"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"We design customer journeys, we do research, but many times we are removed from the project before implementation. We do not get to see whether what we propose works, nor do we have the chance to iterate. That is frustrating and breaks the learning process. There is an obsession with delivering quickly, and that leaves us out of the phase where we could learn the most and strengthen our capabilities as a team." (Expert Designer 8)</w:t>
            </w:r>
          </w:p>
          <w:p w14:paraId="40101119"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436CCB9E"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sz w:val="16"/>
                <w:szCs w:val="16"/>
              </w:rPr>
            </w:pPr>
            <w:r w:rsidRPr="001F1D37">
              <w:rPr>
                <w:rFonts w:ascii="Calibri" w:eastAsia="Calibri" w:hAnsi="Calibri" w:cs="Calibri"/>
                <w:i/>
                <w:iCs/>
                <w:sz w:val="16"/>
                <w:szCs w:val="16"/>
              </w:rPr>
              <w:t xml:space="preserve">"We are told when the project has already been launched and the strategic decisions have already been taken, and at that stage it is very difficult to </w:t>
            </w:r>
            <w:r w:rsidRPr="001F1D37">
              <w:rPr>
                <w:rFonts w:ascii="Calibri" w:eastAsia="Calibri" w:hAnsi="Calibri" w:cs="Calibri"/>
                <w:i/>
                <w:iCs/>
                <w:sz w:val="16"/>
                <w:szCs w:val="16"/>
              </w:rPr>
              <w:lastRenderedPageBreak/>
              <w:t>contribute in a meaningful way. We arrive late […] what we can do is minimal." (Expert Designer 9)</w:t>
            </w:r>
          </w:p>
        </w:tc>
        <w:tc>
          <w:tcPr>
            <w:tcW w:w="2032" w:type="dxa"/>
          </w:tcPr>
          <w:p w14:paraId="3FCC3694"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lastRenderedPageBreak/>
              <w:t>The absence of HCD in both the early and late stages of financial product and service development constrains the growth of HCD capability.</w:t>
            </w:r>
          </w:p>
        </w:tc>
        <w:tc>
          <w:tcPr>
            <w:tcW w:w="2360" w:type="dxa"/>
          </w:tcPr>
          <w:p w14:paraId="18569EDD"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"When HCD is present from the beginning, the project flows. Everyone understands where we are heading, and decisions are made more quickly. If we join late, things have to be undone, and that generates a lot of resistance." (Expert Designer 3)</w:t>
            </w:r>
          </w:p>
          <w:p w14:paraId="4E19489F"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3B03C86A"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"When HCD is integrated from the start of the project, the process is much smoother. We do not have to justify why we are there making changes or fighting over timelines. We become a natural part of the project, and that improves both the result and collaboration between teams." (Expert Designer 4)</w:t>
            </w:r>
          </w:p>
          <w:p w14:paraId="1B2C5D62"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10072809"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"When design is integrated from the start, the process is much smoother, and we avoid having to fix things at the last minute. Moreover, early integration allows us to measure the impact of design more effectively and present results more clearly and consistently." (Expert Designer 5)</w:t>
            </w:r>
          </w:p>
          <w:p w14:paraId="7D9793EB"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3B12967B"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 xml:space="preserve">"We have achieved much greater impact when design accompanies the entire implementation. In a recent project, we were involved from </w:t>
            </w:r>
            <w:r w:rsidRPr="001F1D37">
              <w:rPr>
                <w:rFonts w:ascii="Calibri" w:eastAsia="Calibri" w:hAnsi="Calibri" w:cs="Calibri"/>
                <w:i/>
                <w:iCs/>
                <w:sz w:val="16"/>
                <w:szCs w:val="16"/>
              </w:rPr>
              <w:lastRenderedPageBreak/>
              <w:t>problem detection through to closure. That way, we were able to make corrections along the way and ensure that what we had learnt was not lost—and the impact was tremendous." (Expert Designer 6)</w:t>
            </w:r>
          </w:p>
          <w:p w14:paraId="5323CD1E"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1F80C8F9"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 xml:space="preserve">"When we are brought in late, everything is already defined. We are given two weeks to ‘work magic’ on a solution we did not design. That way, there is no room to learn or to contribute. But in projects where we are involved from start to finish—doing research, prototyping, supporting development—we can see what works and what does not. That does generate real impact." </w:t>
            </w:r>
          </w:p>
          <w:p w14:paraId="2AAAC077"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(Expert Designer 7)</w:t>
            </w:r>
          </w:p>
          <w:p w14:paraId="73A65E0F"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50735491"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"Design is not only about coming up with solutions, it also involves implementing them, testing them, evaluating whether they work, and making adjustments. If we only take part at the beginning of the project, there is no space for real learning. In contrast, when we can be present until the end, we understand much better what creates value and what does not, and that strengthens both the outcomes and our capabilities as a team and as an organisation." (Expert Designer 8)</w:t>
            </w:r>
          </w:p>
          <w:p w14:paraId="738026E6"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166138CC"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sz w:val="16"/>
                <w:szCs w:val="16"/>
              </w:rPr>
            </w:pPr>
            <w:r w:rsidRPr="001F1D37">
              <w:rPr>
                <w:rFonts w:ascii="Calibri" w:eastAsia="Calibri" w:hAnsi="Calibri" w:cs="Calibri"/>
                <w:i/>
                <w:iCs/>
                <w:sz w:val="16"/>
                <w:szCs w:val="16"/>
              </w:rPr>
              <w:t xml:space="preserve">"We realised that including design in the initial planning not only improved and sped up the </w:t>
            </w:r>
            <w:r w:rsidRPr="001F1D37">
              <w:rPr>
                <w:rFonts w:ascii="Calibri" w:eastAsia="Calibri" w:hAnsi="Calibri" w:cs="Calibri"/>
                <w:i/>
                <w:iCs/>
                <w:sz w:val="16"/>
                <w:szCs w:val="16"/>
              </w:rPr>
              <w:lastRenderedPageBreak/>
              <w:t>process, but also reduced friction later on. That way expectations are aligned from the start." (Expert Designer 10)</w:t>
            </w:r>
          </w:p>
        </w:tc>
        <w:tc>
          <w:tcPr>
            <w:tcW w:w="1961" w:type="dxa"/>
          </w:tcPr>
          <w:p w14:paraId="74B0A8B9" w14:textId="0EA237C0" w:rsidR="00101590" w:rsidRPr="001F1D37" w:rsidRDefault="001E37A2" w:rsidP="00101590">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lastRenderedPageBreak/>
              <w:t>Early</w:t>
            </w:r>
            <w:r w:rsidR="00101590" w:rsidRPr="001F1D37">
              <w:rPr>
                <w:rFonts w:ascii="Calibri" w:eastAsia="Calibri" w:hAnsi="Calibri" w:cs="Calibri"/>
                <w:sz w:val="16"/>
                <w:szCs w:val="16"/>
              </w:rPr>
              <w:t xml:space="preserve"> or Late-stage involvement of HCD limit </w:t>
            </w:r>
            <w:r w:rsidRPr="001F1D37">
              <w:rPr>
                <w:rFonts w:ascii="Calibri" w:eastAsia="Calibri" w:hAnsi="Calibri" w:cs="Calibri"/>
                <w:sz w:val="16"/>
                <w:szCs w:val="16"/>
              </w:rPr>
              <w:t>impact.</w:t>
            </w:r>
          </w:p>
          <w:p w14:paraId="3845AE4E" w14:textId="77777777" w:rsidR="00101590" w:rsidRPr="001F1D37" w:rsidRDefault="00101590" w:rsidP="00101590">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p>
          <w:p w14:paraId="643CABCB" w14:textId="00418730" w:rsidR="00101590" w:rsidRPr="001F1D37" w:rsidRDefault="00101590" w:rsidP="00101590">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Discontinuity of designer</w:t>
            </w:r>
            <w:r w:rsidR="001E37A2" w:rsidRPr="001F1D37">
              <w:rPr>
                <w:rFonts w:ascii="Calibri" w:eastAsia="Calibri" w:hAnsi="Calibri" w:cs="Calibri"/>
                <w:sz w:val="16"/>
                <w:szCs w:val="16"/>
              </w:rPr>
              <w:t>s</w:t>
            </w:r>
            <w:r w:rsidRPr="001F1D37">
              <w:rPr>
                <w:rFonts w:ascii="Calibri" w:eastAsia="Calibri" w:hAnsi="Calibri" w:cs="Calibri"/>
                <w:sz w:val="16"/>
                <w:szCs w:val="16"/>
              </w:rPr>
              <w:t xml:space="preserve"> participation across the project lifecycle</w:t>
            </w:r>
            <w:r w:rsidR="001E37A2" w:rsidRPr="001F1D37">
              <w:rPr>
                <w:rFonts w:ascii="Calibri" w:eastAsia="Calibri" w:hAnsi="Calibri" w:cs="Calibri"/>
                <w:sz w:val="16"/>
                <w:szCs w:val="16"/>
              </w:rPr>
              <w:t>.</w:t>
            </w:r>
          </w:p>
          <w:p w14:paraId="06977333" w14:textId="77777777" w:rsidR="00101590" w:rsidRPr="001F1D37" w:rsidRDefault="00101590" w:rsidP="00101590">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p>
          <w:p w14:paraId="0B3D4BEB" w14:textId="6CEBE605" w:rsidR="00F8107A" w:rsidRPr="001F1D37" w:rsidRDefault="00101590" w:rsidP="00101590">
            <w:pPr>
              <w:cnfStyle w:val="000000000000" w:firstRow="0" w:lastRow="0" w:firstColumn="0" w:lastColumn="0" w:oddVBand="0" w:evenVBand="0" w:oddHBand="0" w:evenHBand="0" w:firstRowFirstColumn="0" w:firstRowLastColumn="0" w:lastRowFirstColumn="0" w:lastRowLastColumn="0"/>
              <w:rPr>
                <w:sz w:val="16"/>
                <w:szCs w:val="16"/>
              </w:rPr>
            </w:pPr>
            <w:r w:rsidRPr="001F1D37">
              <w:rPr>
                <w:rFonts w:ascii="Calibri" w:eastAsia="Calibri" w:hAnsi="Calibri" w:cs="Calibri"/>
                <w:sz w:val="16"/>
                <w:szCs w:val="16"/>
              </w:rPr>
              <w:t>Breakdown of organisational learning due to partial engagement</w:t>
            </w:r>
            <w:r w:rsidR="001E37A2" w:rsidRPr="001F1D37">
              <w:rPr>
                <w:rFonts w:ascii="Calibri" w:eastAsia="Calibri" w:hAnsi="Calibri" w:cs="Calibri"/>
                <w:sz w:val="16"/>
                <w:szCs w:val="16"/>
              </w:rPr>
              <w:t xml:space="preserve"> of designers.</w:t>
            </w:r>
          </w:p>
        </w:tc>
        <w:tc>
          <w:tcPr>
            <w:tcW w:w="1961" w:type="dxa"/>
          </w:tcPr>
          <w:p w14:paraId="2ACCABAC" w14:textId="5BE8C0E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Participate in end-to-end projects, accompanying the entire product/service lifecycle from diagnosis to implementation and evaluation.</w:t>
            </w:r>
          </w:p>
          <w:p w14:paraId="08E2BCDB"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p>
          <w:p w14:paraId="7D73C917"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Integrate HCD from the early stages of the project and to establish standardised mechanisms for evaluating its impact across the organisation to improve the operational capacity of HCD.</w:t>
            </w:r>
          </w:p>
          <w:p w14:paraId="5DF665A6"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p>
          <w:p w14:paraId="50A67987"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sz w:val="16"/>
                <w:szCs w:val="16"/>
              </w:rPr>
            </w:pPr>
          </w:p>
        </w:tc>
        <w:tc>
          <w:tcPr>
            <w:tcW w:w="1961" w:type="dxa"/>
          </w:tcPr>
          <w:p w14:paraId="1D912349"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Proposition 8: HCD capability development requires end-to-end projects spanning the entire product/service lifecycle.</w:t>
            </w:r>
          </w:p>
        </w:tc>
      </w:tr>
      <w:tr w:rsidR="00C55266" w:rsidRPr="001F1D37" w14:paraId="7C884811" w14:textId="77777777" w:rsidTr="00F81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2" w:type="dxa"/>
          </w:tcPr>
          <w:p w14:paraId="71DD6240" w14:textId="77777777" w:rsidR="00F8107A" w:rsidRPr="001F1D37" w:rsidRDefault="00F8107A">
            <w:pPr>
              <w:rPr>
                <w:rFonts w:ascii="Calibri" w:eastAsia="Calibri" w:hAnsi="Calibri" w:cs="Calibri"/>
                <w:sz w:val="16"/>
                <w:szCs w:val="16"/>
              </w:rPr>
            </w:pPr>
            <w:r w:rsidRPr="001F1D37">
              <w:rPr>
                <w:rFonts w:ascii="Calibri" w:eastAsia="Calibri" w:hAnsi="Calibri" w:cs="Calibri"/>
                <w:b w:val="0"/>
                <w:bCs w:val="0"/>
                <w:sz w:val="16"/>
                <w:szCs w:val="16"/>
              </w:rPr>
              <w:lastRenderedPageBreak/>
              <w:t>People perspective</w:t>
            </w:r>
          </w:p>
        </w:tc>
        <w:tc>
          <w:tcPr>
            <w:tcW w:w="2346" w:type="dxa"/>
          </w:tcPr>
          <w:p w14:paraId="550F31C0"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"The most decisive factor is having a senior executive who understands and defends the vision of designers. Without support from the top, everything remains as isolated efforts or short-lived pilots. In our case, we did strong design work, but since no one defended its ability to generate direct short-term sales, cuts began. In the end, they ended up copying random ideas from competitors in the hope of selling more, losing the strategic focus we had built." (Expert Designer 1)</w:t>
            </w:r>
          </w:p>
          <w:p w14:paraId="42F4805F"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38ED8C63"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"There are people pushing very hard, but everything depends on them. If they leave tomorrow, the project collapses. There is no structure to sustain the work beyond the individual drive of these leaders." (Expert Designer 2)</w:t>
            </w:r>
          </w:p>
          <w:p w14:paraId="0C2F7D92"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14F10815"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"We had a success case thanks to a highly committed expert, but when she moved to a different role, everything fell apart. We realised that talent alone is not enough; a system is needed to support that commitment." (Expert Designer 4)</w:t>
            </w:r>
          </w:p>
          <w:p w14:paraId="7DCFD063"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287A601A"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 xml:space="preserve">"We had very strong ‘informal’ leaders, but without official backing, once these experts left, </w:t>
            </w:r>
            <w:r w:rsidRPr="001F1D37">
              <w:rPr>
                <w:rFonts w:ascii="Calibri" w:eastAsia="Calibri" w:hAnsi="Calibri" w:cs="Calibri"/>
                <w:i/>
                <w:iCs/>
                <w:sz w:val="16"/>
                <w:szCs w:val="16"/>
              </w:rPr>
              <w:lastRenderedPageBreak/>
              <w:t>what they had built fell apart. If it is not institutionalised, when these individuals go, it cannot be sustained—which is why individual competences are still critical." (Expert Designer 4)</w:t>
            </w:r>
          </w:p>
          <w:p w14:paraId="79C57BEA"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282FC23C"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"From design we can have very solid proposals, but if there is no link with decision-makers, everything stays in a PowerPoint. The design process needs to be connected with the real decision-making circuits." (Expert Designer 5)</w:t>
            </w:r>
          </w:p>
          <w:p w14:paraId="4B3B45F2"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3BF74010"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"Important steps were taken in one area thanks to a particular expert, but as it was not connected to any broader strategy, it remained isolated, and when this expert left, everything fell apart." (Expert Designer 6)</w:t>
            </w:r>
          </w:p>
          <w:p w14:paraId="176175EA"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10F54C28"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sz w:val="16"/>
                <w:szCs w:val="16"/>
              </w:rPr>
            </w:pPr>
            <w:r w:rsidRPr="001F1D37">
              <w:rPr>
                <w:rFonts w:ascii="Calibri" w:eastAsia="Calibri" w:hAnsi="Calibri" w:cs="Calibri"/>
                <w:i/>
                <w:iCs/>
                <w:sz w:val="16"/>
                <w:szCs w:val="16"/>
              </w:rPr>
              <w:t>"The development of design capabilities depends on the profile leading the change in the organisation. There are people who strongly believe in the value of design and promote it, but if they lack visibility, influence, and backing within the organisation, their ability to drive transformation is very limited. Whether they are designers or not, individual leadership—with real change management skills—is key for design to become consolidated." (Expert Designer 11)</w:t>
            </w:r>
          </w:p>
        </w:tc>
        <w:tc>
          <w:tcPr>
            <w:tcW w:w="2032" w:type="dxa"/>
          </w:tcPr>
          <w:p w14:paraId="2D774C36"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lastRenderedPageBreak/>
              <w:t>The success of HCD capability development in financial organisations depends on the competence and legitimacy of individuals as change leaders.</w:t>
            </w:r>
          </w:p>
        </w:tc>
        <w:tc>
          <w:tcPr>
            <w:tcW w:w="2360" w:type="dxa"/>
          </w:tcPr>
          <w:p w14:paraId="54B37780"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"After the first pilot case, where we had good results, but no one took responsibility for maintaining them. Then we saw it clearly: if there is no person—a name, with prestige and legitimacy inside the organisation—who looks after the process, the urgency will always override design. Without continuity and assigned responsibilities, nothing is built." (Expert Designer 1)</w:t>
            </w:r>
          </w:p>
          <w:p w14:paraId="03FC5912"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02F1CCC7"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"It is necessary to have someone with a design vision on the committees where the strategic direction of the organisation is decided. Without presence there, design will always remain peripheral. Moreover, since impact is often not immediate, this person needs the skills to build a narrative that connects design with loyalty, satisfaction, efficiency, etc. That is also valuable, even if it is not direct conversion." (Expert Designer 1)</w:t>
            </w:r>
          </w:p>
          <w:p w14:paraId="11499B7A"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4FDE5F1A"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 xml:space="preserve">"I have found myself in the position of leading a team with a strong design vision, but without an institutional structure to support us, everything depended on individual drive. That created a lot of strain, which we managed thanks to our personal skills […] which is why, for design to be consolidated, leadership </w:t>
            </w:r>
            <w:r w:rsidRPr="001F1D37">
              <w:rPr>
                <w:rFonts w:ascii="Calibri" w:eastAsia="Calibri" w:hAnsi="Calibri" w:cs="Calibri"/>
                <w:i/>
                <w:iCs/>
                <w:sz w:val="16"/>
                <w:szCs w:val="16"/>
              </w:rPr>
              <w:lastRenderedPageBreak/>
              <w:t>needs to be visible, legitimate, and connected to strategy." (Expert Designer 2)</w:t>
            </w:r>
          </w:p>
          <w:p w14:paraId="20F359BD"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32C673B7"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"In my experience, real change occurred when those of us pushing design were recognised and legitimised by management. Not only because we achieved specific results, but because we managed to articulate the value of design for the business. That validation was key to sustaining leadership over time." (Expert Designer 5)</w:t>
            </w:r>
          </w:p>
          <w:p w14:paraId="0251F4F9"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1D2F9E7F"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"HCD can only have real impact if the person leading it has sufficient rank and legitimacy within the organisation. Otherwise, no matter how good the ideas or methods are, if you are not at decision-making levels, you cannot generate change. There needs to be someone who enables and supports these types of interventions throughout the hierarchy." (Expert Designer 5)</w:t>
            </w:r>
          </w:p>
          <w:p w14:paraId="46E01DCB"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16"/>
                <w:szCs w:val="16"/>
              </w:rPr>
            </w:pPr>
          </w:p>
          <w:p w14:paraId="1EE3D34F"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sz w:val="16"/>
                <w:szCs w:val="16"/>
              </w:rPr>
            </w:pPr>
            <w:r w:rsidRPr="001F1D37">
              <w:rPr>
                <w:rFonts w:ascii="Calibri" w:eastAsia="Calibri" w:hAnsi="Calibri" w:cs="Calibri"/>
                <w:i/>
                <w:iCs/>
                <w:sz w:val="16"/>
                <w:szCs w:val="16"/>
              </w:rPr>
              <w:t xml:space="preserve">"I would say we started to spread the value of design by contagion, but that only happens when there are experts who live it, communicate it clearly, and generate trust in others. It is those profiles that make design understood, valued, and begin to expand into other teams, generating results and capabilities beyond their immediate scope […] and this can happen even if those </w:t>
            </w:r>
            <w:r w:rsidRPr="001F1D37">
              <w:rPr>
                <w:rFonts w:ascii="Calibri" w:eastAsia="Calibri" w:hAnsi="Calibri" w:cs="Calibri"/>
                <w:i/>
                <w:iCs/>
                <w:sz w:val="16"/>
                <w:szCs w:val="16"/>
              </w:rPr>
              <w:lastRenderedPageBreak/>
              <w:t>individuals are not experts in design practice." (Expert Designer 11)</w:t>
            </w:r>
          </w:p>
        </w:tc>
        <w:tc>
          <w:tcPr>
            <w:tcW w:w="1961" w:type="dxa"/>
          </w:tcPr>
          <w:p w14:paraId="0DF9AE43" w14:textId="20681726" w:rsidR="001E37A2" w:rsidRPr="001F1D37" w:rsidRDefault="001E37A2" w:rsidP="001E37A2">
            <w:pPr>
              <w:pBdr>
                <w:top w:val="nil"/>
                <w:left w:val="nil"/>
                <w:bottom w:val="nil"/>
                <w:right w:val="nil"/>
                <w:between w:val="nil"/>
              </w:pBdr>
              <w:spacing w:after="16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lastRenderedPageBreak/>
              <w:t>Dependence on individual legitimacy rather than institutional support.</w:t>
            </w:r>
          </w:p>
          <w:p w14:paraId="747AB965" w14:textId="544CBFD4" w:rsidR="001E37A2" w:rsidRPr="001F1D37" w:rsidRDefault="001E37A2" w:rsidP="001E37A2">
            <w:pPr>
              <w:pBdr>
                <w:top w:val="nil"/>
                <w:left w:val="nil"/>
                <w:bottom w:val="nil"/>
                <w:right w:val="nil"/>
                <w:between w:val="nil"/>
              </w:pBdr>
              <w:spacing w:after="16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Fragility of HCD initiatives tied to specific individuals.</w:t>
            </w:r>
          </w:p>
          <w:p w14:paraId="1ECAD2C9" w14:textId="7408492F" w:rsidR="00F8107A" w:rsidRPr="001F1D37" w:rsidRDefault="001E37A2" w:rsidP="001E37A2">
            <w:pPr>
              <w:pBdr>
                <w:top w:val="nil"/>
                <w:left w:val="nil"/>
                <w:bottom w:val="nil"/>
                <w:right w:val="nil"/>
                <w:between w:val="nil"/>
              </w:pBdr>
              <w:spacing w:after="160"/>
              <w:cnfStyle w:val="000000100000" w:firstRow="0" w:lastRow="0" w:firstColumn="0" w:lastColumn="0" w:oddVBand="0" w:evenVBand="0" w:oddHBand="1" w:evenHBand="0" w:firstRowFirstColumn="0" w:firstRowLastColumn="0" w:lastRowFirstColumn="0" w:lastRowLastColumn="0"/>
              <w:rPr>
                <w:sz w:val="16"/>
                <w:szCs w:val="16"/>
              </w:rPr>
            </w:pPr>
            <w:r w:rsidRPr="001F1D37">
              <w:rPr>
                <w:rFonts w:ascii="Calibri" w:eastAsia="Calibri" w:hAnsi="Calibri" w:cs="Calibri"/>
                <w:sz w:val="16"/>
                <w:szCs w:val="16"/>
              </w:rPr>
              <w:t>Limited access of designers to strategic decision-making arenas in finance.</w:t>
            </w:r>
          </w:p>
        </w:tc>
        <w:tc>
          <w:tcPr>
            <w:tcW w:w="1961" w:type="dxa"/>
          </w:tcPr>
          <w:p w14:paraId="252E3A05" w14:textId="49961C5C" w:rsidR="00F8107A" w:rsidRPr="001F1D37" w:rsidRDefault="00F8107A">
            <w:pPr>
              <w:pBdr>
                <w:top w:val="nil"/>
                <w:left w:val="nil"/>
                <w:bottom w:val="nil"/>
                <w:right w:val="nil"/>
                <w:between w:val="nil"/>
              </w:pBdr>
              <w:spacing w:after="16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Develop structured training and mentoring programmes for designers, strengthening their leadership role and ensuring the effective transfer of HCD knowledge within the organisation.</w:t>
            </w:r>
          </w:p>
          <w:p w14:paraId="79748DC2" w14:textId="1DCD108A" w:rsidR="00F8107A" w:rsidRPr="001F1D37" w:rsidRDefault="00F8107A">
            <w:pPr>
              <w:pBdr>
                <w:top w:val="nil"/>
                <w:left w:val="nil"/>
                <w:bottom w:val="nil"/>
                <w:right w:val="nil"/>
                <w:between w:val="nil"/>
              </w:pBdr>
              <w:spacing w:after="16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Incorporate designers who are able not only to generate HCD outcomes, but also capable to share HCD knowledge and skills, and effectively convey HCD value across the financial organisation.</w:t>
            </w:r>
          </w:p>
          <w:p w14:paraId="076F314F" w14:textId="77777777" w:rsidR="00F8107A" w:rsidRPr="001F1D37" w:rsidRDefault="00F8107A">
            <w:pPr>
              <w:pBdr>
                <w:top w:val="nil"/>
                <w:left w:val="nil"/>
                <w:bottom w:val="nil"/>
                <w:right w:val="nil"/>
                <w:between w:val="nil"/>
              </w:pBdr>
              <w:spacing w:after="16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p>
          <w:p w14:paraId="4FC3517B"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sz w:val="16"/>
                <w:szCs w:val="16"/>
              </w:rPr>
            </w:pPr>
          </w:p>
        </w:tc>
        <w:tc>
          <w:tcPr>
            <w:tcW w:w="1961" w:type="dxa"/>
          </w:tcPr>
          <w:p w14:paraId="1319B4DA"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Proposition 9: individual designers act as key drivers of HCD capability development by generating HCD outcomes and conveying HCD value across the financial organisation.</w:t>
            </w:r>
          </w:p>
          <w:p w14:paraId="5C3BC884" w14:textId="77777777" w:rsidR="00F8107A" w:rsidRPr="001F1D37" w:rsidRDefault="00F810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6"/>
                <w:szCs w:val="16"/>
              </w:rPr>
            </w:pPr>
          </w:p>
        </w:tc>
      </w:tr>
      <w:tr w:rsidR="00C55266" w:rsidRPr="00FB3FB5" w14:paraId="084DAFBC" w14:textId="77777777" w:rsidTr="00F8107A">
        <w:tc>
          <w:tcPr>
            <w:cnfStyle w:val="001000000000" w:firstRow="0" w:lastRow="0" w:firstColumn="1" w:lastColumn="0" w:oddVBand="0" w:evenVBand="0" w:oddHBand="0" w:evenHBand="0" w:firstRowFirstColumn="0" w:firstRowLastColumn="0" w:lastRowFirstColumn="0" w:lastRowLastColumn="0"/>
            <w:tcW w:w="1292" w:type="dxa"/>
          </w:tcPr>
          <w:p w14:paraId="1341A565" w14:textId="77777777" w:rsidR="00F8107A" w:rsidRPr="001F1D37" w:rsidRDefault="00F8107A">
            <w:pPr>
              <w:rPr>
                <w:rFonts w:ascii="Calibri" w:eastAsia="Calibri" w:hAnsi="Calibri" w:cs="Calibri"/>
                <w:sz w:val="16"/>
                <w:szCs w:val="16"/>
              </w:rPr>
            </w:pPr>
          </w:p>
        </w:tc>
        <w:tc>
          <w:tcPr>
            <w:tcW w:w="2346" w:type="dxa"/>
          </w:tcPr>
          <w:p w14:paraId="5872D8D9"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"I always see a lot of commitment from the design teams, also because they are often still very young teams, but everything depends on their energy. Most likely, there are no mechanisms in financial organisations to sustain design work over time, and the teams end up exhausted […] that is why individual leadership is key to supporting the team." (Expert Designer 1)</w:t>
            </w:r>
          </w:p>
          <w:p w14:paraId="48F5EFC6"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1DFC4AD6"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"In my case, I had no one to turn to when I got stuck. In my experience, it is common for the expert in charge of developing HCD capabilities to have no one to contrast ideas with. You feel alone, and that weakens your ability to sustain the approach." (Expert Designer 7)</w:t>
            </w:r>
          </w:p>
          <w:p w14:paraId="72CFA74A"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2351C0E3"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"At the beginning everything depended on me, but I had no internal references. No one to help me validate decisions or think about how to scale what we were doing. Leadership becomes very lonely." (Expert Designer 12)</w:t>
            </w:r>
          </w:p>
          <w:p w14:paraId="126199D0"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45566FC4"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sz w:val="16"/>
                <w:szCs w:val="16"/>
              </w:rPr>
            </w:pPr>
            <w:r w:rsidRPr="001F1D37">
              <w:rPr>
                <w:rFonts w:ascii="Calibri" w:eastAsia="Calibri" w:hAnsi="Calibri" w:cs="Calibri"/>
                <w:i/>
                <w:iCs/>
                <w:sz w:val="16"/>
                <w:szCs w:val="16"/>
              </w:rPr>
              <w:t xml:space="preserve">"Design professionals are expected to be change leaders, but they are not given time, tools, or support. They have to persuade, train, evangelise, and on top of that, fulfil their daily tasks. Many times, they do not </w:t>
            </w:r>
            <w:r w:rsidRPr="001F1D37">
              <w:rPr>
                <w:rFonts w:ascii="Calibri" w:eastAsia="Calibri" w:hAnsi="Calibri" w:cs="Calibri"/>
                <w:i/>
                <w:iCs/>
                <w:sz w:val="16"/>
                <w:szCs w:val="16"/>
              </w:rPr>
              <w:lastRenderedPageBreak/>
              <w:t>even have direct access to those making strategic decisions. It is very difficult to consolidate an organisational capability this way. The talent is there, but without management skills, structure, or backing, the expert burns out." Expert Designer 12)</w:t>
            </w:r>
          </w:p>
        </w:tc>
        <w:tc>
          <w:tcPr>
            <w:tcW w:w="2032" w:type="dxa"/>
          </w:tcPr>
          <w:p w14:paraId="200A9CAE"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lastRenderedPageBreak/>
              <w:t>Individual designers disseminating HCD knowledge often lack training in implementing outcomes or driving organisational change.</w:t>
            </w:r>
          </w:p>
        </w:tc>
        <w:tc>
          <w:tcPr>
            <w:tcW w:w="2360" w:type="dxa"/>
          </w:tcPr>
          <w:p w14:paraId="522976F5"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"I was promoted to a leadership role without preparation in change management. Designers know how to facilitate, research, prototype, but we lack training to manage teams, persuade stakeholders, or deal with resistance. At first, this greatly limited the scope I could give to design; when I acquired these competences, everything became much smoother." (Expert Designer 6)</w:t>
            </w:r>
          </w:p>
          <w:p w14:paraId="1BC5743E"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r w:rsidRPr="001F1D37">
              <w:rPr>
                <w:rFonts w:ascii="Calibri" w:eastAsia="Calibri" w:hAnsi="Calibri" w:cs="Calibri"/>
                <w:i/>
                <w:iCs/>
                <w:sz w:val="16"/>
                <w:szCs w:val="16"/>
              </w:rPr>
              <w:t>"The profiles leading design within financial institutions neither have the time nor the structure to be change leaders. Many times, we worked in isolation and without support. What helped me was taking part in a formal mentoring programme […] led by a colleague with deep knowledge of the financial sector and also sensitivity towards our profile—and he knew nothing about HCD tools, this is not indispensable." (Expert Designer 10)</w:t>
            </w:r>
          </w:p>
          <w:p w14:paraId="01091CD5"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6"/>
                <w:szCs w:val="16"/>
              </w:rPr>
            </w:pPr>
          </w:p>
          <w:p w14:paraId="55A3D498"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sz w:val="16"/>
                <w:szCs w:val="16"/>
              </w:rPr>
            </w:pPr>
            <w:r w:rsidRPr="001F1D37">
              <w:rPr>
                <w:rFonts w:ascii="Calibri" w:eastAsia="Calibri" w:hAnsi="Calibri" w:cs="Calibri"/>
                <w:i/>
                <w:iCs/>
                <w:sz w:val="16"/>
                <w:szCs w:val="16"/>
              </w:rPr>
              <w:t xml:space="preserve">"Training in change management is just as important as learning HCD tools. Many times, I had to push initiatives without having clear strategies to persuade or create alignment. I lacked preparation to handle resistance and to communicate clearly the impact we were seeking through design. Having these skills has made me </w:t>
            </w:r>
            <w:r w:rsidRPr="001F1D37">
              <w:rPr>
                <w:rFonts w:ascii="Calibri" w:eastAsia="Calibri" w:hAnsi="Calibri" w:cs="Calibri"/>
                <w:i/>
                <w:iCs/>
                <w:sz w:val="16"/>
                <w:szCs w:val="16"/>
              </w:rPr>
              <w:lastRenderedPageBreak/>
              <w:t>much more effective in my role as a change agent." (Expert Designer 12)</w:t>
            </w:r>
          </w:p>
        </w:tc>
        <w:tc>
          <w:tcPr>
            <w:tcW w:w="1961" w:type="dxa"/>
          </w:tcPr>
          <w:p w14:paraId="11CBCEED" w14:textId="60EE5736" w:rsidR="001E37A2" w:rsidRPr="001F1D37" w:rsidRDefault="001E37A2" w:rsidP="001E37A2">
            <w:pPr>
              <w:pBdr>
                <w:top w:val="nil"/>
                <w:left w:val="nil"/>
                <w:bottom w:val="nil"/>
                <w:right w:val="nil"/>
                <w:between w:val="nil"/>
              </w:pBdr>
              <w:spacing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lastRenderedPageBreak/>
              <w:t>Misalliance between HCD expertise and organisational leadership demands.</w:t>
            </w:r>
          </w:p>
          <w:p w14:paraId="47B1BDA4" w14:textId="57F121FE" w:rsidR="001E37A2" w:rsidRPr="001F1D37" w:rsidRDefault="001E37A2" w:rsidP="001E37A2">
            <w:pPr>
              <w:pBdr>
                <w:top w:val="nil"/>
                <w:left w:val="nil"/>
                <w:bottom w:val="nil"/>
                <w:right w:val="nil"/>
                <w:between w:val="nil"/>
              </w:pBdr>
              <w:spacing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Isolation of designers acting as change agents.</w:t>
            </w:r>
          </w:p>
          <w:p w14:paraId="6F003057" w14:textId="7554BE20" w:rsidR="00F8107A" w:rsidRPr="001F1D37" w:rsidRDefault="001E37A2" w:rsidP="001E37A2">
            <w:pPr>
              <w:pBdr>
                <w:top w:val="nil"/>
                <w:left w:val="nil"/>
                <w:bottom w:val="nil"/>
                <w:right w:val="nil"/>
                <w:between w:val="nil"/>
              </w:pBdr>
              <w:spacing w:after="160"/>
              <w:cnfStyle w:val="000000000000" w:firstRow="0" w:lastRow="0" w:firstColumn="0" w:lastColumn="0" w:oddVBand="0" w:evenVBand="0" w:oddHBand="0" w:evenHBand="0" w:firstRowFirstColumn="0" w:firstRowLastColumn="0" w:lastRowFirstColumn="0" w:lastRowLastColumn="0"/>
              <w:rPr>
                <w:sz w:val="16"/>
                <w:szCs w:val="16"/>
                <w:lang w:val="en-US"/>
              </w:rPr>
            </w:pPr>
            <w:r w:rsidRPr="001F1D37">
              <w:rPr>
                <w:rFonts w:ascii="Calibri" w:eastAsia="Calibri" w:hAnsi="Calibri" w:cs="Calibri"/>
                <w:sz w:val="16"/>
                <w:szCs w:val="16"/>
              </w:rPr>
              <w:t>Lack of designers preparation for managing organisational resistance and politics.</w:t>
            </w:r>
          </w:p>
        </w:tc>
        <w:tc>
          <w:tcPr>
            <w:tcW w:w="1961" w:type="dxa"/>
          </w:tcPr>
          <w:p w14:paraId="091FB46C" w14:textId="660528EE" w:rsidR="00F8107A" w:rsidRPr="001F1D37" w:rsidRDefault="00F8107A">
            <w:pPr>
              <w:pBdr>
                <w:top w:val="nil"/>
                <w:left w:val="nil"/>
                <w:bottom w:val="nil"/>
                <w:right w:val="nil"/>
                <w:between w:val="nil"/>
              </w:pBdr>
              <w:spacing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Develop change management skills in designers since is a key skill for individuals in charge of leading the development of HCD capability in financial organisations.</w:t>
            </w:r>
          </w:p>
          <w:p w14:paraId="20595313" w14:textId="77777777" w:rsidR="00F8107A" w:rsidRPr="001F1D37" w:rsidRDefault="00F8107A">
            <w:pPr>
              <w:cnfStyle w:val="000000000000" w:firstRow="0" w:lastRow="0" w:firstColumn="0" w:lastColumn="0" w:oddVBand="0" w:evenVBand="0" w:oddHBand="0" w:evenHBand="0" w:firstRowFirstColumn="0" w:firstRowLastColumn="0" w:lastRowFirstColumn="0" w:lastRowLastColumn="0"/>
              <w:rPr>
                <w:sz w:val="16"/>
                <w:szCs w:val="16"/>
              </w:rPr>
            </w:pPr>
          </w:p>
        </w:tc>
        <w:tc>
          <w:tcPr>
            <w:tcW w:w="1961" w:type="dxa"/>
          </w:tcPr>
          <w:p w14:paraId="1DD4D074" w14:textId="77777777" w:rsidR="00F8107A" w:rsidRPr="00FB3FB5" w:rsidRDefault="00F8107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6"/>
              </w:rPr>
            </w:pPr>
            <w:r w:rsidRPr="001F1D37">
              <w:rPr>
                <w:rFonts w:ascii="Calibri" w:eastAsia="Calibri" w:hAnsi="Calibri" w:cs="Calibri"/>
                <w:sz w:val="16"/>
                <w:szCs w:val="16"/>
              </w:rPr>
              <w:t>Proposition 10: change management is a key skill for individual designers driving HCD capability development in financial organisations.</w:t>
            </w:r>
          </w:p>
        </w:tc>
      </w:tr>
    </w:tbl>
    <w:p w14:paraId="275B7E9D" w14:textId="77777777" w:rsidR="00312265" w:rsidRPr="00C55266" w:rsidRDefault="00312265"/>
    <w:p w14:paraId="7C15132A" w14:textId="77777777" w:rsidR="00312265" w:rsidRPr="00C55266" w:rsidRDefault="00312265"/>
    <w:sectPr w:rsidR="00312265" w:rsidRPr="00C55266">
      <w:pgSz w:w="16838" w:h="11906" w:orient="landscape"/>
      <w:pgMar w:top="1701" w:right="1417" w:bottom="1701"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92C0B25E-04F0-4304-AE6D-3EF516A99AA5}"/>
    <w:embedBold r:id="rId2" w:fontKey="{E1425C00-C301-4CDF-B6C2-C418B17786D2}"/>
    <w:embedItalic r:id="rId3" w:fontKey="{C94386ED-3EDC-4D1F-B644-47C9518BACB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4" w:fontKey="{942C84A0-748E-4392-B6AB-E4F25A927A7F}"/>
  </w:font>
  <w:font w:name="Georgia">
    <w:panose1 w:val="02040502050405020303"/>
    <w:charset w:val="00"/>
    <w:family w:val="roman"/>
    <w:pitch w:val="variable"/>
    <w:sig w:usb0="00000287" w:usb1="00000000" w:usb2="00000000" w:usb3="00000000" w:csb0="0000009F" w:csb1="00000000"/>
    <w:embedItalic r:id="rId5" w:fontKey="{EB07D67A-EC09-4918-9D8C-82FED63E146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TrueTypeFonts/>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265"/>
    <w:rsid w:val="00101590"/>
    <w:rsid w:val="001974B4"/>
    <w:rsid w:val="001B2E90"/>
    <w:rsid w:val="001E2029"/>
    <w:rsid w:val="001E37A2"/>
    <w:rsid w:val="001F1D37"/>
    <w:rsid w:val="00287EE1"/>
    <w:rsid w:val="003079FD"/>
    <w:rsid w:val="00312265"/>
    <w:rsid w:val="003546BD"/>
    <w:rsid w:val="004A7B5E"/>
    <w:rsid w:val="0056371D"/>
    <w:rsid w:val="007A6018"/>
    <w:rsid w:val="0082191A"/>
    <w:rsid w:val="008B4AE2"/>
    <w:rsid w:val="00A810D8"/>
    <w:rsid w:val="00C55266"/>
    <w:rsid w:val="00D9258F"/>
    <w:rsid w:val="00E22D92"/>
    <w:rsid w:val="00E4528C"/>
    <w:rsid w:val="00F8107A"/>
    <w:rsid w:val="00FA4610"/>
    <w:rsid w:val="00FB3F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CA994"/>
  <w15:docId w15:val="{5D9D4CAC-6892-432A-BDC0-0501BA32F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after="0" w:line="360" w:lineRule="auto"/>
      <w:ind w:left="567" w:hanging="567"/>
      <w:outlineLvl w:val="0"/>
    </w:pPr>
    <w:rPr>
      <w:rFonts w:ascii="Times New Roman" w:eastAsia="Times New Roman" w:hAnsi="Times New Roman" w:cs="Times New Roman"/>
      <w:b/>
      <w:bCs/>
      <w:color w:val="000000"/>
      <w:sz w:val="36"/>
      <w:szCs w:val="36"/>
    </w:rPr>
  </w:style>
  <w:style w:type="paragraph" w:styleId="Ttulo2">
    <w:name w:val="heading 2"/>
    <w:basedOn w:val="Normal"/>
    <w:next w:val="Normal"/>
    <w:uiPriority w:val="9"/>
    <w:semiHidden/>
    <w:unhideWhenUsed/>
    <w:qFormat/>
    <w:pPr>
      <w:keepNext/>
      <w:keepLines/>
      <w:spacing w:after="0" w:line="360" w:lineRule="auto"/>
      <w:ind w:left="567" w:hanging="567"/>
      <w:jc w:val="both"/>
      <w:outlineLvl w:val="1"/>
    </w:pPr>
    <w:rPr>
      <w:rFonts w:ascii="Times New Roman" w:eastAsia="Times New Roman" w:hAnsi="Times New Roman" w:cs="Times New Roman"/>
      <w:b/>
      <w:bCs/>
      <w:color w:val="000000"/>
      <w:sz w:val="28"/>
      <w:szCs w:val="28"/>
    </w:rPr>
  </w:style>
  <w:style w:type="paragraph" w:styleId="Ttulo3">
    <w:name w:val="heading 3"/>
    <w:basedOn w:val="Normal"/>
    <w:next w:val="Normal"/>
    <w:uiPriority w:val="9"/>
    <w:semiHidden/>
    <w:unhideWhenUsed/>
    <w:qFormat/>
    <w:pPr>
      <w:keepNext/>
      <w:keepLines/>
      <w:spacing w:before="40" w:after="0"/>
      <w:outlineLvl w:val="2"/>
    </w:pPr>
    <w:rPr>
      <w:color w:val="1F3863"/>
      <w:sz w:val="24"/>
      <w:szCs w:val="24"/>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styleId="Tablanormal2">
    <w:name w:val="Plain Table 2"/>
    <w:basedOn w:val="Tablanormal"/>
    <w:uiPriority w:val="42"/>
    <w:rsid w:val="00A01F9E"/>
    <w:pPr>
      <w:spacing w:after="0" w:line="240" w:lineRule="auto"/>
    </w:pPr>
    <w:rPr>
      <w:rFonts w:ascii="Times New Roman" w:eastAsia="Times New Roman" w:hAnsi="Times New Roman" w:cs="Times New Roman"/>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1Car">
    <w:name w:val="Título 1 Car"/>
    <w:basedOn w:val="Fuentedeprrafopredeter"/>
    <w:uiPriority w:val="9"/>
    <w:rsid w:val="00463FBD"/>
    <w:rPr>
      <w:rFonts w:ascii="Times New Roman" w:eastAsiaTheme="majorEastAsia" w:hAnsi="Times New Roman" w:cs="Times New Roman"/>
      <w:b/>
      <w:color w:val="000000" w:themeColor="text1"/>
      <w:sz w:val="36"/>
      <w:szCs w:val="36"/>
      <w:lang w:val="en-GB" w:eastAsia="es-ES"/>
    </w:rPr>
  </w:style>
  <w:style w:type="character" w:customStyle="1" w:styleId="Ttulo2Car">
    <w:name w:val="Título 2 Car"/>
    <w:basedOn w:val="Fuentedeprrafopredeter"/>
    <w:uiPriority w:val="9"/>
    <w:rsid w:val="00463FBD"/>
    <w:rPr>
      <w:rFonts w:ascii="Times New Roman" w:eastAsiaTheme="majorEastAsia" w:hAnsi="Times New Roman" w:cs="Times New Roman"/>
      <w:b/>
      <w:bCs/>
      <w:iCs/>
      <w:color w:val="000000" w:themeColor="text1"/>
      <w:sz w:val="28"/>
      <w:szCs w:val="24"/>
      <w:lang w:val="en-GB" w:eastAsia="es-ES"/>
    </w:rPr>
  </w:style>
  <w:style w:type="character" w:customStyle="1" w:styleId="Ttulo3Car">
    <w:name w:val="Título 3 Car"/>
    <w:basedOn w:val="Fuentedeprrafopredeter"/>
    <w:uiPriority w:val="9"/>
    <w:semiHidden/>
    <w:rsid w:val="00463FBD"/>
    <w:rPr>
      <w:rFonts w:asciiTheme="majorHAnsi" w:eastAsiaTheme="majorEastAsia" w:hAnsiTheme="majorHAnsi" w:cstheme="majorBidi"/>
      <w:color w:val="1F3763" w:themeColor="accent1" w:themeShade="7F"/>
      <w:sz w:val="24"/>
      <w:szCs w:val="24"/>
      <w:lang w:val="en-GB"/>
    </w:rPr>
  </w:style>
  <w:style w:type="paragraph" w:styleId="NormalWeb">
    <w:name w:val="Normal (Web)"/>
    <w:basedOn w:val="Normal"/>
    <w:uiPriority w:val="99"/>
    <w:unhideWhenUsed/>
    <w:rsid w:val="00394832"/>
    <w:pPr>
      <w:spacing w:before="100" w:beforeAutospacing="1" w:after="100" w:afterAutospacing="1" w:line="240" w:lineRule="auto"/>
    </w:pPr>
    <w:rPr>
      <w:rFonts w:ascii="Times New Roman" w:eastAsia="Times New Roman" w:hAnsi="Times New Roman" w:cs="Times New Roman"/>
      <w:sz w:val="24"/>
      <w:szCs w:val="24"/>
      <w:lang w:val="es-E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Refdecomentario">
    <w:name w:val="annotation reference"/>
    <w:basedOn w:val="Fuentedeprrafopredeter"/>
    <w:uiPriority w:val="99"/>
    <w:semiHidden/>
    <w:unhideWhenUsed/>
    <w:rsid w:val="00F8107A"/>
    <w:rPr>
      <w:sz w:val="16"/>
      <w:szCs w:val="16"/>
    </w:rPr>
  </w:style>
  <w:style w:type="paragraph" w:styleId="Textocomentario">
    <w:name w:val="annotation text"/>
    <w:basedOn w:val="Normal"/>
    <w:link w:val="TextocomentarioCar"/>
    <w:uiPriority w:val="99"/>
    <w:unhideWhenUsed/>
    <w:rsid w:val="00F8107A"/>
    <w:pPr>
      <w:spacing w:line="240" w:lineRule="auto"/>
    </w:pPr>
    <w:rPr>
      <w:sz w:val="20"/>
      <w:szCs w:val="20"/>
    </w:rPr>
  </w:style>
  <w:style w:type="character" w:customStyle="1" w:styleId="TextocomentarioCar">
    <w:name w:val="Texto comentario Car"/>
    <w:basedOn w:val="Fuentedeprrafopredeter"/>
    <w:link w:val="Textocomentario"/>
    <w:uiPriority w:val="99"/>
    <w:rsid w:val="00F8107A"/>
    <w:rPr>
      <w:sz w:val="20"/>
      <w:szCs w:val="20"/>
    </w:rPr>
  </w:style>
  <w:style w:type="paragraph" w:styleId="Asuntodelcomentario">
    <w:name w:val="annotation subject"/>
    <w:basedOn w:val="Textocomentario"/>
    <w:next w:val="Textocomentario"/>
    <w:link w:val="AsuntodelcomentarioCar"/>
    <w:uiPriority w:val="99"/>
    <w:semiHidden/>
    <w:unhideWhenUsed/>
    <w:rsid w:val="00F8107A"/>
    <w:rPr>
      <w:b/>
      <w:bCs/>
    </w:rPr>
  </w:style>
  <w:style w:type="character" w:customStyle="1" w:styleId="AsuntodelcomentarioCar">
    <w:name w:val="Asunto del comentario Car"/>
    <w:basedOn w:val="TextocomentarioCar"/>
    <w:link w:val="Asuntodelcomentario"/>
    <w:uiPriority w:val="99"/>
    <w:semiHidden/>
    <w:rsid w:val="00F8107A"/>
    <w:rPr>
      <w:b/>
      <w:bCs/>
      <w:sz w:val="20"/>
      <w:szCs w:val="20"/>
    </w:rPr>
  </w:style>
  <w:style w:type="character" w:styleId="Textoennegrita">
    <w:name w:val="Strong"/>
    <w:basedOn w:val="Fuentedeprrafopredeter"/>
    <w:uiPriority w:val="22"/>
    <w:qFormat/>
    <w:rsid w:val="00101590"/>
    <w:rPr>
      <w:b/>
      <w:bCs/>
    </w:rPr>
  </w:style>
  <w:style w:type="paragraph" w:styleId="Revisin">
    <w:name w:val="Revision"/>
    <w:hidden/>
    <w:uiPriority w:val="99"/>
    <w:semiHidden/>
    <w:rsid w:val="00287E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708129">
      <w:bodyDiv w:val="1"/>
      <w:marLeft w:val="0"/>
      <w:marRight w:val="0"/>
      <w:marTop w:val="0"/>
      <w:marBottom w:val="0"/>
      <w:divBdr>
        <w:top w:val="none" w:sz="0" w:space="0" w:color="auto"/>
        <w:left w:val="none" w:sz="0" w:space="0" w:color="auto"/>
        <w:bottom w:val="none" w:sz="0" w:space="0" w:color="auto"/>
        <w:right w:val="none" w:sz="0" w:space="0" w:color="auto"/>
      </w:divBdr>
    </w:div>
    <w:div w:id="9983128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RUK+d9gYoDYd4K2vMtRF8J9Ikg==">CgMxLjAyDmguazJidWk3MmluaG4wOABqJQoUc3VnZ2VzdC5saXg1eXZ5emdsYncSDU1heWEgSG92ZXNrb2dyITF0bElXQVFEQjBqUy1wcHhpcmhOOUJqOVB5bHhqRUQwdQ==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18</Pages>
  <Words>6670</Words>
  <Characters>36686</Characters>
  <Application>Microsoft Office Word</Application>
  <DocSecurity>0</DocSecurity>
  <Lines>305</Lines>
  <Paragraphs>86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 Iriarte</dc:creator>
  <cp:lastModifiedBy>Ion Iriarte</cp:lastModifiedBy>
  <cp:revision>17</cp:revision>
  <dcterms:created xsi:type="dcterms:W3CDTF">2025-10-02T10:15:00Z</dcterms:created>
  <dcterms:modified xsi:type="dcterms:W3CDTF">2026-04-07T09:00:00Z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a08040cd-f892-4d31-a1c4-4e447baa6d40</vt:lpwstr>
  </property>
</Properties>
</file>