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380" w:type="dxa"/>
        <w:tblLook w:val="04A0" w:firstRow="1" w:lastRow="0" w:firstColumn="1" w:lastColumn="0" w:noHBand="0" w:noVBand="1"/>
      </w:tblPr>
      <w:tblGrid>
        <w:gridCol w:w="2000"/>
        <w:gridCol w:w="2020"/>
        <w:gridCol w:w="570"/>
        <w:gridCol w:w="1930"/>
        <w:gridCol w:w="250"/>
        <w:gridCol w:w="2190"/>
        <w:gridCol w:w="2420"/>
      </w:tblGrid>
      <w:tr w:rsidR="009F0E33" w:rsidRPr="009F0E33" w14:paraId="073FAF9F" w14:textId="77777777" w:rsidTr="00181AD5">
        <w:trPr>
          <w:trHeight w:val="312"/>
        </w:trPr>
        <w:tc>
          <w:tcPr>
            <w:tcW w:w="6520" w:type="dxa"/>
            <w:gridSpan w:val="4"/>
            <w:tcBorders>
              <w:top w:val="nil"/>
              <w:left w:val="nil"/>
              <w:bottom w:val="single" w:sz="4" w:space="0" w:color="auto"/>
              <w:right w:val="nil"/>
            </w:tcBorders>
            <w:shd w:val="clear" w:color="000000" w:fill="FFFFFF"/>
            <w:noWrap/>
            <w:vAlign w:val="bottom"/>
            <w:hideMark/>
          </w:tcPr>
          <w:p w14:paraId="28A63A2A"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b/>
                <w:bCs/>
                <w:color w:val="000000"/>
                <w:kern w:val="0"/>
                <w:szCs w:val="24"/>
                <w14:ligatures w14:val="none"/>
              </w:rPr>
              <w:t>Table. 1.</w:t>
            </w:r>
            <w:r w:rsidRPr="009F0E33">
              <w:rPr>
                <w:rFonts w:eastAsia="Times New Roman" w:cs="Times New Roman"/>
                <w:color w:val="000000"/>
                <w:kern w:val="0"/>
                <w:szCs w:val="24"/>
                <w14:ligatures w14:val="none"/>
              </w:rPr>
              <w:t xml:space="preserve"> Comparison to other inclusion climate constructs </w:t>
            </w:r>
          </w:p>
        </w:tc>
        <w:tc>
          <w:tcPr>
            <w:tcW w:w="2440" w:type="dxa"/>
            <w:gridSpan w:val="2"/>
            <w:tcBorders>
              <w:top w:val="nil"/>
              <w:left w:val="nil"/>
              <w:bottom w:val="single" w:sz="4" w:space="0" w:color="auto"/>
              <w:right w:val="nil"/>
            </w:tcBorders>
            <w:shd w:val="clear" w:color="000000" w:fill="FFFFFF"/>
            <w:noWrap/>
            <w:vAlign w:val="bottom"/>
            <w:hideMark/>
          </w:tcPr>
          <w:p w14:paraId="0C122485"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 </w:t>
            </w:r>
          </w:p>
        </w:tc>
        <w:tc>
          <w:tcPr>
            <w:tcW w:w="2420" w:type="dxa"/>
            <w:tcBorders>
              <w:top w:val="nil"/>
              <w:left w:val="nil"/>
              <w:bottom w:val="single" w:sz="4" w:space="0" w:color="auto"/>
              <w:right w:val="nil"/>
            </w:tcBorders>
            <w:shd w:val="clear" w:color="000000" w:fill="FFFFFF"/>
            <w:noWrap/>
            <w:vAlign w:val="bottom"/>
            <w:hideMark/>
          </w:tcPr>
          <w:p w14:paraId="2F0FABD4"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 </w:t>
            </w:r>
          </w:p>
        </w:tc>
      </w:tr>
      <w:tr w:rsidR="00FB30CC" w:rsidRPr="009F0E33" w14:paraId="78AEE548" w14:textId="77777777" w:rsidTr="00181AD5">
        <w:trPr>
          <w:trHeight w:val="665"/>
        </w:trPr>
        <w:tc>
          <w:tcPr>
            <w:tcW w:w="2000" w:type="dxa"/>
            <w:tcBorders>
              <w:top w:val="nil"/>
              <w:left w:val="single" w:sz="4" w:space="0" w:color="auto"/>
              <w:bottom w:val="single" w:sz="4" w:space="0" w:color="auto"/>
              <w:right w:val="single" w:sz="4" w:space="0" w:color="auto"/>
            </w:tcBorders>
            <w:shd w:val="clear" w:color="000000" w:fill="FFFFFF"/>
            <w:noWrap/>
            <w:vAlign w:val="bottom"/>
            <w:hideMark/>
          </w:tcPr>
          <w:p w14:paraId="314124CE" w14:textId="77777777" w:rsidR="009F0E33" w:rsidRPr="009F0E33" w:rsidRDefault="009F0E33" w:rsidP="009F0E33">
            <w:pPr>
              <w:spacing w:after="0" w:line="240" w:lineRule="auto"/>
              <w:rPr>
                <w:rFonts w:eastAsia="Times New Roman" w:cs="Times New Roman"/>
                <w:b/>
                <w:bCs/>
                <w:color w:val="000000"/>
                <w:kern w:val="0"/>
                <w:szCs w:val="24"/>
                <w14:ligatures w14:val="none"/>
              </w:rPr>
            </w:pPr>
            <w:r w:rsidRPr="009F0E33">
              <w:rPr>
                <w:rFonts w:eastAsia="Times New Roman" w:cs="Times New Roman"/>
                <w:b/>
                <w:bCs/>
                <w:color w:val="000000"/>
                <w:kern w:val="0"/>
                <w:szCs w:val="24"/>
                <w14:ligatures w14:val="none"/>
              </w:rPr>
              <w:t xml:space="preserve">Measurement </w:t>
            </w:r>
          </w:p>
        </w:tc>
        <w:tc>
          <w:tcPr>
            <w:tcW w:w="2020" w:type="dxa"/>
            <w:tcBorders>
              <w:top w:val="nil"/>
              <w:left w:val="single" w:sz="4" w:space="0" w:color="auto"/>
              <w:bottom w:val="single" w:sz="4" w:space="0" w:color="auto"/>
              <w:right w:val="single" w:sz="4" w:space="0" w:color="auto"/>
            </w:tcBorders>
            <w:shd w:val="clear" w:color="000000" w:fill="FFFFFF"/>
            <w:noWrap/>
            <w:vAlign w:val="bottom"/>
            <w:hideMark/>
          </w:tcPr>
          <w:p w14:paraId="2B2DB599" w14:textId="77777777" w:rsidR="009F0E33" w:rsidRPr="009F0E33" w:rsidRDefault="009F0E33" w:rsidP="009F0E33">
            <w:pPr>
              <w:spacing w:after="0" w:line="240" w:lineRule="auto"/>
              <w:rPr>
                <w:rFonts w:eastAsia="Times New Roman" w:cs="Times New Roman"/>
                <w:b/>
                <w:bCs/>
                <w:color w:val="000000"/>
                <w:kern w:val="0"/>
                <w:szCs w:val="24"/>
                <w14:ligatures w14:val="none"/>
              </w:rPr>
            </w:pPr>
            <w:r w:rsidRPr="009F0E33">
              <w:rPr>
                <w:rFonts w:eastAsia="Times New Roman" w:cs="Times New Roman"/>
                <w:b/>
                <w:bCs/>
                <w:color w:val="000000"/>
                <w:kern w:val="0"/>
                <w:szCs w:val="24"/>
                <w14:ligatures w14:val="none"/>
              </w:rPr>
              <w:t xml:space="preserve">Definition </w:t>
            </w:r>
          </w:p>
        </w:tc>
        <w:tc>
          <w:tcPr>
            <w:tcW w:w="2500" w:type="dxa"/>
            <w:gridSpan w:val="2"/>
            <w:tcBorders>
              <w:top w:val="nil"/>
              <w:left w:val="single" w:sz="4" w:space="0" w:color="auto"/>
              <w:bottom w:val="single" w:sz="4" w:space="0" w:color="auto"/>
              <w:right w:val="single" w:sz="4" w:space="0" w:color="auto"/>
            </w:tcBorders>
            <w:shd w:val="clear" w:color="000000" w:fill="FFFFFF"/>
            <w:vAlign w:val="bottom"/>
            <w:hideMark/>
          </w:tcPr>
          <w:p w14:paraId="139C825B" w14:textId="77777777" w:rsidR="009F0E33" w:rsidRPr="009F0E33" w:rsidRDefault="009F0E33" w:rsidP="009F0E33">
            <w:pPr>
              <w:spacing w:after="0" w:line="240" w:lineRule="auto"/>
              <w:rPr>
                <w:rFonts w:eastAsia="Times New Roman" w:cs="Times New Roman"/>
                <w:b/>
                <w:bCs/>
                <w:color w:val="000000"/>
                <w:kern w:val="0"/>
                <w:szCs w:val="24"/>
                <w14:ligatures w14:val="none"/>
              </w:rPr>
            </w:pPr>
            <w:r w:rsidRPr="009F0E33">
              <w:rPr>
                <w:rFonts w:eastAsia="Times New Roman" w:cs="Times New Roman"/>
                <w:b/>
                <w:bCs/>
                <w:color w:val="000000"/>
                <w:kern w:val="0"/>
                <w:szCs w:val="24"/>
                <w14:ligatures w14:val="none"/>
              </w:rPr>
              <w:t>Scale Items</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76419361" w14:textId="77777777" w:rsidR="009F0E33" w:rsidRPr="009F0E33" w:rsidRDefault="009F0E33" w:rsidP="009F0E33">
            <w:pPr>
              <w:spacing w:after="0" w:line="240" w:lineRule="auto"/>
              <w:rPr>
                <w:rFonts w:eastAsia="Times New Roman" w:cs="Times New Roman"/>
                <w:b/>
                <w:bCs/>
                <w:color w:val="000000"/>
                <w:kern w:val="0"/>
                <w:szCs w:val="24"/>
                <w14:ligatures w14:val="none"/>
              </w:rPr>
            </w:pPr>
            <w:r w:rsidRPr="009F0E33">
              <w:rPr>
                <w:rFonts w:eastAsia="Times New Roman" w:cs="Times New Roman"/>
                <w:b/>
                <w:bCs/>
                <w:color w:val="000000"/>
                <w:kern w:val="0"/>
                <w:szCs w:val="24"/>
                <w14:ligatures w14:val="none"/>
              </w:rPr>
              <w:t>Results from studies that adapt or adopt measure (or similar)</w:t>
            </w:r>
          </w:p>
        </w:tc>
        <w:tc>
          <w:tcPr>
            <w:tcW w:w="2420" w:type="dxa"/>
            <w:tcBorders>
              <w:top w:val="nil"/>
              <w:left w:val="single" w:sz="4" w:space="0" w:color="auto"/>
              <w:bottom w:val="single" w:sz="4" w:space="0" w:color="auto"/>
              <w:right w:val="single" w:sz="4" w:space="0" w:color="auto"/>
            </w:tcBorders>
            <w:shd w:val="clear" w:color="000000" w:fill="FFFFFF"/>
            <w:vAlign w:val="bottom"/>
            <w:hideMark/>
          </w:tcPr>
          <w:p w14:paraId="4CBFE487" w14:textId="77777777" w:rsidR="009F0E33" w:rsidRPr="009F0E33" w:rsidRDefault="009F0E33" w:rsidP="009F0E33">
            <w:pPr>
              <w:spacing w:after="0" w:line="240" w:lineRule="auto"/>
              <w:rPr>
                <w:rFonts w:eastAsia="Times New Roman" w:cs="Times New Roman"/>
                <w:b/>
                <w:bCs/>
                <w:color w:val="000000"/>
                <w:kern w:val="0"/>
                <w:szCs w:val="24"/>
                <w14:ligatures w14:val="none"/>
              </w:rPr>
            </w:pPr>
            <w:r w:rsidRPr="009F0E33">
              <w:rPr>
                <w:rFonts w:eastAsia="Times New Roman" w:cs="Times New Roman"/>
                <w:b/>
                <w:bCs/>
                <w:color w:val="000000"/>
                <w:kern w:val="0"/>
                <w:szCs w:val="24"/>
                <w14:ligatures w14:val="none"/>
              </w:rPr>
              <w:t xml:space="preserve">Comparison between the construct and </w:t>
            </w:r>
            <w:r w:rsidRPr="009F0E33">
              <w:rPr>
                <w:rFonts w:eastAsia="Times New Roman" w:cs="Times New Roman"/>
                <w:b/>
                <w:bCs/>
                <w:i/>
                <w:iCs/>
                <w:color w:val="000000"/>
                <w:kern w:val="0"/>
                <w:szCs w:val="24"/>
                <w14:ligatures w14:val="none"/>
              </w:rPr>
              <w:t>PICLD</w:t>
            </w:r>
          </w:p>
        </w:tc>
      </w:tr>
      <w:tr w:rsidR="009F0E33" w:rsidRPr="009F0E33" w14:paraId="20E70DA4" w14:textId="77777777" w:rsidTr="00181AD5">
        <w:trPr>
          <w:trHeight w:val="5448"/>
        </w:trPr>
        <w:tc>
          <w:tcPr>
            <w:tcW w:w="2000" w:type="dxa"/>
            <w:tcBorders>
              <w:top w:val="nil"/>
              <w:left w:val="single" w:sz="4" w:space="0" w:color="auto"/>
              <w:bottom w:val="single" w:sz="4" w:space="0" w:color="auto"/>
              <w:right w:val="single" w:sz="4" w:space="0" w:color="auto"/>
            </w:tcBorders>
            <w:shd w:val="clear" w:color="000000" w:fill="FFFFFF"/>
            <w:hideMark/>
          </w:tcPr>
          <w:p w14:paraId="689EFDFB"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 xml:space="preserve">Organizational Diversity and Inclusiveness Scale (Mulqueen </w:t>
            </w:r>
            <w:r w:rsidRPr="009F0E33">
              <w:rPr>
                <w:rFonts w:eastAsia="Times New Roman" w:cs="Times New Roman"/>
                <w:i/>
                <w:iCs/>
                <w:color w:val="000000"/>
                <w:kern w:val="0"/>
                <w:szCs w:val="24"/>
                <w14:ligatures w14:val="none"/>
              </w:rPr>
              <w:t>et al.,</w:t>
            </w:r>
            <w:r w:rsidRPr="009F0E33">
              <w:rPr>
                <w:rFonts w:eastAsia="Times New Roman" w:cs="Times New Roman"/>
                <w:color w:val="000000"/>
                <w:kern w:val="0"/>
                <w:szCs w:val="24"/>
                <w14:ligatures w14:val="none"/>
              </w:rPr>
              <w:t xml:space="preserve"> 2012)</w:t>
            </w:r>
          </w:p>
        </w:tc>
        <w:tc>
          <w:tcPr>
            <w:tcW w:w="2020" w:type="dxa"/>
            <w:tcBorders>
              <w:top w:val="nil"/>
              <w:left w:val="nil"/>
              <w:bottom w:val="single" w:sz="4" w:space="0" w:color="auto"/>
              <w:right w:val="single" w:sz="4" w:space="0" w:color="auto"/>
            </w:tcBorders>
            <w:shd w:val="clear" w:color="000000" w:fill="FFFFFF"/>
            <w:hideMark/>
          </w:tcPr>
          <w:p w14:paraId="368265B8"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Combines the two terms diversity and inclusiveness (DI):</w:t>
            </w:r>
            <w:r w:rsidRPr="009F0E33">
              <w:rPr>
                <w:rFonts w:eastAsia="Times New Roman" w:cs="Times New Roman"/>
                <w:color w:val="000000"/>
                <w:kern w:val="0"/>
                <w:szCs w:val="24"/>
                <w14:ligatures w14:val="none"/>
              </w:rPr>
              <w:br/>
              <w:t xml:space="preserve">Diversity (DI) - "extends requirements (Affirmative Action and Equal Employment Opportunity, which specifically designate protected classes of people) to include a broad range of qualities that make people unique." </w:t>
            </w:r>
          </w:p>
        </w:tc>
        <w:tc>
          <w:tcPr>
            <w:tcW w:w="2500" w:type="dxa"/>
            <w:gridSpan w:val="2"/>
            <w:tcBorders>
              <w:top w:val="nil"/>
              <w:left w:val="nil"/>
              <w:bottom w:val="single" w:sz="4" w:space="0" w:color="auto"/>
              <w:right w:val="single" w:sz="4" w:space="0" w:color="auto"/>
            </w:tcBorders>
            <w:shd w:val="clear" w:color="000000" w:fill="FFFFFF"/>
            <w:hideMark/>
          </w:tcPr>
          <w:p w14:paraId="43850E06"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28-item scale</w:t>
            </w:r>
            <w:r w:rsidRPr="009F0E33">
              <w:rPr>
                <w:rFonts w:eastAsia="Times New Roman" w:cs="Times New Roman"/>
                <w:color w:val="000000"/>
                <w:kern w:val="0"/>
                <w:szCs w:val="24"/>
                <w14:ligatures w14:val="none"/>
              </w:rPr>
              <w:br/>
              <w:t>1. My manager values the different opinions of employees.</w:t>
            </w:r>
            <w:r w:rsidRPr="009F0E33">
              <w:rPr>
                <w:rFonts w:eastAsia="Times New Roman" w:cs="Times New Roman"/>
                <w:color w:val="000000"/>
                <w:kern w:val="0"/>
                <w:szCs w:val="24"/>
                <w14:ligatures w14:val="none"/>
              </w:rPr>
              <w:br/>
              <w:t>2. My manager tries to understand others’ experiences from their perspective.</w:t>
            </w:r>
            <w:r w:rsidRPr="009F0E33">
              <w:rPr>
                <w:rFonts w:eastAsia="Times New Roman" w:cs="Times New Roman"/>
                <w:color w:val="000000"/>
                <w:kern w:val="0"/>
                <w:szCs w:val="24"/>
                <w14:ligatures w14:val="none"/>
              </w:rPr>
              <w:br/>
              <w:t xml:space="preserve">3. My manager treats me with respect. </w:t>
            </w:r>
            <w:r w:rsidRPr="009F0E33">
              <w:rPr>
                <w:rFonts w:eastAsia="Times New Roman" w:cs="Times New Roman"/>
                <w:color w:val="000000"/>
                <w:kern w:val="0"/>
                <w:szCs w:val="24"/>
                <w14:ligatures w14:val="none"/>
              </w:rPr>
              <w:br/>
              <w:t>4. My manager recognizes the contributions of all employees.</w:t>
            </w:r>
            <w:r w:rsidRPr="009F0E33">
              <w:rPr>
                <w:rFonts w:eastAsia="Times New Roman" w:cs="Times New Roman"/>
                <w:color w:val="000000"/>
                <w:kern w:val="0"/>
                <w:szCs w:val="24"/>
                <w14:ligatures w14:val="none"/>
              </w:rPr>
              <w:br/>
              <w:t>5. My manager is open to being persuaded by people who view things differently from him or her.</w:t>
            </w:r>
            <w:r w:rsidRPr="009F0E33">
              <w:rPr>
                <w:rFonts w:eastAsia="Times New Roman" w:cs="Times New Roman"/>
                <w:color w:val="000000"/>
                <w:kern w:val="0"/>
                <w:szCs w:val="24"/>
                <w14:ligatures w14:val="none"/>
              </w:rPr>
              <w:br/>
              <w:t>6. My manager fosters a welcoming environment for the team.</w:t>
            </w:r>
            <w:r w:rsidRPr="009F0E33">
              <w:rPr>
                <w:rFonts w:eastAsia="Times New Roman" w:cs="Times New Roman"/>
                <w:color w:val="000000"/>
                <w:kern w:val="0"/>
                <w:szCs w:val="24"/>
                <w14:ligatures w14:val="none"/>
              </w:rPr>
              <w:br/>
              <w:t xml:space="preserve">7. At this organization, I have seen evidence that diverse and inclusive teams are more successful at generating new </w:t>
            </w:r>
            <w:r w:rsidRPr="009F0E33">
              <w:rPr>
                <w:rFonts w:eastAsia="Times New Roman" w:cs="Times New Roman"/>
                <w:color w:val="000000"/>
                <w:kern w:val="0"/>
                <w:szCs w:val="24"/>
                <w14:ligatures w14:val="none"/>
              </w:rPr>
              <w:lastRenderedPageBreak/>
              <w:t xml:space="preserve">business than teams that are less diverse and/or inclusive. </w:t>
            </w:r>
            <w:r w:rsidRPr="009F0E33">
              <w:rPr>
                <w:rFonts w:eastAsia="Times New Roman" w:cs="Times New Roman"/>
                <w:color w:val="000000"/>
                <w:kern w:val="0"/>
                <w:szCs w:val="24"/>
                <w14:ligatures w14:val="none"/>
              </w:rPr>
              <w:br/>
              <w:t>8. At this organization, I have seen evidence that diverse and inclusive teams generate more innovative ideas and solutions than teams that are less diverse and/or inclusive.</w:t>
            </w:r>
            <w:r w:rsidRPr="009F0E33">
              <w:rPr>
                <w:rFonts w:eastAsia="Times New Roman" w:cs="Times New Roman"/>
                <w:color w:val="000000"/>
                <w:kern w:val="0"/>
                <w:szCs w:val="24"/>
                <w14:ligatures w14:val="none"/>
              </w:rPr>
              <w:br/>
              <w:t>9. At this organization, I have seen evidence that diverse and inclusive teams deliver greater customer experiences than teams that are less diverse and/or inclusive.</w:t>
            </w:r>
            <w:r w:rsidRPr="009F0E33">
              <w:rPr>
                <w:rFonts w:eastAsia="Times New Roman" w:cs="Times New Roman"/>
                <w:color w:val="000000"/>
                <w:kern w:val="0"/>
                <w:szCs w:val="24"/>
                <w14:ligatures w14:val="none"/>
              </w:rPr>
              <w:br/>
              <w:t xml:space="preserve">10. Rewards and recognition are fair. (Note: This is distinct from the annual performance management review.) </w:t>
            </w:r>
            <w:r w:rsidRPr="009F0E33">
              <w:rPr>
                <w:rFonts w:eastAsia="Times New Roman" w:cs="Times New Roman"/>
                <w:color w:val="000000"/>
                <w:kern w:val="0"/>
                <w:szCs w:val="24"/>
                <w14:ligatures w14:val="none"/>
              </w:rPr>
              <w:br/>
              <w:t>11. The distribution of rewards and recognition is appropriately balanced among individuals and teams.</w:t>
            </w:r>
            <w:r w:rsidRPr="009F0E33">
              <w:rPr>
                <w:rFonts w:eastAsia="Times New Roman" w:cs="Times New Roman"/>
                <w:color w:val="000000"/>
                <w:kern w:val="0"/>
                <w:szCs w:val="24"/>
                <w14:ligatures w14:val="none"/>
              </w:rPr>
              <w:br/>
              <w:t xml:space="preserve">12. Rewards and </w:t>
            </w:r>
            <w:r w:rsidRPr="009F0E33">
              <w:rPr>
                <w:rFonts w:eastAsia="Times New Roman" w:cs="Times New Roman"/>
                <w:color w:val="000000"/>
                <w:kern w:val="0"/>
                <w:szCs w:val="24"/>
                <w14:ligatures w14:val="none"/>
              </w:rPr>
              <w:lastRenderedPageBreak/>
              <w:t xml:space="preserve">recognition systems are inclusive of all locations. (Note: This is distinct from the annual performance management review.) </w:t>
            </w:r>
            <w:r w:rsidRPr="009F0E33">
              <w:rPr>
                <w:rFonts w:eastAsia="Times New Roman" w:cs="Times New Roman"/>
                <w:color w:val="000000"/>
                <w:kern w:val="0"/>
                <w:szCs w:val="24"/>
                <w14:ligatures w14:val="none"/>
              </w:rPr>
              <w:br/>
              <w:t>13. I am aware of the diversity council.</w:t>
            </w:r>
            <w:r w:rsidRPr="009F0E33">
              <w:rPr>
                <w:rFonts w:eastAsia="Times New Roman" w:cs="Times New Roman"/>
                <w:color w:val="000000"/>
                <w:kern w:val="0"/>
                <w:szCs w:val="24"/>
                <w14:ligatures w14:val="none"/>
              </w:rPr>
              <w:br/>
              <w:t>14. The purposes of the diversity council have been communicated to me.</w:t>
            </w:r>
            <w:r w:rsidRPr="009F0E33">
              <w:rPr>
                <w:rFonts w:eastAsia="Times New Roman" w:cs="Times New Roman"/>
                <w:color w:val="000000"/>
                <w:kern w:val="0"/>
                <w:szCs w:val="24"/>
                <w14:ligatures w14:val="none"/>
              </w:rPr>
              <w:br/>
              <w:t>15. I understand the value that the diversity council brings to this organization.</w:t>
            </w:r>
            <w:r w:rsidRPr="009F0E33">
              <w:rPr>
                <w:rFonts w:eastAsia="Times New Roman" w:cs="Times New Roman"/>
                <w:color w:val="000000"/>
                <w:kern w:val="0"/>
                <w:szCs w:val="24"/>
                <w14:ligatures w14:val="none"/>
              </w:rPr>
              <w:br/>
              <w:t>16. I understand the inclusion mission.</w:t>
            </w:r>
            <w:r w:rsidRPr="009F0E33">
              <w:rPr>
                <w:rFonts w:eastAsia="Times New Roman" w:cs="Times New Roman"/>
                <w:color w:val="000000"/>
                <w:kern w:val="0"/>
                <w:szCs w:val="24"/>
                <w14:ligatures w14:val="none"/>
              </w:rPr>
              <w:br/>
              <w:t xml:space="preserve">17. The diversity and inclusion mission </w:t>
            </w:r>
            <w:proofErr w:type="gramStart"/>
            <w:r w:rsidRPr="009F0E33">
              <w:rPr>
                <w:rFonts w:eastAsia="Times New Roman" w:cs="Times New Roman"/>
                <w:color w:val="000000"/>
                <w:kern w:val="0"/>
                <w:szCs w:val="24"/>
                <w14:ligatures w14:val="none"/>
              </w:rPr>
              <w:t>is</w:t>
            </w:r>
            <w:proofErr w:type="gramEnd"/>
            <w:r w:rsidRPr="009F0E33">
              <w:rPr>
                <w:rFonts w:eastAsia="Times New Roman" w:cs="Times New Roman"/>
                <w:color w:val="000000"/>
                <w:kern w:val="0"/>
                <w:szCs w:val="24"/>
                <w14:ligatures w14:val="none"/>
              </w:rPr>
              <w:t xml:space="preserve"> directly linked to this organization’s strategic imperatives or business results.</w:t>
            </w:r>
            <w:r w:rsidRPr="009F0E33">
              <w:rPr>
                <w:rFonts w:eastAsia="Times New Roman" w:cs="Times New Roman"/>
                <w:color w:val="000000"/>
                <w:kern w:val="0"/>
                <w:szCs w:val="24"/>
                <w14:ligatures w14:val="none"/>
              </w:rPr>
              <w:br/>
              <w:t>18. The people in my department value my ideas and opinions.</w:t>
            </w:r>
            <w:r w:rsidRPr="009F0E33">
              <w:rPr>
                <w:rFonts w:eastAsia="Times New Roman" w:cs="Times New Roman"/>
                <w:color w:val="000000"/>
                <w:kern w:val="0"/>
                <w:szCs w:val="24"/>
                <w14:ligatures w14:val="none"/>
              </w:rPr>
              <w:br/>
              <w:t xml:space="preserve">19. The people in my department treat one another with respect. </w:t>
            </w:r>
            <w:r w:rsidRPr="009F0E33">
              <w:rPr>
                <w:rFonts w:eastAsia="Times New Roman" w:cs="Times New Roman"/>
                <w:color w:val="000000"/>
                <w:kern w:val="0"/>
                <w:szCs w:val="24"/>
                <w14:ligatures w14:val="none"/>
              </w:rPr>
              <w:br/>
              <w:t xml:space="preserve">20. In my department, new team members feel welcomed and </w:t>
            </w:r>
            <w:r w:rsidRPr="009F0E33">
              <w:rPr>
                <w:rFonts w:eastAsia="Times New Roman" w:cs="Times New Roman"/>
                <w:color w:val="000000"/>
                <w:kern w:val="0"/>
                <w:szCs w:val="24"/>
                <w14:ligatures w14:val="none"/>
              </w:rPr>
              <w:lastRenderedPageBreak/>
              <w:t>encouraged.</w:t>
            </w:r>
            <w:r w:rsidRPr="009F0E33">
              <w:rPr>
                <w:rFonts w:eastAsia="Times New Roman" w:cs="Times New Roman"/>
                <w:color w:val="000000"/>
                <w:kern w:val="0"/>
                <w:szCs w:val="24"/>
                <w14:ligatures w14:val="none"/>
              </w:rPr>
              <w:br/>
              <w:t xml:space="preserve">21. The people in my department feel supported and included. </w:t>
            </w:r>
            <w:r w:rsidRPr="009F0E33">
              <w:rPr>
                <w:rFonts w:eastAsia="Times New Roman" w:cs="Times New Roman"/>
                <w:color w:val="000000"/>
                <w:kern w:val="0"/>
                <w:szCs w:val="24"/>
                <w14:ligatures w14:val="none"/>
              </w:rPr>
              <w:br/>
              <w:t>22. In my department, a buddy or mentoring system is effectively utilized.</w:t>
            </w:r>
            <w:r w:rsidRPr="009F0E33">
              <w:rPr>
                <w:rFonts w:eastAsia="Times New Roman" w:cs="Times New Roman"/>
                <w:color w:val="000000"/>
                <w:kern w:val="0"/>
                <w:szCs w:val="24"/>
                <w14:ligatures w14:val="none"/>
              </w:rPr>
              <w:br/>
              <w:t xml:space="preserve">23. In my department, we have people with diverse talents and perspectives. </w:t>
            </w:r>
            <w:r w:rsidRPr="009F0E33">
              <w:rPr>
                <w:rFonts w:eastAsia="Times New Roman" w:cs="Times New Roman"/>
                <w:color w:val="000000"/>
                <w:kern w:val="0"/>
                <w:szCs w:val="24"/>
                <w14:ligatures w14:val="none"/>
              </w:rPr>
              <w:br/>
              <w:t>24. My department’s hiring practices are aligned with the company’s diversity and inclusion mission.</w:t>
            </w:r>
            <w:r w:rsidRPr="009F0E33">
              <w:rPr>
                <w:rFonts w:eastAsia="Times New Roman" w:cs="Times New Roman"/>
                <w:color w:val="000000"/>
                <w:kern w:val="0"/>
                <w:szCs w:val="24"/>
                <w14:ligatures w14:val="none"/>
              </w:rPr>
              <w:br/>
              <w:t xml:space="preserve">25. I am offered meaningful work assignments and opportunities. </w:t>
            </w:r>
            <w:r w:rsidRPr="009F0E33">
              <w:rPr>
                <w:rFonts w:eastAsia="Times New Roman" w:cs="Times New Roman"/>
                <w:color w:val="000000"/>
                <w:kern w:val="0"/>
                <w:szCs w:val="24"/>
                <w14:ligatures w14:val="none"/>
              </w:rPr>
              <w:br/>
              <w:t xml:space="preserve">26. My manager has encouraged me to attend diversity and inclusion training. </w:t>
            </w:r>
            <w:r w:rsidRPr="009F0E33">
              <w:rPr>
                <w:rFonts w:eastAsia="Times New Roman" w:cs="Times New Roman"/>
                <w:color w:val="000000"/>
                <w:kern w:val="0"/>
                <w:szCs w:val="24"/>
                <w14:ligatures w14:val="none"/>
              </w:rPr>
              <w:br/>
              <w:t xml:space="preserve">27. My manager communicates the measurable impacts that diversity and inclusion practices have on our business. </w:t>
            </w:r>
            <w:r w:rsidRPr="009F0E33">
              <w:rPr>
                <w:rFonts w:eastAsia="Times New Roman" w:cs="Times New Roman"/>
                <w:color w:val="000000"/>
                <w:kern w:val="0"/>
                <w:szCs w:val="24"/>
                <w14:ligatures w14:val="none"/>
              </w:rPr>
              <w:br/>
              <w:t xml:space="preserve">28. My manager </w:t>
            </w:r>
            <w:r w:rsidRPr="009F0E33">
              <w:rPr>
                <w:rFonts w:eastAsia="Times New Roman" w:cs="Times New Roman"/>
                <w:color w:val="000000"/>
                <w:kern w:val="0"/>
                <w:szCs w:val="24"/>
                <w14:ligatures w14:val="none"/>
              </w:rPr>
              <w:lastRenderedPageBreak/>
              <w:t>encourages employees to be involved in diversity and inclusion events.</w:t>
            </w:r>
          </w:p>
        </w:tc>
        <w:tc>
          <w:tcPr>
            <w:tcW w:w="2440" w:type="dxa"/>
            <w:gridSpan w:val="2"/>
            <w:tcBorders>
              <w:top w:val="nil"/>
              <w:left w:val="nil"/>
              <w:bottom w:val="single" w:sz="4" w:space="0" w:color="auto"/>
              <w:right w:val="single" w:sz="4" w:space="0" w:color="auto"/>
            </w:tcBorders>
            <w:shd w:val="clear" w:color="000000" w:fill="FFFFFF"/>
            <w:hideMark/>
          </w:tcPr>
          <w:p w14:paraId="6277CF46"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lastRenderedPageBreak/>
              <w:t xml:space="preserve">Mulqueen </w:t>
            </w:r>
            <w:r w:rsidRPr="009F0E33">
              <w:rPr>
                <w:rFonts w:eastAsia="Times New Roman" w:cs="Times New Roman"/>
                <w:i/>
                <w:iCs/>
                <w:color w:val="000000"/>
                <w:kern w:val="0"/>
                <w:szCs w:val="24"/>
                <w14:ligatures w14:val="none"/>
              </w:rPr>
              <w:t>et al. (</w:t>
            </w:r>
            <w:r w:rsidRPr="009F0E33">
              <w:rPr>
                <w:rFonts w:eastAsia="Times New Roman" w:cs="Times New Roman"/>
                <w:color w:val="000000"/>
                <w:kern w:val="0"/>
                <w:szCs w:val="24"/>
                <w14:ligatures w14:val="none"/>
              </w:rPr>
              <w:t xml:space="preserve">2012) found interpersonal skills are directly correlated with versatility and leveraging diversity which promotes an inclusive organizational culture </w:t>
            </w:r>
          </w:p>
        </w:tc>
        <w:tc>
          <w:tcPr>
            <w:tcW w:w="2420" w:type="dxa"/>
            <w:tcBorders>
              <w:top w:val="nil"/>
              <w:left w:val="nil"/>
              <w:bottom w:val="single" w:sz="4" w:space="0" w:color="auto"/>
              <w:right w:val="single" w:sz="4" w:space="0" w:color="auto"/>
            </w:tcBorders>
            <w:shd w:val="clear" w:color="000000" w:fill="FFFFFF"/>
            <w:hideMark/>
          </w:tcPr>
          <w:p w14:paraId="29579B21"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 xml:space="preserve">Measure employees' perceptions of managers' interpersonal skills and their role in fostering organizational diversity and inclusiveness. The new </w:t>
            </w:r>
            <w:r w:rsidRPr="009F0E33">
              <w:rPr>
                <w:rFonts w:eastAsia="Times New Roman" w:cs="Times New Roman"/>
                <w:i/>
                <w:iCs/>
                <w:color w:val="000000"/>
                <w:kern w:val="0"/>
                <w:szCs w:val="24"/>
                <w14:ligatures w14:val="none"/>
              </w:rPr>
              <w:t>PICLD</w:t>
            </w:r>
            <w:r w:rsidRPr="009F0E33">
              <w:rPr>
                <w:rFonts w:eastAsia="Times New Roman" w:cs="Times New Roman"/>
                <w:color w:val="000000"/>
                <w:kern w:val="0"/>
                <w:szCs w:val="24"/>
                <w14:ligatures w14:val="none"/>
              </w:rPr>
              <w:t xml:space="preserve"> scale will measure employees' perceptions of organizational climate to be inclusive of leadership demographic diversity and their ability to develop interpersonal relationships with diverse leaders.</w:t>
            </w:r>
          </w:p>
        </w:tc>
      </w:tr>
      <w:tr w:rsidR="009F0E33" w:rsidRPr="009F0E33" w14:paraId="6A10CBC3" w14:textId="77777777" w:rsidTr="00181AD5">
        <w:trPr>
          <w:trHeight w:val="5100"/>
        </w:trPr>
        <w:tc>
          <w:tcPr>
            <w:tcW w:w="2000" w:type="dxa"/>
            <w:tcBorders>
              <w:top w:val="nil"/>
              <w:left w:val="single" w:sz="4" w:space="0" w:color="auto"/>
              <w:bottom w:val="single" w:sz="4" w:space="0" w:color="auto"/>
              <w:right w:val="single" w:sz="4" w:space="0" w:color="auto"/>
            </w:tcBorders>
            <w:shd w:val="clear" w:color="000000" w:fill="FFFFFF"/>
            <w:hideMark/>
          </w:tcPr>
          <w:p w14:paraId="5B031F73"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lastRenderedPageBreak/>
              <w:t>Climate for Inclusion Scale (Nishii, 2013)</w:t>
            </w:r>
          </w:p>
        </w:tc>
        <w:tc>
          <w:tcPr>
            <w:tcW w:w="2020" w:type="dxa"/>
            <w:tcBorders>
              <w:top w:val="nil"/>
              <w:left w:val="nil"/>
              <w:bottom w:val="single" w:sz="4" w:space="0" w:color="auto"/>
              <w:right w:val="single" w:sz="4" w:space="0" w:color="auto"/>
            </w:tcBorders>
            <w:shd w:val="clear" w:color="000000" w:fill="FFFFFF"/>
            <w:hideMark/>
          </w:tcPr>
          <w:p w14:paraId="21DA5493"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 xml:space="preserve">“Relational sources of bias by ensuring that identity group status is unrelated to access to resources, creating expectations and opportunities for heterogeneous individuals to establish personalized cross-cutting ties, and integrating ideas across boundaries in joint problem solving.” </w:t>
            </w:r>
          </w:p>
        </w:tc>
        <w:tc>
          <w:tcPr>
            <w:tcW w:w="2500" w:type="dxa"/>
            <w:gridSpan w:val="2"/>
            <w:tcBorders>
              <w:top w:val="nil"/>
              <w:left w:val="nil"/>
              <w:bottom w:val="single" w:sz="4" w:space="0" w:color="auto"/>
              <w:right w:val="single" w:sz="4" w:space="0" w:color="auto"/>
            </w:tcBorders>
            <w:shd w:val="clear" w:color="000000" w:fill="FFFFFF"/>
            <w:hideMark/>
          </w:tcPr>
          <w:p w14:paraId="4FEB3E0E"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31-item scale (full version)</w:t>
            </w:r>
            <w:r w:rsidRPr="009F0E33">
              <w:rPr>
                <w:rFonts w:eastAsia="Times New Roman" w:cs="Times New Roman"/>
                <w:color w:val="000000"/>
                <w:kern w:val="0"/>
                <w:szCs w:val="24"/>
                <w14:ligatures w14:val="none"/>
              </w:rPr>
              <w:br/>
              <w:t>Dimension 1: Foundation of equitable employment practices</w:t>
            </w:r>
            <w:r w:rsidRPr="009F0E33">
              <w:rPr>
                <w:rFonts w:eastAsia="Times New Roman" w:cs="Times New Roman"/>
                <w:color w:val="000000"/>
                <w:kern w:val="0"/>
                <w:szCs w:val="24"/>
                <w14:ligatures w14:val="none"/>
              </w:rPr>
              <w:br/>
              <w:t>1. This [unit] is committed to having diverse employees well-distributed throughout the organization.</w:t>
            </w:r>
            <w:r w:rsidRPr="009F0E33">
              <w:rPr>
                <w:rFonts w:eastAsia="Times New Roman" w:cs="Times New Roman"/>
                <w:color w:val="000000"/>
                <w:kern w:val="0"/>
                <w:szCs w:val="24"/>
                <w14:ligatures w14:val="none"/>
              </w:rPr>
              <w:br/>
              <w:t xml:space="preserve">2. The employment/HR practices of this [unit] are fairly implemented. </w:t>
            </w:r>
            <w:r w:rsidRPr="009F0E33">
              <w:rPr>
                <w:rFonts w:eastAsia="Times New Roman" w:cs="Times New Roman"/>
                <w:color w:val="000000"/>
                <w:kern w:val="0"/>
                <w:szCs w:val="24"/>
                <w14:ligatures w14:val="none"/>
              </w:rPr>
              <w:br/>
              <w:t xml:space="preserve">3. This [unit] has a fair promotion process. </w:t>
            </w:r>
            <w:r w:rsidRPr="009F0E33">
              <w:rPr>
                <w:rFonts w:eastAsia="Times New Roman" w:cs="Times New Roman"/>
                <w:color w:val="000000"/>
                <w:kern w:val="0"/>
                <w:szCs w:val="24"/>
                <w14:ligatures w14:val="none"/>
              </w:rPr>
              <w:br/>
              <w:t>4. The performance review process is fair in this [unit].</w:t>
            </w:r>
            <w:r w:rsidRPr="009F0E33">
              <w:rPr>
                <w:rFonts w:eastAsia="Times New Roman" w:cs="Times New Roman"/>
                <w:color w:val="000000"/>
                <w:kern w:val="0"/>
                <w:szCs w:val="24"/>
                <w14:ligatures w14:val="none"/>
              </w:rPr>
              <w:br/>
              <w:t xml:space="preserve">5. In this [unit], the unique needs of employees are met by flexible benefit programs. </w:t>
            </w:r>
            <w:r w:rsidRPr="009F0E33">
              <w:rPr>
                <w:rFonts w:eastAsia="Times New Roman" w:cs="Times New Roman"/>
                <w:color w:val="000000"/>
                <w:kern w:val="0"/>
                <w:szCs w:val="24"/>
                <w14:ligatures w14:val="none"/>
              </w:rPr>
              <w:br/>
              <w:t xml:space="preserve">6. This [unit] invests in the development of </w:t>
            </w:r>
            <w:proofErr w:type="gramStart"/>
            <w:r w:rsidRPr="009F0E33">
              <w:rPr>
                <w:rFonts w:eastAsia="Times New Roman" w:cs="Times New Roman"/>
                <w:color w:val="000000"/>
                <w:kern w:val="0"/>
                <w:szCs w:val="24"/>
                <w14:ligatures w14:val="none"/>
              </w:rPr>
              <w:t>all of</w:t>
            </w:r>
            <w:proofErr w:type="gramEnd"/>
            <w:r w:rsidRPr="009F0E33">
              <w:rPr>
                <w:rFonts w:eastAsia="Times New Roman" w:cs="Times New Roman"/>
                <w:color w:val="000000"/>
                <w:kern w:val="0"/>
                <w:szCs w:val="24"/>
                <w14:ligatures w14:val="none"/>
              </w:rPr>
              <w:t xml:space="preserve"> its employees. </w:t>
            </w:r>
            <w:r w:rsidRPr="009F0E33">
              <w:rPr>
                <w:rFonts w:eastAsia="Times New Roman" w:cs="Times New Roman"/>
                <w:color w:val="000000"/>
                <w:kern w:val="0"/>
                <w:szCs w:val="24"/>
                <w14:ligatures w14:val="none"/>
              </w:rPr>
              <w:br/>
              <w:t xml:space="preserve">7. Employees in this [unit] receive "equal pay for equal work." </w:t>
            </w:r>
            <w:r w:rsidRPr="009F0E33">
              <w:rPr>
                <w:rFonts w:eastAsia="Times New Roman" w:cs="Times New Roman"/>
                <w:color w:val="000000"/>
                <w:kern w:val="0"/>
                <w:szCs w:val="24"/>
                <w14:ligatures w14:val="none"/>
              </w:rPr>
              <w:br/>
              <w:t xml:space="preserve">8. This [unit] provides safe ways for </w:t>
            </w:r>
            <w:r w:rsidRPr="009F0E33">
              <w:rPr>
                <w:rFonts w:eastAsia="Times New Roman" w:cs="Times New Roman"/>
                <w:color w:val="000000"/>
                <w:kern w:val="0"/>
                <w:szCs w:val="24"/>
                <w14:ligatures w14:val="none"/>
              </w:rPr>
              <w:lastRenderedPageBreak/>
              <w:t xml:space="preserve">employees to voice their grievances. </w:t>
            </w:r>
            <w:r w:rsidRPr="009F0E33">
              <w:rPr>
                <w:rFonts w:eastAsia="Times New Roman" w:cs="Times New Roman"/>
                <w:color w:val="000000"/>
                <w:kern w:val="0"/>
                <w:szCs w:val="24"/>
                <w14:ligatures w14:val="none"/>
              </w:rPr>
              <w:br/>
              <w:t xml:space="preserve">9. People in this [unit] can count on receiving a fair performance review. </w:t>
            </w:r>
            <w:r w:rsidRPr="009F0E33">
              <w:rPr>
                <w:rFonts w:eastAsia="Times New Roman" w:cs="Times New Roman"/>
                <w:color w:val="000000"/>
                <w:kern w:val="0"/>
                <w:szCs w:val="24"/>
                <w14:ligatures w14:val="none"/>
              </w:rPr>
              <w:br/>
              <w:t>Dimension 2: Integration of differences</w:t>
            </w:r>
            <w:r w:rsidRPr="009F0E33">
              <w:rPr>
                <w:rFonts w:eastAsia="Times New Roman" w:cs="Times New Roman"/>
                <w:color w:val="000000"/>
                <w:kern w:val="0"/>
                <w:szCs w:val="24"/>
                <w14:ligatures w14:val="none"/>
              </w:rPr>
              <w:br/>
              <w:t xml:space="preserve">1. In this [unit], employees are comfortable being themselves. </w:t>
            </w:r>
            <w:r w:rsidRPr="009F0E33">
              <w:rPr>
                <w:rFonts w:eastAsia="Times New Roman" w:cs="Times New Roman"/>
                <w:color w:val="000000"/>
                <w:kern w:val="0"/>
                <w:szCs w:val="24"/>
                <w14:ligatures w14:val="none"/>
              </w:rPr>
              <w:br/>
              <w:t>2. This [unit] is characterized by a non-threatening environment in which people can reveal their "true" selves.</w:t>
            </w:r>
            <w:r w:rsidRPr="009F0E33">
              <w:rPr>
                <w:rFonts w:eastAsia="Times New Roman" w:cs="Times New Roman"/>
                <w:color w:val="000000"/>
                <w:kern w:val="0"/>
                <w:szCs w:val="24"/>
                <w14:ligatures w14:val="none"/>
              </w:rPr>
              <w:br/>
              <w:t xml:space="preserve">3. Promoting diversity awareness is a priority of this [unit]. </w:t>
            </w:r>
            <w:r w:rsidRPr="009F0E33">
              <w:rPr>
                <w:rFonts w:eastAsia="Times New Roman" w:cs="Times New Roman"/>
                <w:color w:val="000000"/>
                <w:kern w:val="0"/>
                <w:szCs w:val="24"/>
                <w14:ligatures w14:val="none"/>
              </w:rPr>
              <w:br/>
              <w:t xml:space="preserve">4. This [unit] values work-life balance. </w:t>
            </w:r>
            <w:r w:rsidRPr="009F0E33">
              <w:rPr>
                <w:rFonts w:eastAsia="Times New Roman" w:cs="Times New Roman"/>
                <w:color w:val="000000"/>
                <w:kern w:val="0"/>
                <w:szCs w:val="24"/>
                <w14:ligatures w14:val="none"/>
              </w:rPr>
              <w:br/>
              <w:t xml:space="preserve">5. In this [unit], people's differences are respected. </w:t>
            </w:r>
            <w:r w:rsidRPr="009F0E33">
              <w:rPr>
                <w:rFonts w:eastAsia="Times New Roman" w:cs="Times New Roman"/>
                <w:color w:val="000000"/>
                <w:kern w:val="0"/>
                <w:szCs w:val="24"/>
                <w14:ligatures w14:val="none"/>
              </w:rPr>
              <w:br/>
              <w:t>6. Employees in this organization are actively encouraged to take advantage of work-life balance programs.</w:t>
            </w:r>
            <w:r w:rsidRPr="009F0E33">
              <w:rPr>
                <w:rFonts w:eastAsia="Times New Roman" w:cs="Times New Roman"/>
                <w:color w:val="000000"/>
                <w:kern w:val="0"/>
                <w:szCs w:val="24"/>
                <w14:ligatures w14:val="none"/>
              </w:rPr>
              <w:br/>
            </w:r>
            <w:r w:rsidRPr="009F0E33">
              <w:rPr>
                <w:rFonts w:eastAsia="Times New Roman" w:cs="Times New Roman"/>
                <w:color w:val="000000"/>
                <w:kern w:val="0"/>
                <w:szCs w:val="24"/>
                <w14:ligatures w14:val="none"/>
              </w:rPr>
              <w:lastRenderedPageBreak/>
              <w:t xml:space="preserve">7. This [unit] </w:t>
            </w:r>
            <w:proofErr w:type="gramStart"/>
            <w:r w:rsidRPr="009F0E33">
              <w:rPr>
                <w:rFonts w:eastAsia="Times New Roman" w:cs="Times New Roman"/>
                <w:color w:val="000000"/>
                <w:kern w:val="0"/>
                <w:szCs w:val="24"/>
                <w14:ligatures w14:val="none"/>
              </w:rPr>
              <w:t>commits</w:t>
            </w:r>
            <w:proofErr w:type="gramEnd"/>
            <w:r w:rsidRPr="009F0E33">
              <w:rPr>
                <w:rFonts w:eastAsia="Times New Roman" w:cs="Times New Roman"/>
                <w:color w:val="000000"/>
                <w:kern w:val="0"/>
                <w:szCs w:val="24"/>
                <w14:ligatures w14:val="none"/>
              </w:rPr>
              <w:t xml:space="preserve"> resources to ensuring that employees are able to resolve conflicts effectively.</w:t>
            </w:r>
            <w:r w:rsidRPr="009F0E33">
              <w:rPr>
                <w:rFonts w:eastAsia="Times New Roman" w:cs="Times New Roman"/>
                <w:color w:val="000000"/>
                <w:kern w:val="0"/>
                <w:szCs w:val="24"/>
                <w14:ligatures w14:val="none"/>
              </w:rPr>
              <w:br/>
              <w:t>8. Employees of this [unit] are valued for who they are as people, not just for the jobs that they fill.</w:t>
            </w:r>
            <w:r w:rsidRPr="009F0E33">
              <w:rPr>
                <w:rFonts w:eastAsia="Times New Roman" w:cs="Times New Roman"/>
                <w:color w:val="000000"/>
                <w:kern w:val="0"/>
                <w:szCs w:val="24"/>
                <w14:ligatures w14:val="none"/>
              </w:rPr>
              <w:br/>
              <w:t xml:space="preserve">9. In this [unit], people often share and learn about one another as people. </w:t>
            </w:r>
            <w:r w:rsidRPr="009F0E33">
              <w:rPr>
                <w:rFonts w:eastAsia="Times New Roman" w:cs="Times New Roman"/>
                <w:color w:val="000000"/>
                <w:kern w:val="0"/>
                <w:szCs w:val="24"/>
                <w14:ligatures w14:val="none"/>
              </w:rPr>
              <w:br/>
              <w:t>10. This [unit] has a culture in which employees appreciate the differences that people bring to the workplace.</w:t>
            </w:r>
            <w:r w:rsidRPr="009F0E33">
              <w:rPr>
                <w:rFonts w:eastAsia="Times New Roman" w:cs="Times New Roman"/>
                <w:color w:val="000000"/>
                <w:kern w:val="0"/>
                <w:szCs w:val="24"/>
                <w14:ligatures w14:val="none"/>
              </w:rPr>
              <w:br/>
              <w:t>11. Intergroup relations (i.e., between different races, workgroups, age groups, etc.) tend to be characterized by respect and trust within this [unit].</w:t>
            </w:r>
            <w:r w:rsidRPr="009F0E33">
              <w:rPr>
                <w:rFonts w:eastAsia="Times New Roman" w:cs="Times New Roman"/>
                <w:color w:val="000000"/>
                <w:kern w:val="0"/>
                <w:szCs w:val="24"/>
                <w14:ligatures w14:val="none"/>
              </w:rPr>
              <w:br/>
              <w:t>Dimension 3: Inclusion in decision making</w:t>
            </w:r>
            <w:r w:rsidRPr="009F0E33">
              <w:rPr>
                <w:rFonts w:eastAsia="Times New Roman" w:cs="Times New Roman"/>
                <w:color w:val="000000"/>
                <w:kern w:val="0"/>
                <w:szCs w:val="24"/>
                <w14:ligatures w14:val="none"/>
              </w:rPr>
              <w:br/>
              <w:t xml:space="preserve">1. In this [unit], employee input is actively sought. </w:t>
            </w:r>
            <w:r w:rsidRPr="009F0E33">
              <w:rPr>
                <w:rFonts w:eastAsia="Times New Roman" w:cs="Times New Roman"/>
                <w:color w:val="000000"/>
                <w:kern w:val="0"/>
                <w:szCs w:val="24"/>
                <w14:ligatures w14:val="none"/>
              </w:rPr>
              <w:br/>
              <w:t xml:space="preserve">2. It is clear that this </w:t>
            </w:r>
            <w:r w:rsidRPr="009F0E33">
              <w:rPr>
                <w:rFonts w:eastAsia="Times New Roman" w:cs="Times New Roman"/>
                <w:color w:val="000000"/>
                <w:kern w:val="0"/>
                <w:szCs w:val="24"/>
                <w14:ligatures w14:val="none"/>
              </w:rPr>
              <w:lastRenderedPageBreak/>
              <w:t xml:space="preserve">[unit] </w:t>
            </w:r>
            <w:proofErr w:type="gramStart"/>
            <w:r w:rsidRPr="009F0E33">
              <w:rPr>
                <w:rFonts w:eastAsia="Times New Roman" w:cs="Times New Roman"/>
                <w:color w:val="000000"/>
                <w:kern w:val="0"/>
                <w:szCs w:val="24"/>
                <w14:ligatures w14:val="none"/>
              </w:rPr>
              <w:t>perceives</w:t>
            </w:r>
            <w:proofErr w:type="gramEnd"/>
            <w:r w:rsidRPr="009F0E33">
              <w:rPr>
                <w:rFonts w:eastAsia="Times New Roman" w:cs="Times New Roman"/>
                <w:color w:val="000000"/>
                <w:kern w:val="0"/>
                <w:szCs w:val="24"/>
                <w14:ligatures w14:val="none"/>
              </w:rPr>
              <w:t xml:space="preserve"> employee input as a key to its success. </w:t>
            </w:r>
            <w:r w:rsidRPr="009F0E33">
              <w:rPr>
                <w:rFonts w:eastAsia="Times New Roman" w:cs="Times New Roman"/>
                <w:color w:val="000000"/>
                <w:kern w:val="0"/>
                <w:szCs w:val="24"/>
                <w14:ligatures w14:val="none"/>
              </w:rPr>
              <w:br/>
              <w:t>3. Employees in this [unit] are empowered to make work-related decisions on their own.</w:t>
            </w:r>
            <w:r w:rsidRPr="009F0E33">
              <w:rPr>
                <w:rFonts w:eastAsia="Times New Roman" w:cs="Times New Roman"/>
                <w:color w:val="000000"/>
                <w:kern w:val="0"/>
                <w:szCs w:val="24"/>
                <w14:ligatures w14:val="none"/>
              </w:rPr>
              <w:br/>
              <w:t>4. In this [unit], people's ideas are judged based on their quality, and not based on who expresses them.</w:t>
            </w:r>
            <w:r w:rsidRPr="009F0E33">
              <w:rPr>
                <w:rFonts w:eastAsia="Times New Roman" w:cs="Times New Roman"/>
                <w:color w:val="000000"/>
                <w:kern w:val="0"/>
                <w:szCs w:val="24"/>
                <w14:ligatures w14:val="none"/>
              </w:rPr>
              <w:br/>
              <w:t xml:space="preserve">5. This [unit] has a climate for healthy debate. </w:t>
            </w:r>
            <w:r w:rsidRPr="009F0E33">
              <w:rPr>
                <w:rFonts w:eastAsia="Times New Roman" w:cs="Times New Roman"/>
                <w:color w:val="000000"/>
                <w:kern w:val="0"/>
                <w:szCs w:val="24"/>
                <w14:ligatures w14:val="none"/>
              </w:rPr>
              <w:br/>
              <w:t>6. In this [unit], everyone's ideas for how to do things better are given serious consideration.</w:t>
            </w:r>
            <w:r w:rsidRPr="009F0E33">
              <w:rPr>
                <w:rFonts w:eastAsia="Times New Roman" w:cs="Times New Roman"/>
                <w:color w:val="000000"/>
                <w:kern w:val="0"/>
                <w:szCs w:val="24"/>
                <w14:ligatures w14:val="none"/>
              </w:rPr>
              <w:br/>
              <w:t>7. Employees in this [unit] are encouraged to offer ideas on how to improve operations outside of their own areas.</w:t>
            </w:r>
            <w:r w:rsidRPr="009F0E33">
              <w:rPr>
                <w:rFonts w:eastAsia="Times New Roman" w:cs="Times New Roman"/>
                <w:color w:val="000000"/>
                <w:kern w:val="0"/>
                <w:szCs w:val="24"/>
                <w14:ligatures w14:val="none"/>
              </w:rPr>
              <w:br/>
              <w:t xml:space="preserve">8. In this [unit], employees' insights are used to rethink or redefine work practices. </w:t>
            </w:r>
            <w:r w:rsidRPr="009F0E33">
              <w:rPr>
                <w:rFonts w:eastAsia="Times New Roman" w:cs="Times New Roman"/>
                <w:color w:val="000000"/>
                <w:kern w:val="0"/>
                <w:szCs w:val="24"/>
                <w14:ligatures w14:val="none"/>
              </w:rPr>
              <w:br/>
              <w:t xml:space="preserve">9. Top management </w:t>
            </w:r>
            <w:r w:rsidRPr="009F0E33">
              <w:rPr>
                <w:rFonts w:eastAsia="Times New Roman" w:cs="Times New Roman"/>
                <w:color w:val="000000"/>
                <w:kern w:val="0"/>
                <w:szCs w:val="24"/>
                <w14:ligatures w14:val="none"/>
              </w:rPr>
              <w:lastRenderedPageBreak/>
              <w:t>exercises the belief that problem-solving is improved when input from different roles, ranks, and functions is considered.</w:t>
            </w:r>
            <w:r w:rsidRPr="009F0E33">
              <w:rPr>
                <w:rFonts w:eastAsia="Times New Roman" w:cs="Times New Roman"/>
                <w:color w:val="000000"/>
                <w:kern w:val="0"/>
                <w:szCs w:val="24"/>
                <w14:ligatures w14:val="none"/>
              </w:rPr>
              <w:br/>
              <w:t xml:space="preserve">10. Employees in this [unit] engage in productive debates </w:t>
            </w:r>
            <w:proofErr w:type="gramStart"/>
            <w:r w:rsidRPr="009F0E33">
              <w:rPr>
                <w:rFonts w:eastAsia="Times New Roman" w:cs="Times New Roman"/>
                <w:color w:val="000000"/>
                <w:kern w:val="0"/>
                <w:szCs w:val="24"/>
                <w14:ligatures w14:val="none"/>
              </w:rPr>
              <w:t>in an effort to</w:t>
            </w:r>
            <w:proofErr w:type="gramEnd"/>
            <w:r w:rsidRPr="009F0E33">
              <w:rPr>
                <w:rFonts w:eastAsia="Times New Roman" w:cs="Times New Roman"/>
                <w:color w:val="000000"/>
                <w:kern w:val="0"/>
                <w:szCs w:val="24"/>
                <w14:ligatures w14:val="none"/>
              </w:rPr>
              <w:t xml:space="preserve"> improve decision making.</w:t>
            </w:r>
            <w:r w:rsidRPr="009F0E33">
              <w:rPr>
                <w:rFonts w:eastAsia="Times New Roman" w:cs="Times New Roman"/>
                <w:color w:val="000000"/>
                <w:kern w:val="0"/>
                <w:szCs w:val="24"/>
                <w14:ligatures w14:val="none"/>
              </w:rPr>
              <w:br/>
              <w:t>11. This is an [unit] in which employees make use of their own knowledge to enhance their work.</w:t>
            </w:r>
          </w:p>
        </w:tc>
        <w:tc>
          <w:tcPr>
            <w:tcW w:w="2440" w:type="dxa"/>
            <w:gridSpan w:val="2"/>
            <w:tcBorders>
              <w:top w:val="nil"/>
              <w:left w:val="nil"/>
              <w:bottom w:val="single" w:sz="4" w:space="0" w:color="auto"/>
              <w:right w:val="single" w:sz="4" w:space="0" w:color="auto"/>
            </w:tcBorders>
            <w:shd w:val="clear" w:color="000000" w:fill="FFFFFF"/>
            <w:hideMark/>
          </w:tcPr>
          <w:p w14:paraId="0EB870D6" w14:textId="26230781" w:rsidR="009F0E33" w:rsidRPr="009F0E33" w:rsidRDefault="009F0E33" w:rsidP="009F0E33">
            <w:pPr>
              <w:spacing w:after="0" w:line="240" w:lineRule="auto"/>
              <w:rPr>
                <w:rFonts w:eastAsia="Times New Roman" w:cs="Times New Roman"/>
                <w:color w:val="000000"/>
                <w:kern w:val="0"/>
                <w:szCs w:val="24"/>
                <w14:ligatures w14:val="none"/>
              </w:rPr>
            </w:pPr>
            <w:proofErr w:type="spellStart"/>
            <w:r w:rsidRPr="009F0E33">
              <w:rPr>
                <w:rFonts w:eastAsia="Times New Roman" w:cs="Times New Roman"/>
                <w:color w:val="000000"/>
                <w:kern w:val="0"/>
                <w:szCs w:val="24"/>
                <w14:ligatures w14:val="none"/>
              </w:rPr>
              <w:lastRenderedPageBreak/>
              <w:t>Ashikali</w:t>
            </w:r>
            <w:proofErr w:type="spellEnd"/>
            <w:r w:rsidRPr="009F0E33">
              <w:rPr>
                <w:rFonts w:eastAsia="Times New Roman" w:cs="Times New Roman"/>
                <w:color w:val="000000"/>
                <w:kern w:val="0"/>
                <w:szCs w:val="24"/>
                <w14:ligatures w14:val="none"/>
              </w:rPr>
              <w:t xml:space="preserve"> </w:t>
            </w:r>
            <w:r w:rsidRPr="009F0E33">
              <w:rPr>
                <w:rFonts w:eastAsia="Times New Roman" w:cs="Times New Roman"/>
                <w:i/>
                <w:iCs/>
                <w:color w:val="000000"/>
                <w:kern w:val="0"/>
                <w:szCs w:val="24"/>
                <w14:ligatures w14:val="none"/>
              </w:rPr>
              <w:t>et al.</w:t>
            </w:r>
            <w:r w:rsidRPr="009F0E33">
              <w:rPr>
                <w:rFonts w:eastAsia="Times New Roman" w:cs="Times New Roman"/>
                <w:color w:val="000000"/>
                <w:kern w:val="0"/>
                <w:szCs w:val="24"/>
                <w14:ligatures w14:val="none"/>
              </w:rPr>
              <w:t xml:space="preserve"> (2021) adapted Nishii's (2013) scale to develop an 8-item Inclusive Climate Scale. This scale assesses the inclusive climate of a Netherlands public sector organization, both at the individual and team levels. </w:t>
            </w:r>
            <w:r w:rsidRPr="009F0E33">
              <w:rPr>
                <w:rFonts w:eastAsia="Times New Roman" w:cs="Times New Roman"/>
                <w:color w:val="000000"/>
                <w:kern w:val="0"/>
                <w:szCs w:val="24"/>
                <w14:ligatures w14:val="none"/>
              </w:rPr>
              <w:br/>
            </w:r>
            <w:r w:rsidRPr="009F0E33">
              <w:rPr>
                <w:rFonts w:eastAsia="Times New Roman" w:cs="Times New Roman"/>
                <w:color w:val="000000"/>
                <w:kern w:val="0"/>
                <w:szCs w:val="24"/>
                <w14:ligatures w14:val="none"/>
              </w:rPr>
              <w:br/>
              <w:t xml:space="preserve">Adamovic </w:t>
            </w:r>
            <w:r w:rsidRPr="009F0E33">
              <w:rPr>
                <w:rFonts w:eastAsia="Times New Roman" w:cs="Times New Roman"/>
                <w:i/>
                <w:iCs/>
                <w:color w:val="000000"/>
                <w:kern w:val="0"/>
                <w:szCs w:val="24"/>
                <w14:ligatures w14:val="none"/>
              </w:rPr>
              <w:t>et al.,</w:t>
            </w:r>
            <w:r w:rsidRPr="009F0E33">
              <w:rPr>
                <w:rFonts w:eastAsia="Times New Roman" w:cs="Times New Roman"/>
                <w:color w:val="000000"/>
                <w:kern w:val="0"/>
                <w:szCs w:val="24"/>
                <w14:ligatures w14:val="none"/>
              </w:rPr>
              <w:t xml:space="preserve"> 2022 adopted Nishii's Climate for Inclusion Scale for their study and found that positive climate for inclusion moderates the relationship between ethnicity and job self-efficacy, boosting job self-efficacy among ethnic minorities. This research also found that a positive climate for inclusion is associated with reduced depressive symptoms.</w:t>
            </w:r>
            <w:r w:rsidRPr="009F0E33">
              <w:rPr>
                <w:rFonts w:eastAsia="Times New Roman" w:cs="Times New Roman"/>
                <w:color w:val="000000"/>
                <w:kern w:val="0"/>
                <w:szCs w:val="24"/>
                <w14:ligatures w14:val="none"/>
              </w:rPr>
              <w:br/>
            </w:r>
            <w:r w:rsidRPr="009F0E33">
              <w:rPr>
                <w:rFonts w:eastAsia="Times New Roman" w:cs="Times New Roman"/>
                <w:color w:val="000000"/>
                <w:kern w:val="0"/>
                <w:szCs w:val="24"/>
                <w14:ligatures w14:val="none"/>
              </w:rPr>
              <w:br/>
              <w:t xml:space="preserve">Brimhall (2019) </w:t>
            </w:r>
            <w:r w:rsidRPr="009F0E33">
              <w:rPr>
                <w:rFonts w:eastAsia="Times New Roman" w:cs="Times New Roman"/>
                <w:color w:val="000000"/>
                <w:kern w:val="0"/>
                <w:szCs w:val="24"/>
                <w14:ligatures w14:val="none"/>
              </w:rPr>
              <w:lastRenderedPageBreak/>
              <w:t>adopted Mor Barak's Inclusion-Exclusion Scale (Mor Barak, 2017) to measur</w:t>
            </w:r>
            <w:r w:rsidR="00FB30CC">
              <w:rPr>
                <w:rFonts w:eastAsia="Times New Roman" w:cs="Times New Roman"/>
                <w:color w:val="000000"/>
                <w:kern w:val="0"/>
                <w:szCs w:val="24"/>
                <w14:ligatures w14:val="none"/>
              </w:rPr>
              <w:t>e</w:t>
            </w:r>
            <w:r w:rsidRPr="009F0E33">
              <w:rPr>
                <w:rFonts w:eastAsia="Times New Roman" w:cs="Times New Roman"/>
                <w:color w:val="000000"/>
                <w:kern w:val="0"/>
                <w:szCs w:val="24"/>
                <w14:ligatures w14:val="none"/>
              </w:rPr>
              <w:t xml:space="preserve"> climate for inclusion. Longitudinal multilevel path analyses revealed that transformational leaders contribute to fostering inclusion perceptions, increasing employee organizational commitment, and enhancing work performance.</w:t>
            </w:r>
          </w:p>
        </w:tc>
        <w:tc>
          <w:tcPr>
            <w:tcW w:w="2420" w:type="dxa"/>
            <w:tcBorders>
              <w:top w:val="nil"/>
              <w:left w:val="nil"/>
              <w:bottom w:val="single" w:sz="4" w:space="0" w:color="auto"/>
              <w:right w:val="single" w:sz="4" w:space="0" w:color="auto"/>
            </w:tcBorders>
            <w:shd w:val="clear" w:color="000000" w:fill="FFFFFF"/>
            <w:hideMark/>
          </w:tcPr>
          <w:p w14:paraId="54CD7BBC"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lastRenderedPageBreak/>
              <w:t xml:space="preserve">While the measure focuses on eliminating interpersonal bias regarding gender, the </w:t>
            </w:r>
            <w:r w:rsidRPr="009F0E33">
              <w:rPr>
                <w:rFonts w:eastAsia="Times New Roman" w:cs="Times New Roman"/>
                <w:i/>
                <w:iCs/>
                <w:color w:val="000000"/>
                <w:kern w:val="0"/>
                <w:szCs w:val="24"/>
                <w14:ligatures w14:val="none"/>
              </w:rPr>
              <w:t>PICLD</w:t>
            </w:r>
            <w:r w:rsidRPr="009F0E33">
              <w:rPr>
                <w:rFonts w:eastAsia="Times New Roman" w:cs="Times New Roman"/>
                <w:color w:val="000000"/>
                <w:kern w:val="0"/>
                <w:szCs w:val="24"/>
                <w14:ligatures w14:val="none"/>
              </w:rPr>
              <w:t xml:space="preserve"> measure is broader to include all demographics that could make a leader diverse.</w:t>
            </w:r>
          </w:p>
        </w:tc>
      </w:tr>
      <w:tr w:rsidR="009F0E33" w:rsidRPr="009F0E33" w14:paraId="4C4AD74F" w14:textId="77777777" w:rsidTr="00181AD5">
        <w:trPr>
          <w:trHeight w:val="8192"/>
        </w:trPr>
        <w:tc>
          <w:tcPr>
            <w:tcW w:w="2000" w:type="dxa"/>
            <w:tcBorders>
              <w:top w:val="nil"/>
              <w:left w:val="single" w:sz="4" w:space="0" w:color="auto"/>
              <w:bottom w:val="single" w:sz="4" w:space="0" w:color="auto"/>
              <w:right w:val="single" w:sz="4" w:space="0" w:color="auto"/>
            </w:tcBorders>
            <w:shd w:val="clear" w:color="000000" w:fill="FFFFFF"/>
            <w:hideMark/>
          </w:tcPr>
          <w:p w14:paraId="2165EA55" w14:textId="77777777" w:rsidR="009F0E33" w:rsidRPr="009F0E33" w:rsidRDefault="009F0E33" w:rsidP="009F0E33">
            <w:pPr>
              <w:spacing w:after="24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lastRenderedPageBreak/>
              <w:t xml:space="preserve">Perceived Group Inclusion Scale (PGIS; Jansen </w:t>
            </w:r>
            <w:r w:rsidRPr="009F0E33">
              <w:rPr>
                <w:rFonts w:eastAsia="Times New Roman" w:cs="Times New Roman"/>
                <w:i/>
                <w:iCs/>
                <w:color w:val="000000"/>
                <w:kern w:val="0"/>
                <w:szCs w:val="24"/>
                <w14:ligatures w14:val="none"/>
              </w:rPr>
              <w:t>et al.,</w:t>
            </w:r>
            <w:r w:rsidRPr="009F0E33">
              <w:rPr>
                <w:rFonts w:eastAsia="Times New Roman" w:cs="Times New Roman"/>
                <w:color w:val="000000"/>
                <w:kern w:val="0"/>
                <w:szCs w:val="24"/>
                <w14:ligatures w14:val="none"/>
              </w:rPr>
              <w:t xml:space="preserve"> 2014)</w:t>
            </w:r>
          </w:p>
        </w:tc>
        <w:tc>
          <w:tcPr>
            <w:tcW w:w="2020" w:type="dxa"/>
            <w:tcBorders>
              <w:top w:val="nil"/>
              <w:left w:val="nil"/>
              <w:bottom w:val="single" w:sz="4" w:space="0" w:color="auto"/>
              <w:right w:val="single" w:sz="4" w:space="0" w:color="auto"/>
            </w:tcBorders>
            <w:shd w:val="clear" w:color="000000" w:fill="FFFFFF"/>
            <w:hideMark/>
          </w:tcPr>
          <w:p w14:paraId="5DDB8755"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 xml:space="preserve">“The degree to which an individual perceives that the group provides him or her with a sense of belonging and authenticity.” </w:t>
            </w:r>
          </w:p>
        </w:tc>
        <w:tc>
          <w:tcPr>
            <w:tcW w:w="2500" w:type="dxa"/>
            <w:gridSpan w:val="2"/>
            <w:tcBorders>
              <w:top w:val="nil"/>
              <w:left w:val="nil"/>
              <w:bottom w:val="single" w:sz="4" w:space="0" w:color="auto"/>
              <w:right w:val="single" w:sz="4" w:space="0" w:color="auto"/>
            </w:tcBorders>
            <w:shd w:val="clear" w:color="000000" w:fill="FFFFFF"/>
            <w:hideMark/>
          </w:tcPr>
          <w:p w14:paraId="49E3BA85"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16-item scale</w:t>
            </w:r>
            <w:r w:rsidRPr="009F0E33">
              <w:rPr>
                <w:rFonts w:eastAsia="Times New Roman" w:cs="Times New Roman"/>
                <w:color w:val="000000"/>
                <w:kern w:val="0"/>
                <w:szCs w:val="24"/>
                <w14:ligatures w14:val="none"/>
              </w:rPr>
              <w:br/>
              <w:t>This group…</w:t>
            </w:r>
            <w:r w:rsidRPr="009F0E33">
              <w:rPr>
                <w:rFonts w:eastAsia="Times New Roman" w:cs="Times New Roman"/>
                <w:color w:val="000000"/>
                <w:kern w:val="0"/>
                <w:szCs w:val="24"/>
                <w14:ligatures w14:val="none"/>
              </w:rPr>
              <w:br/>
              <w:t>1. Gives me the feeling that I belong.</w:t>
            </w:r>
            <w:r w:rsidRPr="009F0E33">
              <w:rPr>
                <w:rFonts w:eastAsia="Times New Roman" w:cs="Times New Roman"/>
                <w:color w:val="000000"/>
                <w:kern w:val="0"/>
                <w:szCs w:val="24"/>
                <w14:ligatures w14:val="none"/>
              </w:rPr>
              <w:br/>
              <w:t>2. Gives me the feeling that I am part of this group.</w:t>
            </w:r>
            <w:r w:rsidRPr="009F0E33">
              <w:rPr>
                <w:rFonts w:eastAsia="Times New Roman" w:cs="Times New Roman"/>
                <w:color w:val="000000"/>
                <w:kern w:val="0"/>
                <w:szCs w:val="24"/>
                <w14:ligatures w14:val="none"/>
              </w:rPr>
              <w:br/>
              <w:t>3. Gives me the feeling that I fit in.</w:t>
            </w:r>
            <w:r w:rsidRPr="009F0E33">
              <w:rPr>
                <w:rFonts w:eastAsia="Times New Roman" w:cs="Times New Roman"/>
                <w:color w:val="000000"/>
                <w:kern w:val="0"/>
                <w:szCs w:val="24"/>
                <w14:ligatures w14:val="none"/>
              </w:rPr>
              <w:br/>
              <w:t>4. Treats me as an insider.</w:t>
            </w:r>
            <w:r w:rsidRPr="009F0E33">
              <w:rPr>
                <w:rFonts w:eastAsia="Times New Roman" w:cs="Times New Roman"/>
                <w:color w:val="000000"/>
                <w:kern w:val="0"/>
                <w:szCs w:val="24"/>
                <w14:ligatures w14:val="none"/>
              </w:rPr>
              <w:br/>
              <w:t>5. Likes me.</w:t>
            </w:r>
            <w:r w:rsidRPr="009F0E33">
              <w:rPr>
                <w:rFonts w:eastAsia="Times New Roman" w:cs="Times New Roman"/>
                <w:color w:val="000000"/>
                <w:kern w:val="0"/>
                <w:szCs w:val="24"/>
                <w14:ligatures w14:val="none"/>
              </w:rPr>
              <w:br/>
              <w:t>6. Appreciates me.</w:t>
            </w:r>
            <w:r w:rsidRPr="009F0E33">
              <w:rPr>
                <w:rFonts w:eastAsia="Times New Roman" w:cs="Times New Roman"/>
                <w:color w:val="000000"/>
                <w:kern w:val="0"/>
                <w:szCs w:val="24"/>
                <w14:ligatures w14:val="none"/>
              </w:rPr>
              <w:br/>
              <w:t>7. Is pleased with me.</w:t>
            </w:r>
            <w:r w:rsidRPr="009F0E33">
              <w:rPr>
                <w:rFonts w:eastAsia="Times New Roman" w:cs="Times New Roman"/>
                <w:color w:val="000000"/>
                <w:kern w:val="0"/>
                <w:szCs w:val="24"/>
                <w14:ligatures w14:val="none"/>
              </w:rPr>
              <w:br/>
              <w:t>8. Cares about me.</w:t>
            </w:r>
            <w:r w:rsidRPr="009F0E33">
              <w:rPr>
                <w:rFonts w:eastAsia="Times New Roman" w:cs="Times New Roman"/>
                <w:color w:val="000000"/>
                <w:kern w:val="0"/>
                <w:szCs w:val="24"/>
                <w14:ligatures w14:val="none"/>
              </w:rPr>
              <w:br/>
              <w:t>9. Allows me to be authentic.</w:t>
            </w:r>
            <w:r w:rsidRPr="009F0E33">
              <w:rPr>
                <w:rFonts w:eastAsia="Times New Roman" w:cs="Times New Roman"/>
                <w:color w:val="000000"/>
                <w:kern w:val="0"/>
                <w:szCs w:val="24"/>
                <w14:ligatures w14:val="none"/>
              </w:rPr>
              <w:br/>
              <w:t>10. Allows me to be who I am.</w:t>
            </w:r>
            <w:r w:rsidRPr="009F0E33">
              <w:rPr>
                <w:rFonts w:eastAsia="Times New Roman" w:cs="Times New Roman"/>
                <w:color w:val="000000"/>
                <w:kern w:val="0"/>
                <w:szCs w:val="24"/>
                <w14:ligatures w14:val="none"/>
              </w:rPr>
              <w:br/>
              <w:t>11. Allows me to express my authentic self.</w:t>
            </w:r>
            <w:r w:rsidRPr="009F0E33">
              <w:rPr>
                <w:rFonts w:eastAsia="Times New Roman" w:cs="Times New Roman"/>
                <w:color w:val="000000"/>
                <w:kern w:val="0"/>
                <w:szCs w:val="24"/>
                <w14:ligatures w14:val="none"/>
              </w:rPr>
              <w:br/>
              <w:t>12. Allows me to present myself the way I am.</w:t>
            </w:r>
            <w:r w:rsidRPr="009F0E33">
              <w:rPr>
                <w:rFonts w:eastAsia="Times New Roman" w:cs="Times New Roman"/>
                <w:color w:val="000000"/>
                <w:kern w:val="0"/>
                <w:szCs w:val="24"/>
                <w14:ligatures w14:val="none"/>
              </w:rPr>
              <w:br/>
              <w:t>13. Encourages me to be authentic.</w:t>
            </w:r>
            <w:r w:rsidRPr="009F0E33">
              <w:rPr>
                <w:rFonts w:eastAsia="Times New Roman" w:cs="Times New Roman"/>
                <w:color w:val="000000"/>
                <w:kern w:val="0"/>
                <w:szCs w:val="24"/>
                <w14:ligatures w14:val="none"/>
              </w:rPr>
              <w:br/>
              <w:t>14. Encourages me to be who I am.</w:t>
            </w:r>
            <w:r w:rsidRPr="009F0E33">
              <w:rPr>
                <w:rFonts w:eastAsia="Times New Roman" w:cs="Times New Roman"/>
                <w:color w:val="000000"/>
                <w:kern w:val="0"/>
                <w:szCs w:val="24"/>
                <w14:ligatures w14:val="none"/>
              </w:rPr>
              <w:br/>
              <w:t>15. Encourages me to express my authentic self.</w:t>
            </w:r>
            <w:r w:rsidRPr="009F0E33">
              <w:rPr>
                <w:rFonts w:eastAsia="Times New Roman" w:cs="Times New Roman"/>
                <w:color w:val="000000"/>
                <w:kern w:val="0"/>
                <w:szCs w:val="24"/>
                <w14:ligatures w14:val="none"/>
              </w:rPr>
              <w:br/>
              <w:t xml:space="preserve">16. Encourages me to </w:t>
            </w:r>
            <w:r w:rsidRPr="009F0E33">
              <w:rPr>
                <w:rFonts w:eastAsia="Times New Roman" w:cs="Times New Roman"/>
                <w:color w:val="000000"/>
                <w:kern w:val="0"/>
                <w:szCs w:val="24"/>
                <w14:ligatures w14:val="none"/>
              </w:rPr>
              <w:lastRenderedPageBreak/>
              <w:t>present myself the way I am.</w:t>
            </w:r>
          </w:p>
        </w:tc>
        <w:tc>
          <w:tcPr>
            <w:tcW w:w="2440" w:type="dxa"/>
            <w:gridSpan w:val="2"/>
            <w:tcBorders>
              <w:top w:val="nil"/>
              <w:left w:val="nil"/>
              <w:bottom w:val="single" w:sz="4" w:space="0" w:color="auto"/>
              <w:right w:val="single" w:sz="4" w:space="0" w:color="auto"/>
            </w:tcBorders>
            <w:shd w:val="clear" w:color="000000" w:fill="FFFFFF"/>
            <w:hideMark/>
          </w:tcPr>
          <w:p w14:paraId="407756B6"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lastRenderedPageBreak/>
              <w:t xml:space="preserve">Şahin </w:t>
            </w:r>
            <w:r w:rsidRPr="009F0E33">
              <w:rPr>
                <w:rFonts w:eastAsia="Times New Roman" w:cs="Times New Roman"/>
                <w:i/>
                <w:iCs/>
                <w:color w:val="000000"/>
                <w:kern w:val="0"/>
                <w:szCs w:val="24"/>
                <w14:ligatures w14:val="none"/>
              </w:rPr>
              <w:t>et al.</w:t>
            </w:r>
            <w:r w:rsidRPr="009F0E33">
              <w:rPr>
                <w:rFonts w:eastAsia="Times New Roman" w:cs="Times New Roman"/>
                <w:color w:val="000000"/>
                <w:kern w:val="0"/>
                <w:szCs w:val="24"/>
                <w14:ligatures w14:val="none"/>
              </w:rPr>
              <w:t xml:space="preserve"> (2019) adapted the PGIS to measure felt inclusion and discovered that it mediates the connection between deep-level dissimilarity (attributes that are less visible or easily detected) and work-related outcomes, such as job satisfaction, work-related stress, turnover intentions, career commitment, and career advancement motivation. They also found that a climate of inclusion moderates the relationship between deep-level dissimilarity and felt inclusion. In this context, a positive inclusion climate buffers the negative connection between perceived dissimilarity and felt inclusion.  </w:t>
            </w:r>
            <w:r w:rsidRPr="009F0E33">
              <w:rPr>
                <w:rFonts w:eastAsia="Times New Roman" w:cs="Times New Roman"/>
                <w:color w:val="000000"/>
                <w:kern w:val="0"/>
                <w:szCs w:val="24"/>
                <w14:ligatures w14:val="none"/>
              </w:rPr>
              <w:br/>
            </w:r>
            <w:r w:rsidRPr="009F0E33">
              <w:rPr>
                <w:rFonts w:eastAsia="Times New Roman" w:cs="Times New Roman"/>
                <w:color w:val="000000"/>
                <w:kern w:val="0"/>
                <w:szCs w:val="24"/>
                <w14:ligatures w14:val="none"/>
              </w:rPr>
              <w:br/>
            </w:r>
            <w:proofErr w:type="spellStart"/>
            <w:r w:rsidRPr="009F0E33">
              <w:rPr>
                <w:rFonts w:eastAsia="Times New Roman" w:cs="Times New Roman"/>
                <w:color w:val="000000"/>
                <w:kern w:val="0"/>
                <w:szCs w:val="24"/>
                <w14:ligatures w14:val="none"/>
              </w:rPr>
              <w:t>Santuzzi</w:t>
            </w:r>
            <w:proofErr w:type="spellEnd"/>
            <w:r w:rsidRPr="009F0E33">
              <w:rPr>
                <w:rFonts w:eastAsia="Times New Roman" w:cs="Times New Roman"/>
                <w:color w:val="000000"/>
                <w:kern w:val="0"/>
                <w:szCs w:val="24"/>
                <w14:ligatures w14:val="none"/>
              </w:rPr>
              <w:t xml:space="preserve"> </w:t>
            </w:r>
            <w:r w:rsidRPr="009F0E33">
              <w:rPr>
                <w:rFonts w:eastAsia="Times New Roman" w:cs="Times New Roman"/>
                <w:i/>
                <w:iCs/>
                <w:color w:val="000000"/>
                <w:kern w:val="0"/>
                <w:szCs w:val="24"/>
                <w14:ligatures w14:val="none"/>
              </w:rPr>
              <w:t>et al.</w:t>
            </w:r>
            <w:r w:rsidRPr="009F0E33">
              <w:rPr>
                <w:rFonts w:eastAsia="Times New Roman" w:cs="Times New Roman"/>
                <w:color w:val="000000"/>
                <w:kern w:val="0"/>
                <w:szCs w:val="24"/>
                <w14:ligatures w14:val="none"/>
              </w:rPr>
              <w:t xml:space="preserve"> (2021) </w:t>
            </w:r>
            <w:r w:rsidRPr="009F0E33">
              <w:rPr>
                <w:rFonts w:eastAsia="Times New Roman" w:cs="Times New Roman"/>
                <w:color w:val="000000"/>
                <w:kern w:val="0"/>
                <w:szCs w:val="24"/>
                <w14:ligatures w14:val="none"/>
              </w:rPr>
              <w:lastRenderedPageBreak/>
              <w:t>examined the workplace environment's impact on employees' perceptions of commonly used forms for disclosing disabilities. They assessed inclusion using the PGIS and found that a more inclusive workplace increases employees' perceptions of the appropriateness of disability disclosure forms, reduces negative emotions, and boosts positive emotions.</w:t>
            </w:r>
          </w:p>
        </w:tc>
        <w:tc>
          <w:tcPr>
            <w:tcW w:w="2420" w:type="dxa"/>
            <w:tcBorders>
              <w:top w:val="nil"/>
              <w:left w:val="nil"/>
              <w:bottom w:val="single" w:sz="4" w:space="0" w:color="auto"/>
              <w:right w:val="single" w:sz="4" w:space="0" w:color="auto"/>
            </w:tcBorders>
            <w:shd w:val="clear" w:color="000000" w:fill="FFFFFF"/>
            <w:hideMark/>
          </w:tcPr>
          <w:p w14:paraId="3D464827"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lastRenderedPageBreak/>
              <w:t xml:space="preserve">This measure focuses on group-level inclusion without examining interpersonal relationships. In contrast, the new </w:t>
            </w:r>
            <w:r w:rsidRPr="009F0E33">
              <w:rPr>
                <w:rFonts w:eastAsia="Times New Roman" w:cs="Times New Roman"/>
                <w:i/>
                <w:iCs/>
                <w:color w:val="000000"/>
                <w:kern w:val="0"/>
                <w:szCs w:val="24"/>
                <w14:ligatures w14:val="none"/>
              </w:rPr>
              <w:t>PICLD</w:t>
            </w:r>
            <w:r w:rsidRPr="009F0E33">
              <w:rPr>
                <w:rFonts w:eastAsia="Times New Roman" w:cs="Times New Roman"/>
                <w:color w:val="000000"/>
                <w:kern w:val="0"/>
                <w:szCs w:val="24"/>
                <w14:ligatures w14:val="none"/>
              </w:rPr>
              <w:t xml:space="preserve"> measure will examine employees' perception of diverse leaders' group inclusion and their interpersonal relationships with demographically diverse leaders. </w:t>
            </w:r>
          </w:p>
        </w:tc>
      </w:tr>
      <w:tr w:rsidR="009F0E33" w:rsidRPr="009F0E33" w14:paraId="7FAF3D14" w14:textId="77777777" w:rsidTr="00181AD5">
        <w:trPr>
          <w:trHeight w:val="7800"/>
        </w:trPr>
        <w:tc>
          <w:tcPr>
            <w:tcW w:w="2000" w:type="dxa"/>
            <w:tcBorders>
              <w:top w:val="nil"/>
              <w:left w:val="single" w:sz="4" w:space="0" w:color="auto"/>
              <w:bottom w:val="single" w:sz="4" w:space="0" w:color="auto"/>
              <w:right w:val="single" w:sz="4" w:space="0" w:color="auto"/>
            </w:tcBorders>
            <w:shd w:val="clear" w:color="000000" w:fill="FFFFFF"/>
            <w:hideMark/>
          </w:tcPr>
          <w:p w14:paraId="6E32D50D"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lastRenderedPageBreak/>
              <w:t>Inclusive Climate Scale (Nelissen</w:t>
            </w:r>
            <w:r w:rsidRPr="009F0E33">
              <w:rPr>
                <w:rFonts w:eastAsia="Times New Roman" w:cs="Times New Roman"/>
                <w:i/>
                <w:iCs/>
                <w:color w:val="000000"/>
                <w:kern w:val="0"/>
                <w:szCs w:val="24"/>
                <w14:ligatures w14:val="none"/>
              </w:rPr>
              <w:t xml:space="preserve"> et al., </w:t>
            </w:r>
            <w:r w:rsidRPr="009F0E33">
              <w:rPr>
                <w:rFonts w:eastAsia="Times New Roman" w:cs="Times New Roman"/>
                <w:color w:val="000000"/>
                <w:kern w:val="0"/>
                <w:szCs w:val="24"/>
                <w14:ligatures w14:val="none"/>
              </w:rPr>
              <w:t>2017)</w:t>
            </w:r>
          </w:p>
        </w:tc>
        <w:tc>
          <w:tcPr>
            <w:tcW w:w="2020" w:type="dxa"/>
            <w:tcBorders>
              <w:top w:val="nil"/>
              <w:left w:val="nil"/>
              <w:bottom w:val="single" w:sz="4" w:space="0" w:color="auto"/>
              <w:right w:val="single" w:sz="4" w:space="0" w:color="auto"/>
            </w:tcBorders>
            <w:shd w:val="clear" w:color="000000" w:fill="FFFFFF"/>
            <w:hideMark/>
          </w:tcPr>
          <w:p w14:paraId="2F244E62"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 xml:space="preserve">“Extra-role behavior that is intended to benefit people with disabilities at work.” </w:t>
            </w:r>
          </w:p>
        </w:tc>
        <w:tc>
          <w:tcPr>
            <w:tcW w:w="2500" w:type="dxa"/>
            <w:gridSpan w:val="2"/>
            <w:tcBorders>
              <w:top w:val="nil"/>
              <w:left w:val="nil"/>
              <w:bottom w:val="single" w:sz="4" w:space="0" w:color="auto"/>
              <w:right w:val="single" w:sz="4" w:space="0" w:color="auto"/>
            </w:tcBorders>
            <w:shd w:val="clear" w:color="000000" w:fill="FFFFFF"/>
            <w:hideMark/>
          </w:tcPr>
          <w:p w14:paraId="1EDFC66B"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5-item scale</w:t>
            </w:r>
            <w:r w:rsidRPr="009F0E33">
              <w:rPr>
                <w:rFonts w:eastAsia="Times New Roman" w:cs="Times New Roman"/>
                <w:color w:val="000000"/>
                <w:kern w:val="0"/>
                <w:szCs w:val="24"/>
                <w14:ligatures w14:val="none"/>
              </w:rPr>
              <w:br/>
              <w:t>1. In my team people with disabilities are accepted.</w:t>
            </w:r>
            <w:r w:rsidRPr="009F0E33">
              <w:rPr>
                <w:rFonts w:eastAsia="Times New Roman" w:cs="Times New Roman"/>
                <w:color w:val="000000"/>
                <w:kern w:val="0"/>
                <w:szCs w:val="24"/>
                <w14:ligatures w14:val="none"/>
              </w:rPr>
              <w:br/>
              <w:t>2. In my team people with disabilities are helped.</w:t>
            </w:r>
            <w:r w:rsidRPr="009F0E33">
              <w:rPr>
                <w:rFonts w:eastAsia="Times New Roman" w:cs="Times New Roman"/>
                <w:color w:val="000000"/>
                <w:kern w:val="0"/>
                <w:szCs w:val="24"/>
                <w14:ligatures w14:val="none"/>
              </w:rPr>
              <w:br/>
              <w:t xml:space="preserve">3. In my team people with disabilities are treated </w:t>
            </w:r>
            <w:proofErr w:type="gramStart"/>
            <w:r w:rsidRPr="009F0E33">
              <w:rPr>
                <w:rFonts w:eastAsia="Times New Roman" w:cs="Times New Roman"/>
                <w:color w:val="000000"/>
                <w:kern w:val="0"/>
                <w:szCs w:val="24"/>
                <w14:ligatures w14:val="none"/>
              </w:rPr>
              <w:t>as</w:t>
            </w:r>
            <w:proofErr w:type="gramEnd"/>
            <w:r w:rsidRPr="009F0E33">
              <w:rPr>
                <w:rFonts w:eastAsia="Times New Roman" w:cs="Times New Roman"/>
                <w:color w:val="000000"/>
                <w:kern w:val="0"/>
                <w:szCs w:val="24"/>
                <w14:ligatures w14:val="none"/>
              </w:rPr>
              <w:t xml:space="preserve"> other colleagues. </w:t>
            </w:r>
            <w:r w:rsidRPr="009F0E33">
              <w:rPr>
                <w:rFonts w:eastAsia="Times New Roman" w:cs="Times New Roman"/>
                <w:color w:val="000000"/>
                <w:kern w:val="0"/>
                <w:szCs w:val="24"/>
                <w14:ligatures w14:val="none"/>
              </w:rPr>
              <w:br/>
              <w:t xml:space="preserve">4. In my team we are attentive to the needs of people with disabilities. </w:t>
            </w:r>
            <w:r w:rsidRPr="009F0E33">
              <w:rPr>
                <w:rFonts w:eastAsia="Times New Roman" w:cs="Times New Roman"/>
                <w:color w:val="000000"/>
                <w:kern w:val="0"/>
                <w:szCs w:val="24"/>
                <w14:ligatures w14:val="none"/>
              </w:rPr>
              <w:br/>
              <w:t xml:space="preserve">5. In my team we are attentive to the opportunities of people with disabilities. </w:t>
            </w:r>
          </w:p>
        </w:tc>
        <w:tc>
          <w:tcPr>
            <w:tcW w:w="2440" w:type="dxa"/>
            <w:gridSpan w:val="2"/>
            <w:tcBorders>
              <w:top w:val="nil"/>
              <w:left w:val="nil"/>
              <w:bottom w:val="single" w:sz="4" w:space="0" w:color="auto"/>
              <w:right w:val="single" w:sz="4" w:space="0" w:color="auto"/>
            </w:tcBorders>
            <w:shd w:val="clear" w:color="000000" w:fill="FFFFFF"/>
            <w:hideMark/>
          </w:tcPr>
          <w:p w14:paraId="09CBAEEC"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Nelissen</w:t>
            </w:r>
            <w:r w:rsidRPr="009F0E33">
              <w:rPr>
                <w:rFonts w:eastAsia="Times New Roman" w:cs="Times New Roman"/>
                <w:i/>
                <w:iCs/>
                <w:color w:val="000000"/>
                <w:kern w:val="0"/>
                <w:szCs w:val="24"/>
                <w14:ligatures w14:val="none"/>
              </w:rPr>
              <w:t xml:space="preserve"> et al. </w:t>
            </w:r>
            <w:r w:rsidRPr="009F0E33">
              <w:rPr>
                <w:rFonts w:eastAsia="Times New Roman" w:cs="Times New Roman"/>
                <w:color w:val="000000"/>
                <w:kern w:val="0"/>
                <w:szCs w:val="24"/>
                <w14:ligatures w14:val="none"/>
              </w:rPr>
              <w:t xml:space="preserve">(2017) found that inclusive climate moderated the relationship between employee’s prosocial motivation and inclusive behavior, such that high inclusive climate made the relationship weaker and low inclusive climate made the relationship stronger. </w:t>
            </w:r>
            <w:r w:rsidRPr="009F0E33">
              <w:rPr>
                <w:rFonts w:eastAsia="Times New Roman" w:cs="Times New Roman"/>
                <w:color w:val="000000"/>
                <w:kern w:val="0"/>
                <w:szCs w:val="24"/>
                <w14:ligatures w14:val="none"/>
              </w:rPr>
              <w:br/>
            </w:r>
            <w:r w:rsidRPr="009F0E33">
              <w:rPr>
                <w:rFonts w:eastAsia="Times New Roman" w:cs="Times New Roman"/>
                <w:color w:val="000000"/>
                <w:kern w:val="0"/>
                <w:szCs w:val="24"/>
                <w14:ligatures w14:val="none"/>
              </w:rPr>
              <w:br/>
              <w:t xml:space="preserve">Luu (2019) found that disability inclusive climate mediates the relationship between benevolent leadership and three components of employee well-being (i.e., perceived discrimination, job satisfaction, and need for recovery). </w:t>
            </w:r>
          </w:p>
        </w:tc>
        <w:tc>
          <w:tcPr>
            <w:tcW w:w="2420" w:type="dxa"/>
            <w:tcBorders>
              <w:top w:val="nil"/>
              <w:left w:val="nil"/>
              <w:bottom w:val="single" w:sz="4" w:space="0" w:color="auto"/>
              <w:right w:val="single" w:sz="4" w:space="0" w:color="auto"/>
            </w:tcBorders>
            <w:shd w:val="clear" w:color="000000" w:fill="FFFFFF"/>
            <w:hideMark/>
          </w:tcPr>
          <w:p w14:paraId="6602421D"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 xml:space="preserve">The measure focuses on the acceptance and treatment of colleagues with disabilities in their team. In contrast, the new </w:t>
            </w:r>
            <w:r w:rsidRPr="009F0E33">
              <w:rPr>
                <w:rFonts w:eastAsia="Times New Roman" w:cs="Times New Roman"/>
                <w:i/>
                <w:iCs/>
                <w:color w:val="000000"/>
                <w:kern w:val="0"/>
                <w:szCs w:val="24"/>
                <w14:ligatures w14:val="none"/>
              </w:rPr>
              <w:t>PICLD</w:t>
            </w:r>
            <w:r w:rsidRPr="009F0E33">
              <w:rPr>
                <w:rFonts w:eastAsia="Times New Roman" w:cs="Times New Roman"/>
                <w:color w:val="000000"/>
                <w:kern w:val="0"/>
                <w:szCs w:val="24"/>
                <w14:ligatures w14:val="none"/>
              </w:rPr>
              <w:t xml:space="preserve"> measure is inclusive of various unique characteristics that extend beyond disabilities and includes all demographic traits.</w:t>
            </w:r>
          </w:p>
        </w:tc>
      </w:tr>
      <w:tr w:rsidR="009F0E33" w:rsidRPr="009F0E33" w14:paraId="19EC4A99" w14:textId="77777777" w:rsidTr="00181AD5">
        <w:trPr>
          <w:trHeight w:val="3192"/>
        </w:trPr>
        <w:tc>
          <w:tcPr>
            <w:tcW w:w="2000" w:type="dxa"/>
            <w:tcBorders>
              <w:top w:val="nil"/>
              <w:left w:val="single" w:sz="4" w:space="0" w:color="auto"/>
              <w:bottom w:val="single" w:sz="4" w:space="0" w:color="auto"/>
              <w:right w:val="single" w:sz="4" w:space="0" w:color="auto"/>
            </w:tcBorders>
            <w:shd w:val="clear" w:color="000000" w:fill="FFFFFF"/>
            <w:hideMark/>
          </w:tcPr>
          <w:p w14:paraId="00C733B6"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lastRenderedPageBreak/>
              <w:t xml:space="preserve">Workgroup Inclusion Scale (Chung </w:t>
            </w:r>
            <w:r w:rsidRPr="009F0E33">
              <w:rPr>
                <w:rFonts w:eastAsia="Times New Roman" w:cs="Times New Roman"/>
                <w:i/>
                <w:iCs/>
                <w:color w:val="000000"/>
                <w:kern w:val="0"/>
                <w:szCs w:val="24"/>
                <w14:ligatures w14:val="none"/>
              </w:rPr>
              <w:t xml:space="preserve">et al., </w:t>
            </w:r>
            <w:r w:rsidRPr="009F0E33">
              <w:rPr>
                <w:rFonts w:eastAsia="Times New Roman" w:cs="Times New Roman"/>
                <w:color w:val="000000"/>
                <w:kern w:val="0"/>
                <w:szCs w:val="24"/>
                <w14:ligatures w14:val="none"/>
              </w:rPr>
              <w:t>2020)</w:t>
            </w:r>
          </w:p>
        </w:tc>
        <w:tc>
          <w:tcPr>
            <w:tcW w:w="2020" w:type="dxa"/>
            <w:tcBorders>
              <w:top w:val="nil"/>
              <w:left w:val="nil"/>
              <w:bottom w:val="single" w:sz="4" w:space="0" w:color="auto"/>
              <w:right w:val="single" w:sz="4" w:space="0" w:color="auto"/>
            </w:tcBorders>
            <w:shd w:val="clear" w:color="000000" w:fill="FFFFFF"/>
            <w:hideMark/>
          </w:tcPr>
          <w:p w14:paraId="751781F0"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 xml:space="preserve">“The satisfaction of both belongingness and uniqueness in that an increased sense of belongingness does not necessarily imply a diminished sense of individual uniqueness.” </w:t>
            </w:r>
          </w:p>
        </w:tc>
        <w:tc>
          <w:tcPr>
            <w:tcW w:w="2500" w:type="dxa"/>
            <w:gridSpan w:val="2"/>
            <w:tcBorders>
              <w:top w:val="nil"/>
              <w:left w:val="nil"/>
              <w:bottom w:val="single" w:sz="4" w:space="0" w:color="auto"/>
              <w:right w:val="single" w:sz="4" w:space="0" w:color="auto"/>
            </w:tcBorders>
            <w:shd w:val="clear" w:color="000000" w:fill="FFFFFF"/>
            <w:hideMark/>
          </w:tcPr>
          <w:p w14:paraId="21E0D691"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10-item scale</w:t>
            </w:r>
            <w:r w:rsidRPr="009F0E33">
              <w:rPr>
                <w:rFonts w:eastAsia="Times New Roman" w:cs="Times New Roman"/>
                <w:color w:val="000000"/>
                <w:kern w:val="0"/>
                <w:szCs w:val="24"/>
                <w14:ligatures w14:val="none"/>
              </w:rPr>
              <w:br/>
              <w:t xml:space="preserve">1. I am treated as a valued member of my work group. </w:t>
            </w:r>
            <w:r w:rsidRPr="009F0E33">
              <w:rPr>
                <w:rFonts w:eastAsia="Times New Roman" w:cs="Times New Roman"/>
                <w:color w:val="000000"/>
                <w:kern w:val="0"/>
                <w:szCs w:val="24"/>
                <w14:ligatures w14:val="none"/>
              </w:rPr>
              <w:br/>
              <w:t xml:space="preserve">2. I belong </w:t>
            </w:r>
            <w:proofErr w:type="gramStart"/>
            <w:r w:rsidRPr="009F0E33">
              <w:rPr>
                <w:rFonts w:eastAsia="Times New Roman" w:cs="Times New Roman"/>
                <w:color w:val="000000"/>
                <w:kern w:val="0"/>
                <w:szCs w:val="24"/>
                <w14:ligatures w14:val="none"/>
              </w:rPr>
              <w:t>in</w:t>
            </w:r>
            <w:proofErr w:type="gramEnd"/>
            <w:r w:rsidRPr="009F0E33">
              <w:rPr>
                <w:rFonts w:eastAsia="Times New Roman" w:cs="Times New Roman"/>
                <w:color w:val="000000"/>
                <w:kern w:val="0"/>
                <w:szCs w:val="24"/>
                <w14:ligatures w14:val="none"/>
              </w:rPr>
              <w:t xml:space="preserve"> my work group. </w:t>
            </w:r>
            <w:r w:rsidRPr="009F0E33">
              <w:rPr>
                <w:rFonts w:eastAsia="Times New Roman" w:cs="Times New Roman"/>
                <w:color w:val="000000"/>
                <w:kern w:val="0"/>
                <w:szCs w:val="24"/>
                <w14:ligatures w14:val="none"/>
              </w:rPr>
              <w:br/>
              <w:t xml:space="preserve">3. I am connected to my work group. </w:t>
            </w:r>
            <w:r w:rsidRPr="009F0E33">
              <w:rPr>
                <w:rFonts w:eastAsia="Times New Roman" w:cs="Times New Roman"/>
                <w:color w:val="000000"/>
                <w:kern w:val="0"/>
                <w:szCs w:val="24"/>
                <w14:ligatures w14:val="none"/>
              </w:rPr>
              <w:br/>
              <w:t>4. I believe that my work group is where I am meant to be.</w:t>
            </w:r>
            <w:r w:rsidRPr="009F0E33">
              <w:rPr>
                <w:rFonts w:eastAsia="Times New Roman" w:cs="Times New Roman"/>
                <w:color w:val="000000"/>
                <w:kern w:val="0"/>
                <w:szCs w:val="24"/>
                <w14:ligatures w14:val="none"/>
              </w:rPr>
              <w:br/>
              <w:t xml:space="preserve">5. I feel that people really care about me in my work group. </w:t>
            </w:r>
            <w:r w:rsidRPr="009F0E33">
              <w:rPr>
                <w:rFonts w:eastAsia="Times New Roman" w:cs="Times New Roman"/>
                <w:color w:val="000000"/>
                <w:kern w:val="0"/>
                <w:szCs w:val="24"/>
                <w14:ligatures w14:val="none"/>
              </w:rPr>
              <w:br/>
              <w:t>6. I can bring aspects of myself to this work group that others in the group don’t have in common with me.</w:t>
            </w:r>
            <w:r w:rsidRPr="009F0E33">
              <w:rPr>
                <w:rFonts w:eastAsia="Times New Roman" w:cs="Times New Roman"/>
                <w:color w:val="000000"/>
                <w:kern w:val="0"/>
                <w:szCs w:val="24"/>
                <w14:ligatures w14:val="none"/>
              </w:rPr>
              <w:br/>
              <w:t>7. People in my work group listen to me even when my views are dissimilar.</w:t>
            </w:r>
            <w:r w:rsidRPr="009F0E33">
              <w:rPr>
                <w:rFonts w:eastAsia="Times New Roman" w:cs="Times New Roman"/>
                <w:color w:val="000000"/>
                <w:kern w:val="0"/>
                <w:szCs w:val="24"/>
                <w14:ligatures w14:val="none"/>
              </w:rPr>
              <w:br/>
              <w:t>8. While at work, I am comfortable expressing opinions that diverge from my group.</w:t>
            </w:r>
            <w:r w:rsidRPr="009F0E33">
              <w:rPr>
                <w:rFonts w:eastAsia="Times New Roman" w:cs="Times New Roman"/>
                <w:color w:val="000000"/>
                <w:kern w:val="0"/>
                <w:szCs w:val="24"/>
                <w14:ligatures w14:val="none"/>
              </w:rPr>
              <w:br/>
              <w:t xml:space="preserve">9. I can share a perspective on work issues that is different from my group members. </w:t>
            </w:r>
            <w:r w:rsidRPr="009F0E33">
              <w:rPr>
                <w:rFonts w:eastAsia="Times New Roman" w:cs="Times New Roman"/>
                <w:color w:val="000000"/>
                <w:kern w:val="0"/>
                <w:szCs w:val="24"/>
                <w14:ligatures w14:val="none"/>
              </w:rPr>
              <w:br/>
              <w:t xml:space="preserve">10. When my group’s </w:t>
            </w:r>
            <w:r w:rsidRPr="009F0E33">
              <w:rPr>
                <w:rFonts w:eastAsia="Times New Roman" w:cs="Times New Roman"/>
                <w:color w:val="000000"/>
                <w:kern w:val="0"/>
                <w:szCs w:val="24"/>
                <w14:ligatures w14:val="none"/>
              </w:rPr>
              <w:lastRenderedPageBreak/>
              <w:t xml:space="preserve">perspective becomes too narrow, I </w:t>
            </w:r>
            <w:proofErr w:type="gramStart"/>
            <w:r w:rsidRPr="009F0E33">
              <w:rPr>
                <w:rFonts w:eastAsia="Times New Roman" w:cs="Times New Roman"/>
                <w:color w:val="000000"/>
                <w:kern w:val="0"/>
                <w:szCs w:val="24"/>
                <w14:ligatures w14:val="none"/>
              </w:rPr>
              <w:t>am able to</w:t>
            </w:r>
            <w:proofErr w:type="gramEnd"/>
            <w:r w:rsidRPr="009F0E33">
              <w:rPr>
                <w:rFonts w:eastAsia="Times New Roman" w:cs="Times New Roman"/>
                <w:color w:val="000000"/>
                <w:kern w:val="0"/>
                <w:szCs w:val="24"/>
                <w14:ligatures w14:val="none"/>
              </w:rPr>
              <w:t xml:space="preserve"> bring up a new point of view. </w:t>
            </w:r>
          </w:p>
        </w:tc>
        <w:tc>
          <w:tcPr>
            <w:tcW w:w="2440" w:type="dxa"/>
            <w:gridSpan w:val="2"/>
            <w:tcBorders>
              <w:top w:val="nil"/>
              <w:left w:val="nil"/>
              <w:bottom w:val="single" w:sz="4" w:space="0" w:color="auto"/>
              <w:right w:val="single" w:sz="4" w:space="0" w:color="auto"/>
            </w:tcBorders>
            <w:shd w:val="clear" w:color="000000" w:fill="FFFFFF"/>
            <w:hideMark/>
          </w:tcPr>
          <w:p w14:paraId="499439CA"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lastRenderedPageBreak/>
              <w:t xml:space="preserve">Chung </w:t>
            </w:r>
            <w:r w:rsidRPr="003E2FC3">
              <w:rPr>
                <w:rFonts w:eastAsia="Times New Roman" w:cs="Times New Roman"/>
                <w:i/>
                <w:iCs/>
                <w:color w:val="000000"/>
                <w:kern w:val="0"/>
                <w:szCs w:val="24"/>
                <w14:ligatures w14:val="none"/>
              </w:rPr>
              <w:t>et al.</w:t>
            </w:r>
            <w:r w:rsidRPr="009F0E33">
              <w:rPr>
                <w:rFonts w:eastAsia="Times New Roman" w:cs="Times New Roman"/>
                <w:color w:val="000000"/>
                <w:kern w:val="0"/>
                <w:szCs w:val="24"/>
                <w14:ligatures w14:val="none"/>
              </w:rPr>
              <w:t xml:space="preserve"> (2020) found that work group inclusion was positively related to diversity climate and leader inclusiveness. Additionally, work group inclusion positively correlates with employees' performance, creativity, and helping behavior. </w:t>
            </w:r>
          </w:p>
        </w:tc>
        <w:tc>
          <w:tcPr>
            <w:tcW w:w="2420" w:type="dxa"/>
            <w:tcBorders>
              <w:top w:val="nil"/>
              <w:left w:val="nil"/>
              <w:bottom w:val="single" w:sz="4" w:space="0" w:color="auto"/>
              <w:right w:val="single" w:sz="4" w:space="0" w:color="auto"/>
            </w:tcBorders>
            <w:shd w:val="clear" w:color="000000" w:fill="FFFFFF"/>
            <w:hideMark/>
          </w:tcPr>
          <w:p w14:paraId="5679CE4D"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 xml:space="preserve">The measure focuses on inclusive climate at the group level. In contrast, </w:t>
            </w:r>
            <w:r w:rsidRPr="009F0E33">
              <w:rPr>
                <w:rFonts w:eastAsia="Times New Roman" w:cs="Times New Roman"/>
                <w:i/>
                <w:iCs/>
                <w:color w:val="000000"/>
                <w:kern w:val="0"/>
                <w:szCs w:val="24"/>
                <w14:ligatures w14:val="none"/>
              </w:rPr>
              <w:t>PICLD</w:t>
            </w:r>
            <w:r w:rsidRPr="009F0E33">
              <w:rPr>
                <w:rFonts w:eastAsia="Times New Roman" w:cs="Times New Roman"/>
                <w:color w:val="000000"/>
                <w:kern w:val="0"/>
                <w:szCs w:val="24"/>
                <w14:ligatures w14:val="none"/>
              </w:rPr>
              <w:t xml:space="preserve"> will measure inclusive climate based on employees' perceptions of leadership demographic diversity inclusion and their interpersonal relationships with them. </w:t>
            </w:r>
          </w:p>
        </w:tc>
      </w:tr>
      <w:tr w:rsidR="009F0E33" w:rsidRPr="009F0E33" w14:paraId="1E15D029" w14:textId="77777777" w:rsidTr="00181AD5">
        <w:trPr>
          <w:trHeight w:val="3552"/>
        </w:trPr>
        <w:tc>
          <w:tcPr>
            <w:tcW w:w="2000" w:type="dxa"/>
            <w:tcBorders>
              <w:top w:val="nil"/>
              <w:left w:val="single" w:sz="4" w:space="0" w:color="auto"/>
              <w:bottom w:val="single" w:sz="4" w:space="0" w:color="auto"/>
              <w:right w:val="single" w:sz="4" w:space="0" w:color="auto"/>
            </w:tcBorders>
            <w:shd w:val="clear" w:color="000000" w:fill="FFFFFF"/>
            <w:hideMark/>
          </w:tcPr>
          <w:p w14:paraId="18F69545"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Inclusive Leadership Scale (Al-Atwi and Al-Hassani, 2021)</w:t>
            </w:r>
          </w:p>
        </w:tc>
        <w:tc>
          <w:tcPr>
            <w:tcW w:w="2020" w:type="dxa"/>
            <w:tcBorders>
              <w:top w:val="nil"/>
              <w:left w:val="nil"/>
              <w:bottom w:val="single" w:sz="4" w:space="0" w:color="auto"/>
              <w:right w:val="single" w:sz="4" w:space="0" w:color="auto"/>
            </w:tcBorders>
            <w:shd w:val="clear" w:color="000000" w:fill="FFFFFF"/>
            <w:hideMark/>
          </w:tcPr>
          <w:p w14:paraId="46C928B2"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Examines leadership behaviors via a multidimensional construct (i.e., supporting team members, ensuring justice and equity, shared decision making) that promote employees belongingness.</w:t>
            </w:r>
          </w:p>
        </w:tc>
        <w:tc>
          <w:tcPr>
            <w:tcW w:w="2500" w:type="dxa"/>
            <w:gridSpan w:val="2"/>
            <w:tcBorders>
              <w:top w:val="nil"/>
              <w:left w:val="nil"/>
              <w:bottom w:val="single" w:sz="4" w:space="0" w:color="auto"/>
              <w:right w:val="single" w:sz="4" w:space="0" w:color="auto"/>
            </w:tcBorders>
            <w:shd w:val="clear" w:color="000000" w:fill="FFFFFF"/>
            <w:hideMark/>
          </w:tcPr>
          <w:p w14:paraId="2E2B0A15"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t>25-item scale</w:t>
            </w:r>
            <w:r w:rsidRPr="009F0E33">
              <w:rPr>
                <w:rFonts w:eastAsia="Times New Roman" w:cs="Times New Roman"/>
                <w:color w:val="000000"/>
                <w:kern w:val="0"/>
                <w:szCs w:val="24"/>
                <w14:ligatures w14:val="none"/>
              </w:rPr>
              <w:br/>
              <w:t>My leader…</w:t>
            </w:r>
            <w:r w:rsidRPr="009F0E33">
              <w:rPr>
                <w:rFonts w:eastAsia="Times New Roman" w:cs="Times New Roman"/>
                <w:color w:val="000000"/>
                <w:kern w:val="0"/>
                <w:szCs w:val="24"/>
                <w14:ligatures w14:val="none"/>
              </w:rPr>
              <w:br/>
              <w:t>1. Really cares about my wellbeing.</w:t>
            </w:r>
            <w:r w:rsidRPr="009F0E33">
              <w:rPr>
                <w:rFonts w:eastAsia="Times New Roman" w:cs="Times New Roman"/>
                <w:color w:val="000000"/>
                <w:kern w:val="0"/>
                <w:szCs w:val="24"/>
                <w14:ligatures w14:val="none"/>
              </w:rPr>
              <w:br/>
              <w:t>2. Cares about my general satisfaction at work.</w:t>
            </w:r>
            <w:r w:rsidRPr="009F0E33">
              <w:rPr>
                <w:rFonts w:eastAsia="Times New Roman" w:cs="Times New Roman"/>
                <w:color w:val="000000"/>
                <w:kern w:val="0"/>
                <w:szCs w:val="24"/>
                <w14:ligatures w14:val="none"/>
              </w:rPr>
              <w:br/>
              <w:t>3. Stays in touch within my workgroup.</w:t>
            </w:r>
            <w:r w:rsidRPr="009F0E33">
              <w:rPr>
                <w:rFonts w:eastAsia="Times New Roman" w:cs="Times New Roman"/>
                <w:color w:val="000000"/>
                <w:kern w:val="0"/>
                <w:szCs w:val="24"/>
                <w14:ligatures w14:val="none"/>
              </w:rPr>
              <w:br/>
              <w:t>4. Shows concern for my needs and feelings.</w:t>
            </w:r>
            <w:r w:rsidRPr="009F0E33">
              <w:rPr>
                <w:rFonts w:eastAsia="Times New Roman" w:cs="Times New Roman"/>
                <w:color w:val="000000"/>
                <w:kern w:val="0"/>
                <w:szCs w:val="24"/>
                <w14:ligatures w14:val="none"/>
              </w:rPr>
              <w:br/>
              <w:t>5. Is a good role model for care and acceptance in group interactions.</w:t>
            </w:r>
            <w:r w:rsidRPr="009F0E33">
              <w:rPr>
                <w:rFonts w:eastAsia="Times New Roman" w:cs="Times New Roman"/>
                <w:color w:val="000000"/>
                <w:kern w:val="0"/>
                <w:szCs w:val="24"/>
                <w14:ligatures w14:val="none"/>
              </w:rPr>
              <w:br/>
              <w:t>6. Asks me to verbalize what I have appreciated about being part of the group.</w:t>
            </w:r>
            <w:r w:rsidRPr="009F0E33">
              <w:rPr>
                <w:rFonts w:eastAsia="Times New Roman" w:cs="Times New Roman"/>
                <w:color w:val="000000"/>
                <w:kern w:val="0"/>
                <w:szCs w:val="24"/>
                <w14:ligatures w14:val="none"/>
              </w:rPr>
              <w:br/>
              <w:t>7. Treats me as equally as he/she treats others, without discrimination.</w:t>
            </w:r>
            <w:r w:rsidRPr="009F0E33">
              <w:rPr>
                <w:rFonts w:eastAsia="Times New Roman" w:cs="Times New Roman"/>
                <w:color w:val="000000"/>
                <w:kern w:val="0"/>
                <w:szCs w:val="24"/>
                <w14:ligatures w14:val="none"/>
              </w:rPr>
              <w:br/>
              <w:t xml:space="preserve">8. Gives me honest and </w:t>
            </w:r>
            <w:r w:rsidRPr="009F0E33">
              <w:rPr>
                <w:rFonts w:eastAsia="Times New Roman" w:cs="Times New Roman"/>
                <w:color w:val="000000"/>
                <w:kern w:val="0"/>
                <w:szCs w:val="24"/>
                <w14:ligatures w14:val="none"/>
              </w:rPr>
              <w:lastRenderedPageBreak/>
              <w:t>fair answers.</w:t>
            </w:r>
            <w:r w:rsidRPr="009F0E33">
              <w:rPr>
                <w:rFonts w:eastAsia="Times New Roman" w:cs="Times New Roman"/>
                <w:color w:val="000000"/>
                <w:kern w:val="0"/>
                <w:szCs w:val="24"/>
                <w14:ligatures w14:val="none"/>
              </w:rPr>
              <w:br/>
              <w:t xml:space="preserve">9. </w:t>
            </w:r>
            <w:proofErr w:type="gramStart"/>
            <w:r w:rsidRPr="009F0E33">
              <w:rPr>
                <w:rFonts w:eastAsia="Times New Roman" w:cs="Times New Roman"/>
                <w:color w:val="000000"/>
                <w:kern w:val="0"/>
                <w:szCs w:val="24"/>
                <w14:ligatures w14:val="none"/>
              </w:rPr>
              <w:t>Is able to</w:t>
            </w:r>
            <w:proofErr w:type="gramEnd"/>
            <w:r w:rsidRPr="009F0E33">
              <w:rPr>
                <w:rFonts w:eastAsia="Times New Roman" w:cs="Times New Roman"/>
                <w:color w:val="000000"/>
                <w:kern w:val="0"/>
                <w:szCs w:val="24"/>
                <w14:ligatures w14:val="none"/>
              </w:rPr>
              <w:t xml:space="preserve"> suppress personal biases against me.</w:t>
            </w:r>
            <w:r w:rsidRPr="009F0E33">
              <w:rPr>
                <w:rFonts w:eastAsia="Times New Roman" w:cs="Times New Roman"/>
                <w:color w:val="000000"/>
                <w:kern w:val="0"/>
                <w:szCs w:val="24"/>
                <w14:ligatures w14:val="none"/>
              </w:rPr>
              <w:br/>
              <w:t>10. Enacts policies to provide fairness for group members and ensure a lack of bias.</w:t>
            </w:r>
            <w:r w:rsidRPr="009F0E33">
              <w:rPr>
                <w:rFonts w:eastAsia="Times New Roman" w:cs="Times New Roman"/>
                <w:color w:val="000000"/>
                <w:kern w:val="0"/>
                <w:szCs w:val="24"/>
                <w14:ligatures w14:val="none"/>
              </w:rPr>
              <w:br/>
              <w:t>11. Demonstrates that different group members (e.g. physical disability, ethnic minority) are not stereotyped but treated like others in the group.</w:t>
            </w:r>
            <w:r w:rsidRPr="009F0E33">
              <w:rPr>
                <w:rFonts w:eastAsia="Times New Roman" w:cs="Times New Roman"/>
                <w:color w:val="000000"/>
                <w:kern w:val="0"/>
                <w:szCs w:val="24"/>
                <w14:ligatures w14:val="none"/>
              </w:rPr>
              <w:br/>
              <w:t>12. Uses my workgroup's suggestions to make decisions that affect us.</w:t>
            </w:r>
            <w:r w:rsidRPr="009F0E33">
              <w:rPr>
                <w:rFonts w:eastAsia="Times New Roman" w:cs="Times New Roman"/>
                <w:color w:val="000000"/>
                <w:kern w:val="0"/>
                <w:szCs w:val="24"/>
                <w14:ligatures w14:val="none"/>
              </w:rPr>
              <w:br/>
              <w:t>13. Makes decisions that are based only on his/her own ideas. (R)</w:t>
            </w:r>
            <w:r w:rsidRPr="009F0E33">
              <w:rPr>
                <w:rFonts w:eastAsia="Times New Roman" w:cs="Times New Roman"/>
                <w:color w:val="000000"/>
                <w:kern w:val="0"/>
                <w:szCs w:val="24"/>
                <w14:ligatures w14:val="none"/>
              </w:rPr>
              <w:br/>
              <w:t xml:space="preserve">14. Encourages me to engage in productive debates </w:t>
            </w:r>
            <w:proofErr w:type="gramStart"/>
            <w:r w:rsidRPr="009F0E33">
              <w:rPr>
                <w:rFonts w:eastAsia="Times New Roman" w:cs="Times New Roman"/>
                <w:color w:val="000000"/>
                <w:kern w:val="0"/>
                <w:szCs w:val="24"/>
                <w14:ligatures w14:val="none"/>
              </w:rPr>
              <w:t>in an effort to</w:t>
            </w:r>
            <w:proofErr w:type="gramEnd"/>
            <w:r w:rsidRPr="009F0E33">
              <w:rPr>
                <w:rFonts w:eastAsia="Times New Roman" w:cs="Times New Roman"/>
                <w:color w:val="000000"/>
                <w:kern w:val="0"/>
                <w:szCs w:val="24"/>
                <w14:ligatures w14:val="none"/>
              </w:rPr>
              <w:t xml:space="preserve"> improve decision-making.</w:t>
            </w:r>
            <w:r w:rsidRPr="009F0E33">
              <w:rPr>
                <w:rFonts w:eastAsia="Times New Roman" w:cs="Times New Roman"/>
                <w:color w:val="000000"/>
                <w:kern w:val="0"/>
                <w:szCs w:val="24"/>
                <w14:ligatures w14:val="none"/>
              </w:rPr>
              <w:br/>
              <w:t>15. Give me opportunities to discuss how to integrate the perspectives offered.</w:t>
            </w:r>
            <w:r w:rsidRPr="009F0E33">
              <w:rPr>
                <w:rFonts w:eastAsia="Times New Roman" w:cs="Times New Roman"/>
                <w:color w:val="000000"/>
                <w:kern w:val="0"/>
                <w:szCs w:val="24"/>
                <w14:ligatures w14:val="none"/>
              </w:rPr>
              <w:br/>
              <w:t xml:space="preserve">16. Ensures that </w:t>
            </w:r>
            <w:proofErr w:type="spellStart"/>
            <w:r w:rsidRPr="009F0E33">
              <w:rPr>
                <w:rFonts w:eastAsia="Times New Roman" w:cs="Times New Roman"/>
                <w:color w:val="000000"/>
                <w:kern w:val="0"/>
                <w:szCs w:val="24"/>
                <w14:ligatures w14:val="none"/>
              </w:rPr>
              <w:lastRenderedPageBreak/>
              <w:t>groupmembers</w:t>
            </w:r>
            <w:proofErr w:type="spellEnd"/>
            <w:r w:rsidRPr="009F0E33">
              <w:rPr>
                <w:rFonts w:eastAsia="Times New Roman" w:cs="Times New Roman"/>
                <w:color w:val="000000"/>
                <w:kern w:val="0"/>
                <w:szCs w:val="24"/>
                <w14:ligatures w14:val="none"/>
              </w:rPr>
              <w:t>' participation in decision-making has been truly shared within or across tasks.</w:t>
            </w:r>
            <w:r w:rsidRPr="009F0E33">
              <w:rPr>
                <w:rFonts w:eastAsia="Times New Roman" w:cs="Times New Roman"/>
                <w:color w:val="000000"/>
                <w:kern w:val="0"/>
                <w:szCs w:val="24"/>
                <w14:ligatures w14:val="none"/>
              </w:rPr>
              <w:br/>
              <w:t>17. Is open to hearing new ideas.</w:t>
            </w:r>
            <w:r w:rsidRPr="009F0E33">
              <w:rPr>
                <w:rFonts w:eastAsia="Times New Roman" w:cs="Times New Roman"/>
                <w:color w:val="000000"/>
                <w:kern w:val="0"/>
                <w:szCs w:val="24"/>
                <w14:ligatures w14:val="none"/>
              </w:rPr>
              <w:br/>
              <w:t>18. Asks for the input of all team members.</w:t>
            </w:r>
            <w:r w:rsidRPr="009F0E33">
              <w:rPr>
                <w:rFonts w:eastAsia="Times New Roman" w:cs="Times New Roman"/>
                <w:color w:val="000000"/>
                <w:kern w:val="0"/>
                <w:szCs w:val="24"/>
                <w14:ligatures w14:val="none"/>
              </w:rPr>
              <w:br/>
              <w:t>19. Values my personal competence.</w:t>
            </w:r>
            <w:r w:rsidRPr="009F0E33">
              <w:rPr>
                <w:rFonts w:eastAsia="Times New Roman" w:cs="Times New Roman"/>
                <w:color w:val="000000"/>
                <w:kern w:val="0"/>
                <w:szCs w:val="24"/>
                <w14:ligatures w14:val="none"/>
              </w:rPr>
              <w:br/>
              <w:t>20. Appreciates my unique attributes (e.g. abilities, attractiveness, intelligence, or talent).</w:t>
            </w:r>
            <w:r w:rsidRPr="009F0E33">
              <w:rPr>
                <w:rFonts w:eastAsia="Times New Roman" w:cs="Times New Roman"/>
                <w:color w:val="000000"/>
                <w:kern w:val="0"/>
                <w:szCs w:val="24"/>
                <w14:ligatures w14:val="none"/>
              </w:rPr>
              <w:br/>
              <w:t>21. Pays special attention to soliciting different points of view and approaches.</w:t>
            </w:r>
            <w:r w:rsidRPr="009F0E33">
              <w:rPr>
                <w:rFonts w:eastAsia="Times New Roman" w:cs="Times New Roman"/>
                <w:color w:val="000000"/>
                <w:kern w:val="0"/>
                <w:szCs w:val="24"/>
                <w14:ligatures w14:val="none"/>
              </w:rPr>
              <w:br/>
              <w:t>22. Makes me feel that he/she desires to interact and maintain a diverse workforce.</w:t>
            </w:r>
            <w:r w:rsidRPr="009F0E33">
              <w:rPr>
                <w:rFonts w:eastAsia="Times New Roman" w:cs="Times New Roman"/>
                <w:color w:val="000000"/>
                <w:kern w:val="0"/>
                <w:szCs w:val="24"/>
                <w14:ligatures w14:val="none"/>
              </w:rPr>
              <w:br/>
              <w:t>23. Is always ready to support me if I introduce an unpopular idea or solution at work.</w:t>
            </w:r>
            <w:r w:rsidRPr="009F0E33">
              <w:rPr>
                <w:rFonts w:eastAsia="Times New Roman" w:cs="Times New Roman"/>
                <w:color w:val="000000"/>
                <w:kern w:val="0"/>
                <w:szCs w:val="24"/>
                <w14:ligatures w14:val="none"/>
              </w:rPr>
              <w:br/>
              <w:t>24. Supports group members who sometimes may need to complete tasks in non-traditional ways.</w:t>
            </w:r>
            <w:r w:rsidRPr="009F0E33">
              <w:rPr>
                <w:rFonts w:eastAsia="Times New Roman" w:cs="Times New Roman"/>
                <w:color w:val="000000"/>
                <w:kern w:val="0"/>
                <w:szCs w:val="24"/>
                <w14:ligatures w14:val="none"/>
              </w:rPr>
              <w:br/>
            </w:r>
            <w:r w:rsidRPr="009F0E33">
              <w:rPr>
                <w:rFonts w:eastAsia="Times New Roman" w:cs="Times New Roman"/>
                <w:color w:val="000000"/>
                <w:kern w:val="0"/>
                <w:szCs w:val="24"/>
                <w14:ligatures w14:val="none"/>
              </w:rPr>
              <w:lastRenderedPageBreak/>
              <w:t>25. Provides the encouragement and emotional support necessary to ensure I continue presenting new ideas.</w:t>
            </w:r>
          </w:p>
        </w:tc>
        <w:tc>
          <w:tcPr>
            <w:tcW w:w="2440" w:type="dxa"/>
            <w:gridSpan w:val="2"/>
            <w:tcBorders>
              <w:top w:val="nil"/>
              <w:left w:val="nil"/>
              <w:bottom w:val="single" w:sz="4" w:space="0" w:color="auto"/>
              <w:right w:val="single" w:sz="4" w:space="0" w:color="auto"/>
            </w:tcBorders>
            <w:shd w:val="clear" w:color="000000" w:fill="FFFFFF"/>
            <w:hideMark/>
          </w:tcPr>
          <w:p w14:paraId="442EA42A" w14:textId="77777777" w:rsidR="009F0E33" w:rsidRPr="009F0E33" w:rsidRDefault="009F0E33" w:rsidP="009F0E33">
            <w:pPr>
              <w:spacing w:after="0" w:line="240" w:lineRule="auto"/>
              <w:rPr>
                <w:rFonts w:eastAsia="Times New Roman" w:cs="Times New Roman"/>
                <w:color w:val="000000"/>
                <w:kern w:val="0"/>
                <w:szCs w:val="24"/>
                <w14:ligatures w14:val="none"/>
              </w:rPr>
            </w:pPr>
            <w:proofErr w:type="spellStart"/>
            <w:r w:rsidRPr="009F0E33">
              <w:rPr>
                <w:rFonts w:eastAsia="Times New Roman" w:cs="Times New Roman"/>
                <w:color w:val="000000"/>
                <w:kern w:val="0"/>
                <w:szCs w:val="24"/>
                <w14:ligatures w14:val="none"/>
              </w:rPr>
              <w:lastRenderedPageBreak/>
              <w:t>Ashikali</w:t>
            </w:r>
            <w:proofErr w:type="spellEnd"/>
            <w:r w:rsidRPr="009F0E33">
              <w:rPr>
                <w:rFonts w:eastAsia="Times New Roman" w:cs="Times New Roman"/>
                <w:color w:val="000000"/>
                <w:kern w:val="0"/>
                <w:szCs w:val="24"/>
                <w14:ligatures w14:val="none"/>
              </w:rPr>
              <w:t xml:space="preserve"> </w:t>
            </w:r>
            <w:r w:rsidRPr="003E2FC3">
              <w:rPr>
                <w:rFonts w:eastAsia="Times New Roman" w:cs="Times New Roman"/>
                <w:i/>
                <w:iCs/>
                <w:color w:val="000000"/>
                <w:kern w:val="0"/>
                <w:szCs w:val="24"/>
                <w14:ligatures w14:val="none"/>
              </w:rPr>
              <w:t>et al.</w:t>
            </w:r>
            <w:r w:rsidRPr="009F0E33">
              <w:rPr>
                <w:rFonts w:eastAsia="Times New Roman" w:cs="Times New Roman"/>
                <w:color w:val="000000"/>
                <w:kern w:val="0"/>
                <w:szCs w:val="24"/>
                <w14:ligatures w14:val="none"/>
              </w:rPr>
              <w:t xml:space="preserve"> (2021) discovered that inclusive leadership moderates the negative connection between team ethnic-cultural diversity and inclusive climate in a positive way, such that when both team ethnic-cultural diversity and inclusive leadership are high, the adverse relationship between team diversity and inclusive climate is mitigated. </w:t>
            </w:r>
            <w:r w:rsidRPr="009F0E33">
              <w:rPr>
                <w:rFonts w:eastAsia="Times New Roman" w:cs="Times New Roman"/>
                <w:color w:val="000000"/>
                <w:kern w:val="0"/>
                <w:szCs w:val="24"/>
                <w14:ligatures w14:val="none"/>
              </w:rPr>
              <w:br/>
            </w:r>
            <w:r w:rsidRPr="009F0E33">
              <w:rPr>
                <w:rFonts w:eastAsia="Times New Roman" w:cs="Times New Roman"/>
                <w:color w:val="000000"/>
                <w:kern w:val="0"/>
                <w:szCs w:val="24"/>
                <w14:ligatures w14:val="none"/>
              </w:rPr>
              <w:br/>
              <w:t xml:space="preserve">Javed </w:t>
            </w:r>
            <w:r w:rsidRPr="003E2FC3">
              <w:rPr>
                <w:rFonts w:eastAsia="Times New Roman" w:cs="Times New Roman"/>
                <w:i/>
                <w:iCs/>
                <w:color w:val="000000"/>
                <w:kern w:val="0"/>
                <w:szCs w:val="24"/>
                <w14:ligatures w14:val="none"/>
              </w:rPr>
              <w:t>et al.</w:t>
            </w:r>
            <w:r w:rsidRPr="009F0E33">
              <w:rPr>
                <w:rFonts w:eastAsia="Times New Roman" w:cs="Times New Roman"/>
                <w:color w:val="000000"/>
                <w:kern w:val="0"/>
                <w:szCs w:val="24"/>
                <w14:ligatures w14:val="none"/>
              </w:rPr>
              <w:t xml:space="preserve"> (2019) found that inclusive leadership positively correlates with </w:t>
            </w:r>
            <w:r w:rsidRPr="009F0E33">
              <w:rPr>
                <w:rFonts w:eastAsia="Times New Roman" w:cs="Times New Roman"/>
                <w:color w:val="000000"/>
                <w:kern w:val="0"/>
                <w:szCs w:val="24"/>
                <w14:ligatures w14:val="none"/>
              </w:rPr>
              <w:lastRenderedPageBreak/>
              <w:t xml:space="preserve">innovative work behavior, and this relationship is mediated by psychological safety. </w:t>
            </w:r>
            <w:r w:rsidRPr="009F0E33">
              <w:rPr>
                <w:rFonts w:eastAsia="Times New Roman" w:cs="Times New Roman"/>
                <w:color w:val="000000"/>
                <w:kern w:val="0"/>
                <w:szCs w:val="24"/>
                <w14:ligatures w14:val="none"/>
              </w:rPr>
              <w:br/>
            </w:r>
            <w:r w:rsidRPr="009F0E33">
              <w:rPr>
                <w:rFonts w:eastAsia="Times New Roman" w:cs="Times New Roman"/>
                <w:color w:val="000000"/>
                <w:kern w:val="0"/>
                <w:szCs w:val="24"/>
                <w14:ligatures w14:val="none"/>
              </w:rPr>
              <w:br/>
              <w:t xml:space="preserve">Choi </w:t>
            </w:r>
            <w:r w:rsidRPr="003E2FC3">
              <w:rPr>
                <w:rFonts w:eastAsia="Times New Roman" w:cs="Times New Roman"/>
                <w:i/>
                <w:iCs/>
                <w:color w:val="000000"/>
                <w:kern w:val="0"/>
                <w:szCs w:val="24"/>
                <w14:ligatures w14:val="none"/>
              </w:rPr>
              <w:t>et al.</w:t>
            </w:r>
            <w:r w:rsidRPr="009F0E33">
              <w:rPr>
                <w:rFonts w:eastAsia="Times New Roman" w:cs="Times New Roman"/>
                <w:color w:val="000000"/>
                <w:kern w:val="0"/>
                <w:szCs w:val="24"/>
                <w14:ligatures w14:val="none"/>
              </w:rPr>
              <w:t xml:space="preserve"> (2017) discovered that inclusive leadership positively impacts employee well-being and innovative behavior, with person-job fit serving as a mediator in both relationships.</w:t>
            </w:r>
          </w:p>
        </w:tc>
        <w:tc>
          <w:tcPr>
            <w:tcW w:w="2420" w:type="dxa"/>
            <w:tcBorders>
              <w:top w:val="nil"/>
              <w:left w:val="nil"/>
              <w:bottom w:val="single" w:sz="4" w:space="0" w:color="auto"/>
              <w:right w:val="single" w:sz="4" w:space="0" w:color="auto"/>
            </w:tcBorders>
            <w:shd w:val="clear" w:color="000000" w:fill="FFFFFF"/>
            <w:hideMark/>
          </w:tcPr>
          <w:p w14:paraId="4C5CC59C" w14:textId="77777777" w:rsidR="009F0E33" w:rsidRPr="009F0E33" w:rsidRDefault="009F0E33" w:rsidP="009F0E33">
            <w:pPr>
              <w:spacing w:after="0" w:line="240" w:lineRule="auto"/>
              <w:rPr>
                <w:rFonts w:eastAsia="Times New Roman" w:cs="Times New Roman"/>
                <w:color w:val="000000"/>
                <w:kern w:val="0"/>
                <w:szCs w:val="24"/>
                <w14:ligatures w14:val="none"/>
              </w:rPr>
            </w:pPr>
            <w:r w:rsidRPr="009F0E33">
              <w:rPr>
                <w:rFonts w:eastAsia="Times New Roman" w:cs="Times New Roman"/>
                <w:color w:val="000000"/>
                <w:kern w:val="0"/>
                <w:szCs w:val="24"/>
                <w14:ligatures w14:val="none"/>
              </w:rPr>
              <w:lastRenderedPageBreak/>
              <w:t xml:space="preserve">Examines leadership behaviors that foster employees' sense of belongingness, whereas the new </w:t>
            </w:r>
            <w:r w:rsidRPr="009F0E33">
              <w:rPr>
                <w:rFonts w:eastAsia="Times New Roman" w:cs="Times New Roman"/>
                <w:i/>
                <w:iCs/>
                <w:color w:val="000000"/>
                <w:kern w:val="0"/>
                <w:szCs w:val="24"/>
                <w14:ligatures w14:val="none"/>
              </w:rPr>
              <w:t xml:space="preserve">PICLD </w:t>
            </w:r>
            <w:r w:rsidRPr="009F0E33">
              <w:rPr>
                <w:rFonts w:eastAsia="Times New Roman" w:cs="Times New Roman"/>
                <w:color w:val="000000"/>
                <w:kern w:val="0"/>
                <w:szCs w:val="24"/>
                <w14:ligatures w14:val="none"/>
              </w:rPr>
              <w:t xml:space="preserve">will measure if employees believe that leaders with demographic diversity are included within the organization and their ability to interact with them. </w:t>
            </w:r>
          </w:p>
        </w:tc>
      </w:tr>
      <w:tr w:rsidR="009F0E33" w:rsidRPr="009F0E33" w14:paraId="3F63E19D" w14:textId="77777777" w:rsidTr="00181AD5">
        <w:trPr>
          <w:trHeight w:val="312"/>
        </w:trPr>
        <w:tc>
          <w:tcPr>
            <w:tcW w:w="2000" w:type="dxa"/>
            <w:tcBorders>
              <w:top w:val="nil"/>
              <w:left w:val="nil"/>
              <w:bottom w:val="nil"/>
              <w:right w:val="nil"/>
            </w:tcBorders>
            <w:shd w:val="clear" w:color="auto" w:fill="auto"/>
            <w:noWrap/>
            <w:hideMark/>
          </w:tcPr>
          <w:p w14:paraId="45DF6A3E" w14:textId="77777777" w:rsidR="009F0E33" w:rsidRPr="009F0E33" w:rsidRDefault="009F0E33" w:rsidP="009F0E33">
            <w:pPr>
              <w:spacing w:after="0" w:line="240" w:lineRule="auto"/>
              <w:rPr>
                <w:rFonts w:eastAsia="Times New Roman" w:cs="Times New Roman"/>
                <w:color w:val="000000"/>
                <w:kern w:val="0"/>
                <w:szCs w:val="24"/>
                <w14:ligatures w14:val="none"/>
              </w:rPr>
            </w:pPr>
          </w:p>
        </w:tc>
        <w:tc>
          <w:tcPr>
            <w:tcW w:w="2020" w:type="dxa"/>
            <w:tcBorders>
              <w:top w:val="nil"/>
              <w:left w:val="nil"/>
              <w:bottom w:val="nil"/>
              <w:right w:val="nil"/>
            </w:tcBorders>
            <w:shd w:val="clear" w:color="auto" w:fill="auto"/>
            <w:noWrap/>
            <w:hideMark/>
          </w:tcPr>
          <w:p w14:paraId="26FBB2F4" w14:textId="77777777" w:rsidR="009F0E33" w:rsidRPr="009F0E33" w:rsidRDefault="009F0E33" w:rsidP="009F0E33">
            <w:pPr>
              <w:spacing w:after="0" w:line="240" w:lineRule="auto"/>
              <w:rPr>
                <w:rFonts w:eastAsia="Times New Roman" w:cs="Times New Roman"/>
                <w:kern w:val="0"/>
                <w:sz w:val="20"/>
                <w:szCs w:val="20"/>
                <w14:ligatures w14:val="none"/>
              </w:rPr>
            </w:pPr>
          </w:p>
        </w:tc>
        <w:tc>
          <w:tcPr>
            <w:tcW w:w="2500" w:type="dxa"/>
            <w:gridSpan w:val="2"/>
            <w:tcBorders>
              <w:top w:val="nil"/>
              <w:left w:val="nil"/>
              <w:bottom w:val="nil"/>
              <w:right w:val="nil"/>
            </w:tcBorders>
            <w:shd w:val="clear" w:color="auto" w:fill="auto"/>
            <w:hideMark/>
          </w:tcPr>
          <w:p w14:paraId="210CF9BC" w14:textId="77777777" w:rsidR="009F0E33" w:rsidRPr="009F0E33" w:rsidRDefault="009F0E33" w:rsidP="009F0E33">
            <w:pPr>
              <w:spacing w:after="0" w:line="240" w:lineRule="auto"/>
              <w:rPr>
                <w:rFonts w:eastAsia="Times New Roman" w:cs="Times New Roman"/>
                <w:kern w:val="0"/>
                <w:sz w:val="20"/>
                <w:szCs w:val="20"/>
                <w14:ligatures w14:val="none"/>
              </w:rPr>
            </w:pPr>
          </w:p>
        </w:tc>
        <w:tc>
          <w:tcPr>
            <w:tcW w:w="2440" w:type="dxa"/>
            <w:gridSpan w:val="2"/>
            <w:tcBorders>
              <w:top w:val="nil"/>
              <w:left w:val="nil"/>
              <w:bottom w:val="nil"/>
              <w:right w:val="nil"/>
            </w:tcBorders>
            <w:shd w:val="clear" w:color="auto" w:fill="auto"/>
            <w:noWrap/>
            <w:hideMark/>
          </w:tcPr>
          <w:p w14:paraId="09D55287" w14:textId="77777777" w:rsidR="009F0E33" w:rsidRPr="009F0E33" w:rsidRDefault="009F0E33" w:rsidP="009F0E33">
            <w:pPr>
              <w:spacing w:after="0" w:line="240" w:lineRule="auto"/>
              <w:rPr>
                <w:rFonts w:eastAsia="Times New Roman" w:cs="Times New Roman"/>
                <w:kern w:val="0"/>
                <w:sz w:val="20"/>
                <w:szCs w:val="20"/>
                <w14:ligatures w14:val="none"/>
              </w:rPr>
            </w:pPr>
          </w:p>
        </w:tc>
        <w:tc>
          <w:tcPr>
            <w:tcW w:w="2420" w:type="dxa"/>
            <w:tcBorders>
              <w:top w:val="nil"/>
              <w:left w:val="nil"/>
              <w:bottom w:val="nil"/>
              <w:right w:val="nil"/>
            </w:tcBorders>
            <w:shd w:val="clear" w:color="auto" w:fill="auto"/>
            <w:noWrap/>
            <w:hideMark/>
          </w:tcPr>
          <w:p w14:paraId="57CBC57B" w14:textId="77777777" w:rsidR="009F0E33" w:rsidRPr="009F0E33" w:rsidRDefault="009F0E33" w:rsidP="009F0E33">
            <w:pPr>
              <w:spacing w:after="0" w:line="240" w:lineRule="auto"/>
              <w:rPr>
                <w:rFonts w:eastAsia="Times New Roman" w:cs="Times New Roman"/>
                <w:kern w:val="0"/>
                <w:sz w:val="20"/>
                <w:szCs w:val="20"/>
                <w14:ligatures w14:val="none"/>
              </w:rPr>
            </w:pPr>
          </w:p>
        </w:tc>
      </w:tr>
      <w:tr w:rsidR="00181AD5" w:rsidRPr="00181AD5" w14:paraId="4615D06B" w14:textId="77777777" w:rsidTr="00181AD5">
        <w:trPr>
          <w:gridAfter w:val="2"/>
          <w:wAfter w:w="4610" w:type="dxa"/>
          <w:trHeight w:val="348"/>
        </w:trPr>
        <w:tc>
          <w:tcPr>
            <w:tcW w:w="4590" w:type="dxa"/>
            <w:gridSpan w:val="3"/>
            <w:tcBorders>
              <w:top w:val="nil"/>
              <w:left w:val="nil"/>
              <w:bottom w:val="nil"/>
              <w:right w:val="nil"/>
            </w:tcBorders>
            <w:shd w:val="clear" w:color="000000" w:fill="FFFFFF"/>
            <w:noWrap/>
            <w:hideMark/>
          </w:tcPr>
          <w:p w14:paraId="06C82722" w14:textId="18018AD4"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b/>
                <w:bCs/>
                <w:color w:val="000000"/>
                <w:kern w:val="0"/>
                <w:szCs w:val="24"/>
                <w14:ligatures w14:val="none"/>
              </w:rPr>
              <w:t xml:space="preserve">Table. </w:t>
            </w:r>
            <w:r>
              <w:rPr>
                <w:rFonts w:eastAsia="Times New Roman" w:cs="Times New Roman"/>
                <w:b/>
                <w:bCs/>
                <w:color w:val="000000"/>
                <w:kern w:val="0"/>
                <w:szCs w:val="24"/>
                <w14:ligatures w14:val="none"/>
              </w:rPr>
              <w:t>2</w:t>
            </w:r>
            <w:r w:rsidRPr="00181AD5">
              <w:rPr>
                <w:rFonts w:eastAsia="Times New Roman" w:cs="Times New Roman"/>
                <w:b/>
                <w:bCs/>
                <w:color w:val="000000"/>
                <w:kern w:val="0"/>
                <w:szCs w:val="24"/>
                <w14:ligatures w14:val="none"/>
              </w:rPr>
              <w:t>.</w:t>
            </w:r>
            <w:r w:rsidRPr="00181AD5">
              <w:rPr>
                <w:rFonts w:eastAsia="Times New Roman" w:cs="Times New Roman"/>
                <w:color w:val="000000"/>
                <w:kern w:val="0"/>
                <w:szCs w:val="24"/>
                <w14:ligatures w14:val="none"/>
              </w:rPr>
              <w:t xml:space="preserve"> Development of 13 original items</w:t>
            </w:r>
          </w:p>
        </w:tc>
        <w:tc>
          <w:tcPr>
            <w:tcW w:w="2180" w:type="dxa"/>
            <w:gridSpan w:val="2"/>
            <w:tcBorders>
              <w:top w:val="nil"/>
              <w:left w:val="nil"/>
              <w:bottom w:val="nil"/>
              <w:right w:val="nil"/>
            </w:tcBorders>
            <w:shd w:val="clear" w:color="000000" w:fill="FFFFFF"/>
            <w:noWrap/>
            <w:hideMark/>
          </w:tcPr>
          <w:p w14:paraId="4791F94D" w14:textId="77777777" w:rsidR="00181AD5" w:rsidRPr="00181AD5" w:rsidRDefault="00181AD5" w:rsidP="00181AD5">
            <w:pPr>
              <w:spacing w:after="0" w:line="240" w:lineRule="auto"/>
              <w:jc w:val="center"/>
              <w:rPr>
                <w:rFonts w:ascii="Calibri" w:eastAsia="Times New Roman" w:hAnsi="Calibri" w:cs="Calibri"/>
                <w:color w:val="000000"/>
                <w:kern w:val="0"/>
                <w:sz w:val="22"/>
                <w14:ligatures w14:val="none"/>
              </w:rPr>
            </w:pPr>
            <w:r w:rsidRPr="00181AD5">
              <w:rPr>
                <w:rFonts w:ascii="Calibri" w:eastAsia="Times New Roman" w:hAnsi="Calibri" w:cs="Calibri"/>
                <w:color w:val="000000"/>
                <w:kern w:val="0"/>
                <w:sz w:val="22"/>
                <w14:ligatures w14:val="none"/>
              </w:rPr>
              <w:t> </w:t>
            </w:r>
          </w:p>
        </w:tc>
      </w:tr>
      <w:tr w:rsidR="00181AD5" w:rsidRPr="00181AD5" w14:paraId="4809E0F4" w14:textId="77777777" w:rsidTr="00181AD5">
        <w:trPr>
          <w:gridAfter w:val="2"/>
          <w:wAfter w:w="4610" w:type="dxa"/>
          <w:trHeight w:val="876"/>
        </w:trPr>
        <w:tc>
          <w:tcPr>
            <w:tcW w:w="4590" w:type="dxa"/>
            <w:gridSpan w:val="3"/>
            <w:tcBorders>
              <w:top w:val="single" w:sz="4" w:space="0" w:color="auto"/>
              <w:left w:val="nil"/>
              <w:bottom w:val="single" w:sz="4" w:space="0" w:color="auto"/>
              <w:right w:val="nil"/>
            </w:tcBorders>
            <w:shd w:val="clear" w:color="000000" w:fill="FFFFFF"/>
            <w:vAlign w:val="bottom"/>
            <w:hideMark/>
          </w:tcPr>
          <w:p w14:paraId="4DE983B8"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w:t>
            </w:r>
          </w:p>
        </w:tc>
        <w:tc>
          <w:tcPr>
            <w:tcW w:w="2180" w:type="dxa"/>
            <w:gridSpan w:val="2"/>
            <w:tcBorders>
              <w:top w:val="single" w:sz="4" w:space="0" w:color="auto"/>
              <w:left w:val="nil"/>
              <w:bottom w:val="single" w:sz="4" w:space="0" w:color="auto"/>
              <w:right w:val="nil"/>
            </w:tcBorders>
            <w:shd w:val="clear" w:color="000000" w:fill="FFFFFF"/>
            <w:vAlign w:val="bottom"/>
            <w:hideMark/>
          </w:tcPr>
          <w:p w14:paraId="126F046F"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Representation rating for face</w:t>
            </w:r>
            <w:r w:rsidRPr="00181AD5">
              <w:rPr>
                <w:rFonts w:eastAsia="Times New Roman" w:cs="Times New Roman"/>
                <w:b/>
                <w:bCs/>
                <w:color w:val="000000"/>
                <w:kern w:val="0"/>
                <w:szCs w:val="24"/>
                <w14:ligatures w14:val="none"/>
              </w:rPr>
              <w:br/>
              <w:t>validity (Phase 2)</w:t>
            </w:r>
          </w:p>
        </w:tc>
      </w:tr>
      <w:tr w:rsidR="00181AD5" w:rsidRPr="00181AD5" w14:paraId="4F1A2342" w14:textId="77777777" w:rsidTr="00181AD5">
        <w:trPr>
          <w:gridAfter w:val="2"/>
          <w:wAfter w:w="4610" w:type="dxa"/>
          <w:trHeight w:val="984"/>
        </w:trPr>
        <w:tc>
          <w:tcPr>
            <w:tcW w:w="4590" w:type="dxa"/>
            <w:gridSpan w:val="3"/>
            <w:tcBorders>
              <w:top w:val="nil"/>
              <w:left w:val="nil"/>
              <w:bottom w:val="nil"/>
              <w:right w:val="nil"/>
            </w:tcBorders>
            <w:shd w:val="clear" w:color="000000" w:fill="FFFFFF"/>
            <w:hideMark/>
          </w:tcPr>
          <w:p w14:paraId="3E07C72F"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Item 1: In our organization, we think positively about leaders from diverse demographic backgrounds.</w:t>
            </w:r>
          </w:p>
        </w:tc>
        <w:tc>
          <w:tcPr>
            <w:tcW w:w="2180" w:type="dxa"/>
            <w:gridSpan w:val="2"/>
            <w:tcBorders>
              <w:top w:val="nil"/>
              <w:left w:val="nil"/>
              <w:bottom w:val="nil"/>
              <w:right w:val="nil"/>
            </w:tcBorders>
            <w:shd w:val="clear" w:color="000000" w:fill="FFFFFF"/>
            <w:noWrap/>
            <w:vAlign w:val="center"/>
            <w:hideMark/>
          </w:tcPr>
          <w:p w14:paraId="4B71280C"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100%</w:t>
            </w:r>
          </w:p>
        </w:tc>
      </w:tr>
      <w:tr w:rsidR="00181AD5" w:rsidRPr="00181AD5" w14:paraId="6C4B3CFD" w14:textId="77777777" w:rsidTr="00181AD5">
        <w:trPr>
          <w:gridAfter w:val="2"/>
          <w:wAfter w:w="4610" w:type="dxa"/>
          <w:trHeight w:val="996"/>
        </w:trPr>
        <w:tc>
          <w:tcPr>
            <w:tcW w:w="4590" w:type="dxa"/>
            <w:gridSpan w:val="3"/>
            <w:tcBorders>
              <w:top w:val="nil"/>
              <w:left w:val="nil"/>
              <w:bottom w:val="nil"/>
              <w:right w:val="nil"/>
            </w:tcBorders>
            <w:shd w:val="clear" w:color="000000" w:fill="FFFFFF"/>
            <w:hideMark/>
          </w:tcPr>
          <w:p w14:paraId="38C77F15"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Item 2: In our organization, we accept and understand leaders from diverse demographic backgrounds.</w:t>
            </w:r>
          </w:p>
        </w:tc>
        <w:tc>
          <w:tcPr>
            <w:tcW w:w="2180" w:type="dxa"/>
            <w:gridSpan w:val="2"/>
            <w:tcBorders>
              <w:top w:val="nil"/>
              <w:left w:val="nil"/>
              <w:bottom w:val="nil"/>
              <w:right w:val="nil"/>
            </w:tcBorders>
            <w:shd w:val="clear" w:color="000000" w:fill="FFFFFF"/>
            <w:noWrap/>
            <w:vAlign w:val="center"/>
            <w:hideMark/>
          </w:tcPr>
          <w:p w14:paraId="586315E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100%</w:t>
            </w:r>
          </w:p>
        </w:tc>
      </w:tr>
      <w:tr w:rsidR="00181AD5" w:rsidRPr="00181AD5" w14:paraId="1D97448C" w14:textId="77777777" w:rsidTr="00181AD5">
        <w:trPr>
          <w:gridAfter w:val="2"/>
          <w:wAfter w:w="4610" w:type="dxa"/>
          <w:trHeight w:val="972"/>
        </w:trPr>
        <w:tc>
          <w:tcPr>
            <w:tcW w:w="4590" w:type="dxa"/>
            <w:gridSpan w:val="3"/>
            <w:tcBorders>
              <w:top w:val="nil"/>
              <w:left w:val="nil"/>
              <w:bottom w:val="nil"/>
              <w:right w:val="nil"/>
            </w:tcBorders>
            <w:shd w:val="clear" w:color="000000" w:fill="FFFFFF"/>
            <w:hideMark/>
          </w:tcPr>
          <w:p w14:paraId="1D6FB777"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Item 3: In our organization, leaders’ diverse demographic backgrounds are discussed openly.</w:t>
            </w:r>
          </w:p>
        </w:tc>
        <w:tc>
          <w:tcPr>
            <w:tcW w:w="2180" w:type="dxa"/>
            <w:gridSpan w:val="2"/>
            <w:tcBorders>
              <w:top w:val="nil"/>
              <w:left w:val="nil"/>
              <w:bottom w:val="nil"/>
              <w:right w:val="nil"/>
            </w:tcBorders>
            <w:shd w:val="clear" w:color="000000" w:fill="FFFFFF"/>
            <w:noWrap/>
            <w:vAlign w:val="center"/>
            <w:hideMark/>
          </w:tcPr>
          <w:p w14:paraId="61DE05F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98.4%</w:t>
            </w:r>
          </w:p>
        </w:tc>
      </w:tr>
      <w:tr w:rsidR="00181AD5" w:rsidRPr="00181AD5" w14:paraId="6A0C6589" w14:textId="77777777" w:rsidTr="00181AD5">
        <w:trPr>
          <w:gridAfter w:val="2"/>
          <w:wAfter w:w="4610" w:type="dxa"/>
          <w:trHeight w:val="948"/>
        </w:trPr>
        <w:tc>
          <w:tcPr>
            <w:tcW w:w="4590" w:type="dxa"/>
            <w:gridSpan w:val="3"/>
            <w:tcBorders>
              <w:top w:val="nil"/>
              <w:left w:val="nil"/>
              <w:bottom w:val="nil"/>
              <w:right w:val="nil"/>
            </w:tcBorders>
            <w:shd w:val="clear" w:color="000000" w:fill="FFFFFF"/>
            <w:hideMark/>
          </w:tcPr>
          <w:p w14:paraId="4F2D7FB5"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xml:space="preserve">Item 4: In our organization, leaders’ diverse demographic backgrounds are </w:t>
            </w:r>
            <w:proofErr w:type="gramStart"/>
            <w:r w:rsidRPr="00181AD5">
              <w:rPr>
                <w:rFonts w:eastAsia="Times New Roman" w:cs="Times New Roman"/>
                <w:color w:val="000000"/>
                <w:kern w:val="0"/>
                <w:szCs w:val="24"/>
                <w14:ligatures w14:val="none"/>
              </w:rPr>
              <w:t>taken into account</w:t>
            </w:r>
            <w:proofErr w:type="gramEnd"/>
            <w:r w:rsidRPr="00181AD5">
              <w:rPr>
                <w:rFonts w:eastAsia="Times New Roman" w:cs="Times New Roman"/>
                <w:color w:val="000000"/>
                <w:kern w:val="0"/>
                <w:szCs w:val="24"/>
                <w14:ligatures w14:val="none"/>
              </w:rPr>
              <w:t>.</w:t>
            </w:r>
          </w:p>
        </w:tc>
        <w:tc>
          <w:tcPr>
            <w:tcW w:w="2180" w:type="dxa"/>
            <w:gridSpan w:val="2"/>
            <w:tcBorders>
              <w:top w:val="nil"/>
              <w:left w:val="nil"/>
              <w:bottom w:val="nil"/>
              <w:right w:val="nil"/>
            </w:tcBorders>
            <w:shd w:val="clear" w:color="000000" w:fill="FFFFFF"/>
            <w:noWrap/>
            <w:vAlign w:val="center"/>
            <w:hideMark/>
          </w:tcPr>
          <w:p w14:paraId="1F891C3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93.4%</w:t>
            </w:r>
          </w:p>
        </w:tc>
      </w:tr>
      <w:tr w:rsidR="00181AD5" w:rsidRPr="00181AD5" w14:paraId="07A19A06" w14:textId="77777777" w:rsidTr="00181AD5">
        <w:trPr>
          <w:gridAfter w:val="2"/>
          <w:wAfter w:w="4610" w:type="dxa"/>
          <w:trHeight w:val="960"/>
        </w:trPr>
        <w:tc>
          <w:tcPr>
            <w:tcW w:w="4590" w:type="dxa"/>
            <w:gridSpan w:val="3"/>
            <w:tcBorders>
              <w:top w:val="nil"/>
              <w:left w:val="nil"/>
              <w:bottom w:val="nil"/>
              <w:right w:val="nil"/>
            </w:tcBorders>
            <w:shd w:val="clear" w:color="000000" w:fill="FFFFFF"/>
            <w:hideMark/>
          </w:tcPr>
          <w:p w14:paraId="78A026C3"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lastRenderedPageBreak/>
              <w:t>Item 5: In our organization, we advocate working with leaders from diverse demographic backgrounds.</w:t>
            </w:r>
          </w:p>
        </w:tc>
        <w:tc>
          <w:tcPr>
            <w:tcW w:w="2180" w:type="dxa"/>
            <w:gridSpan w:val="2"/>
            <w:tcBorders>
              <w:top w:val="nil"/>
              <w:left w:val="nil"/>
              <w:bottom w:val="nil"/>
              <w:right w:val="nil"/>
            </w:tcBorders>
            <w:shd w:val="clear" w:color="000000" w:fill="FFFFFF"/>
            <w:noWrap/>
            <w:vAlign w:val="center"/>
            <w:hideMark/>
          </w:tcPr>
          <w:p w14:paraId="32FBF98E"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96.7%</w:t>
            </w:r>
          </w:p>
        </w:tc>
      </w:tr>
      <w:tr w:rsidR="00181AD5" w:rsidRPr="00181AD5" w14:paraId="70005D76" w14:textId="77777777" w:rsidTr="00181AD5">
        <w:trPr>
          <w:gridAfter w:val="2"/>
          <w:wAfter w:w="4610" w:type="dxa"/>
          <w:trHeight w:val="1008"/>
        </w:trPr>
        <w:tc>
          <w:tcPr>
            <w:tcW w:w="4590" w:type="dxa"/>
            <w:gridSpan w:val="3"/>
            <w:tcBorders>
              <w:top w:val="nil"/>
              <w:left w:val="nil"/>
              <w:bottom w:val="nil"/>
              <w:right w:val="nil"/>
            </w:tcBorders>
            <w:shd w:val="clear" w:color="000000" w:fill="FFFFFF"/>
            <w:hideMark/>
          </w:tcPr>
          <w:p w14:paraId="5D9E9F0F"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Item 6: In our organization, we see the advantage of having leaders from diverse demographic backgrounds.</w:t>
            </w:r>
          </w:p>
        </w:tc>
        <w:tc>
          <w:tcPr>
            <w:tcW w:w="2180" w:type="dxa"/>
            <w:gridSpan w:val="2"/>
            <w:tcBorders>
              <w:top w:val="nil"/>
              <w:left w:val="nil"/>
              <w:bottom w:val="nil"/>
              <w:right w:val="nil"/>
            </w:tcBorders>
            <w:shd w:val="clear" w:color="000000" w:fill="FFFFFF"/>
            <w:noWrap/>
            <w:vAlign w:val="center"/>
            <w:hideMark/>
          </w:tcPr>
          <w:p w14:paraId="2948FC3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100%</w:t>
            </w:r>
          </w:p>
        </w:tc>
      </w:tr>
      <w:tr w:rsidR="00181AD5" w:rsidRPr="00181AD5" w14:paraId="4B5B302D" w14:textId="77777777" w:rsidTr="00181AD5">
        <w:trPr>
          <w:gridAfter w:val="2"/>
          <w:wAfter w:w="4610" w:type="dxa"/>
          <w:trHeight w:val="996"/>
        </w:trPr>
        <w:tc>
          <w:tcPr>
            <w:tcW w:w="4590" w:type="dxa"/>
            <w:gridSpan w:val="3"/>
            <w:tcBorders>
              <w:top w:val="nil"/>
              <w:left w:val="nil"/>
              <w:bottom w:val="nil"/>
              <w:right w:val="nil"/>
            </w:tcBorders>
            <w:shd w:val="clear" w:color="000000" w:fill="FFFFFF"/>
            <w:hideMark/>
          </w:tcPr>
          <w:p w14:paraId="590E5A66"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Item 7: In our organization, we have opportunities to work with leaders from diverse demographic backgrounds.</w:t>
            </w:r>
          </w:p>
        </w:tc>
        <w:tc>
          <w:tcPr>
            <w:tcW w:w="2180" w:type="dxa"/>
            <w:gridSpan w:val="2"/>
            <w:tcBorders>
              <w:top w:val="nil"/>
              <w:left w:val="nil"/>
              <w:bottom w:val="nil"/>
              <w:right w:val="nil"/>
            </w:tcBorders>
            <w:shd w:val="clear" w:color="000000" w:fill="FFFFFF"/>
            <w:noWrap/>
            <w:vAlign w:val="center"/>
            <w:hideMark/>
          </w:tcPr>
          <w:p w14:paraId="16AECF8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100%</w:t>
            </w:r>
          </w:p>
        </w:tc>
      </w:tr>
      <w:tr w:rsidR="00181AD5" w:rsidRPr="00181AD5" w14:paraId="269BAE17" w14:textId="77777777" w:rsidTr="00181AD5">
        <w:trPr>
          <w:gridAfter w:val="2"/>
          <w:wAfter w:w="4610" w:type="dxa"/>
          <w:trHeight w:val="960"/>
        </w:trPr>
        <w:tc>
          <w:tcPr>
            <w:tcW w:w="4590" w:type="dxa"/>
            <w:gridSpan w:val="3"/>
            <w:tcBorders>
              <w:top w:val="nil"/>
              <w:left w:val="nil"/>
              <w:bottom w:val="nil"/>
              <w:right w:val="nil"/>
            </w:tcBorders>
            <w:shd w:val="clear" w:color="000000" w:fill="FFFFFF"/>
            <w:hideMark/>
          </w:tcPr>
          <w:p w14:paraId="0453FD8D"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Item 8: In our organization, it is important to include leaders from diverse demographic backgrounds.</w:t>
            </w:r>
          </w:p>
        </w:tc>
        <w:tc>
          <w:tcPr>
            <w:tcW w:w="2180" w:type="dxa"/>
            <w:gridSpan w:val="2"/>
            <w:tcBorders>
              <w:top w:val="nil"/>
              <w:left w:val="nil"/>
              <w:bottom w:val="nil"/>
              <w:right w:val="nil"/>
            </w:tcBorders>
            <w:shd w:val="clear" w:color="000000" w:fill="FFFFFF"/>
            <w:noWrap/>
            <w:vAlign w:val="center"/>
            <w:hideMark/>
          </w:tcPr>
          <w:p w14:paraId="2532BD7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100%</w:t>
            </w:r>
          </w:p>
        </w:tc>
      </w:tr>
      <w:tr w:rsidR="00181AD5" w:rsidRPr="00181AD5" w14:paraId="2D11ACBB" w14:textId="77777777" w:rsidTr="00181AD5">
        <w:trPr>
          <w:gridAfter w:val="2"/>
          <w:wAfter w:w="4610" w:type="dxa"/>
          <w:trHeight w:val="948"/>
        </w:trPr>
        <w:tc>
          <w:tcPr>
            <w:tcW w:w="4590" w:type="dxa"/>
            <w:gridSpan w:val="3"/>
            <w:tcBorders>
              <w:top w:val="nil"/>
              <w:left w:val="nil"/>
              <w:bottom w:val="nil"/>
              <w:right w:val="nil"/>
            </w:tcBorders>
            <w:shd w:val="clear" w:color="000000" w:fill="FFFFFF"/>
            <w:hideMark/>
          </w:tcPr>
          <w:p w14:paraId="3D7267BF"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Item 9: In our organization, we expect to work with leaders from diverse demographic backgrounds.</w:t>
            </w:r>
          </w:p>
        </w:tc>
        <w:tc>
          <w:tcPr>
            <w:tcW w:w="2180" w:type="dxa"/>
            <w:gridSpan w:val="2"/>
            <w:tcBorders>
              <w:top w:val="nil"/>
              <w:left w:val="nil"/>
              <w:bottom w:val="nil"/>
              <w:right w:val="nil"/>
            </w:tcBorders>
            <w:shd w:val="clear" w:color="000000" w:fill="FFFFFF"/>
            <w:noWrap/>
            <w:vAlign w:val="center"/>
            <w:hideMark/>
          </w:tcPr>
          <w:p w14:paraId="6902D77C"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100%</w:t>
            </w:r>
          </w:p>
        </w:tc>
      </w:tr>
      <w:tr w:rsidR="00181AD5" w:rsidRPr="00181AD5" w14:paraId="32F4F352" w14:textId="77777777" w:rsidTr="00181AD5">
        <w:trPr>
          <w:gridAfter w:val="2"/>
          <w:wAfter w:w="4610" w:type="dxa"/>
          <w:trHeight w:val="960"/>
        </w:trPr>
        <w:tc>
          <w:tcPr>
            <w:tcW w:w="4590" w:type="dxa"/>
            <w:gridSpan w:val="3"/>
            <w:tcBorders>
              <w:top w:val="nil"/>
              <w:left w:val="nil"/>
              <w:bottom w:val="nil"/>
              <w:right w:val="nil"/>
            </w:tcBorders>
            <w:shd w:val="clear" w:color="000000" w:fill="FFFFFF"/>
            <w:hideMark/>
          </w:tcPr>
          <w:p w14:paraId="1A1C3F01"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Item 10: In our organization, leaders from diverse demographic backgrounds are ignored.</w:t>
            </w:r>
          </w:p>
        </w:tc>
        <w:tc>
          <w:tcPr>
            <w:tcW w:w="2180" w:type="dxa"/>
            <w:gridSpan w:val="2"/>
            <w:tcBorders>
              <w:top w:val="nil"/>
              <w:left w:val="nil"/>
              <w:bottom w:val="nil"/>
              <w:right w:val="nil"/>
            </w:tcBorders>
            <w:shd w:val="clear" w:color="000000" w:fill="FFFFFF"/>
            <w:noWrap/>
            <w:vAlign w:val="center"/>
            <w:hideMark/>
          </w:tcPr>
          <w:p w14:paraId="48A9BE4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34.4%</w:t>
            </w:r>
          </w:p>
        </w:tc>
      </w:tr>
      <w:tr w:rsidR="00181AD5" w:rsidRPr="00181AD5" w14:paraId="6A31F74F" w14:textId="77777777" w:rsidTr="00181AD5">
        <w:trPr>
          <w:gridAfter w:val="2"/>
          <w:wAfter w:w="4610" w:type="dxa"/>
          <w:trHeight w:val="948"/>
        </w:trPr>
        <w:tc>
          <w:tcPr>
            <w:tcW w:w="4590" w:type="dxa"/>
            <w:gridSpan w:val="3"/>
            <w:tcBorders>
              <w:top w:val="nil"/>
              <w:left w:val="nil"/>
              <w:bottom w:val="nil"/>
              <w:right w:val="nil"/>
            </w:tcBorders>
            <w:shd w:val="clear" w:color="000000" w:fill="FFFFFF"/>
            <w:hideMark/>
          </w:tcPr>
          <w:p w14:paraId="7A27689A"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Item 11: In our organization, we are comfortable working with leaders from diverse demographic backgrounds.</w:t>
            </w:r>
          </w:p>
        </w:tc>
        <w:tc>
          <w:tcPr>
            <w:tcW w:w="2180" w:type="dxa"/>
            <w:gridSpan w:val="2"/>
            <w:tcBorders>
              <w:top w:val="nil"/>
              <w:left w:val="nil"/>
              <w:bottom w:val="nil"/>
              <w:right w:val="nil"/>
            </w:tcBorders>
            <w:shd w:val="clear" w:color="000000" w:fill="FFFFFF"/>
            <w:noWrap/>
            <w:vAlign w:val="center"/>
            <w:hideMark/>
          </w:tcPr>
          <w:p w14:paraId="54E4D7A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98.4%</w:t>
            </w:r>
          </w:p>
        </w:tc>
      </w:tr>
      <w:tr w:rsidR="00181AD5" w:rsidRPr="00181AD5" w14:paraId="211929C9" w14:textId="77777777" w:rsidTr="00181AD5">
        <w:trPr>
          <w:gridAfter w:val="2"/>
          <w:wAfter w:w="4610" w:type="dxa"/>
          <w:trHeight w:val="924"/>
        </w:trPr>
        <w:tc>
          <w:tcPr>
            <w:tcW w:w="4590" w:type="dxa"/>
            <w:gridSpan w:val="3"/>
            <w:tcBorders>
              <w:top w:val="nil"/>
              <w:left w:val="nil"/>
              <w:bottom w:val="nil"/>
              <w:right w:val="nil"/>
            </w:tcBorders>
            <w:shd w:val="clear" w:color="000000" w:fill="FFFFFF"/>
            <w:hideMark/>
          </w:tcPr>
          <w:p w14:paraId="19E98325"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Item 12: In our organization, we try to retain leaders from diverse demographic backgrounds.</w:t>
            </w:r>
          </w:p>
        </w:tc>
        <w:tc>
          <w:tcPr>
            <w:tcW w:w="2180" w:type="dxa"/>
            <w:gridSpan w:val="2"/>
            <w:tcBorders>
              <w:top w:val="nil"/>
              <w:left w:val="nil"/>
              <w:bottom w:val="nil"/>
              <w:right w:val="nil"/>
            </w:tcBorders>
            <w:shd w:val="clear" w:color="000000" w:fill="FFFFFF"/>
            <w:noWrap/>
            <w:vAlign w:val="center"/>
            <w:hideMark/>
          </w:tcPr>
          <w:p w14:paraId="2E58D61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96.7%</w:t>
            </w:r>
          </w:p>
        </w:tc>
      </w:tr>
      <w:tr w:rsidR="00181AD5" w:rsidRPr="00181AD5" w14:paraId="7D0E2F4A" w14:textId="77777777" w:rsidTr="00181AD5">
        <w:trPr>
          <w:gridAfter w:val="2"/>
          <w:wAfter w:w="4610" w:type="dxa"/>
          <w:trHeight w:val="936"/>
        </w:trPr>
        <w:tc>
          <w:tcPr>
            <w:tcW w:w="4590" w:type="dxa"/>
            <w:gridSpan w:val="3"/>
            <w:tcBorders>
              <w:top w:val="nil"/>
              <w:left w:val="nil"/>
              <w:bottom w:val="single" w:sz="4" w:space="0" w:color="auto"/>
              <w:right w:val="nil"/>
            </w:tcBorders>
            <w:shd w:val="clear" w:color="000000" w:fill="FFFFFF"/>
            <w:hideMark/>
          </w:tcPr>
          <w:p w14:paraId="5D64D52A"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Item 13: In our organization, it is transparent that leaders are representative of diverse demographic backgrounds.</w:t>
            </w:r>
          </w:p>
        </w:tc>
        <w:tc>
          <w:tcPr>
            <w:tcW w:w="2180" w:type="dxa"/>
            <w:gridSpan w:val="2"/>
            <w:tcBorders>
              <w:top w:val="nil"/>
              <w:left w:val="nil"/>
              <w:bottom w:val="single" w:sz="4" w:space="0" w:color="auto"/>
              <w:right w:val="nil"/>
            </w:tcBorders>
            <w:shd w:val="clear" w:color="000000" w:fill="FFFFFF"/>
            <w:noWrap/>
            <w:vAlign w:val="center"/>
            <w:hideMark/>
          </w:tcPr>
          <w:p w14:paraId="0052A19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98.4%</w:t>
            </w:r>
          </w:p>
        </w:tc>
      </w:tr>
      <w:tr w:rsidR="00181AD5" w:rsidRPr="00181AD5" w14:paraId="41A3CBD2" w14:textId="77777777" w:rsidTr="00181AD5">
        <w:trPr>
          <w:gridAfter w:val="2"/>
          <w:wAfter w:w="4610" w:type="dxa"/>
          <w:trHeight w:val="312"/>
        </w:trPr>
        <w:tc>
          <w:tcPr>
            <w:tcW w:w="4590" w:type="dxa"/>
            <w:gridSpan w:val="3"/>
            <w:tcBorders>
              <w:top w:val="nil"/>
              <w:left w:val="nil"/>
              <w:bottom w:val="nil"/>
              <w:right w:val="nil"/>
            </w:tcBorders>
            <w:shd w:val="clear" w:color="000000" w:fill="FFFFFF"/>
            <w:hideMark/>
          </w:tcPr>
          <w:p w14:paraId="24391961"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i/>
                <w:iCs/>
                <w:color w:val="000000"/>
                <w:kern w:val="0"/>
                <w:szCs w:val="24"/>
                <w14:ligatures w14:val="none"/>
              </w:rPr>
              <w:t>Notes:</w:t>
            </w:r>
            <w:r w:rsidRPr="00181AD5">
              <w:rPr>
                <w:rFonts w:eastAsia="Times New Roman" w:cs="Times New Roman"/>
                <w:color w:val="000000"/>
                <w:kern w:val="0"/>
                <w:szCs w:val="24"/>
                <w14:ligatures w14:val="none"/>
              </w:rPr>
              <w:t xml:space="preserve"> N= 61</w:t>
            </w:r>
          </w:p>
          <w:p w14:paraId="3D8F6AE4" w14:textId="77777777" w:rsidR="00181AD5" w:rsidRPr="00181AD5" w:rsidRDefault="00181AD5" w:rsidP="00181AD5">
            <w:pPr>
              <w:spacing w:after="0" w:line="240" w:lineRule="auto"/>
              <w:rPr>
                <w:rFonts w:eastAsia="Times New Roman" w:cs="Times New Roman"/>
                <w:color w:val="000000"/>
                <w:kern w:val="0"/>
                <w:szCs w:val="24"/>
                <w14:ligatures w14:val="none"/>
              </w:rPr>
            </w:pPr>
          </w:p>
        </w:tc>
        <w:tc>
          <w:tcPr>
            <w:tcW w:w="2180" w:type="dxa"/>
            <w:gridSpan w:val="2"/>
            <w:tcBorders>
              <w:top w:val="nil"/>
              <w:left w:val="nil"/>
              <w:bottom w:val="nil"/>
              <w:right w:val="nil"/>
            </w:tcBorders>
            <w:shd w:val="clear" w:color="000000" w:fill="FFFFFF"/>
            <w:noWrap/>
            <w:hideMark/>
          </w:tcPr>
          <w:p w14:paraId="42047FB3" w14:textId="77777777" w:rsidR="00181AD5" w:rsidRPr="00181AD5" w:rsidRDefault="00181AD5" w:rsidP="00181AD5">
            <w:pPr>
              <w:spacing w:after="0" w:line="240" w:lineRule="auto"/>
              <w:jc w:val="center"/>
              <w:rPr>
                <w:rFonts w:ascii="Calibri" w:eastAsia="Times New Roman" w:hAnsi="Calibri" w:cs="Calibri"/>
                <w:color w:val="000000"/>
                <w:kern w:val="0"/>
                <w:sz w:val="22"/>
                <w14:ligatures w14:val="none"/>
              </w:rPr>
            </w:pPr>
            <w:r w:rsidRPr="00181AD5">
              <w:rPr>
                <w:rFonts w:ascii="Calibri" w:eastAsia="Times New Roman" w:hAnsi="Calibri" w:cs="Calibri"/>
                <w:color w:val="000000"/>
                <w:kern w:val="0"/>
                <w:sz w:val="22"/>
                <w14:ligatures w14:val="none"/>
              </w:rPr>
              <w:t> </w:t>
            </w:r>
          </w:p>
        </w:tc>
      </w:tr>
    </w:tbl>
    <w:p w14:paraId="43CF104E" w14:textId="77777777" w:rsidR="00181AD5" w:rsidRPr="00181AD5" w:rsidRDefault="00181AD5" w:rsidP="00181AD5">
      <w:pPr>
        <w:spacing w:after="0" w:line="240" w:lineRule="auto"/>
        <w:rPr>
          <w:rFonts w:eastAsia="Calibri" w:cs="Times New Roman"/>
          <w:kern w:val="0"/>
        </w:rPr>
      </w:pPr>
    </w:p>
    <w:tbl>
      <w:tblPr>
        <w:tblpPr w:leftFromText="180" w:rightFromText="180" w:vertAnchor="text" w:horzAnchor="margin" w:tblpXSpec="center" w:tblpY="694"/>
        <w:tblW w:w="11331" w:type="dxa"/>
        <w:tblLook w:val="04A0" w:firstRow="1" w:lastRow="0" w:firstColumn="1" w:lastColumn="0" w:noHBand="0" w:noVBand="1"/>
      </w:tblPr>
      <w:tblGrid>
        <w:gridCol w:w="1350"/>
        <w:gridCol w:w="923"/>
        <w:gridCol w:w="923"/>
        <w:gridCol w:w="923"/>
        <w:gridCol w:w="923"/>
        <w:gridCol w:w="923"/>
        <w:gridCol w:w="923"/>
        <w:gridCol w:w="923"/>
        <w:gridCol w:w="923"/>
        <w:gridCol w:w="1349"/>
        <w:gridCol w:w="685"/>
        <w:gridCol w:w="563"/>
      </w:tblGrid>
      <w:tr w:rsidR="00181AD5" w:rsidRPr="00181AD5" w14:paraId="77D5A2EA" w14:textId="77777777" w:rsidTr="00F649E4">
        <w:trPr>
          <w:trHeight w:val="310"/>
        </w:trPr>
        <w:tc>
          <w:tcPr>
            <w:tcW w:w="7811" w:type="dxa"/>
            <w:gridSpan w:val="8"/>
            <w:tcBorders>
              <w:top w:val="nil"/>
              <w:left w:val="nil"/>
              <w:bottom w:val="nil"/>
              <w:right w:val="nil"/>
            </w:tcBorders>
            <w:shd w:val="clear" w:color="000000" w:fill="FFFFFF"/>
            <w:noWrap/>
            <w:vAlign w:val="bottom"/>
            <w:hideMark/>
          </w:tcPr>
          <w:p w14:paraId="79B15214" w14:textId="0950A15E"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b/>
                <w:bCs/>
                <w:color w:val="000000"/>
                <w:kern w:val="0"/>
                <w:szCs w:val="24"/>
                <w14:ligatures w14:val="none"/>
              </w:rPr>
              <w:lastRenderedPageBreak/>
              <w:t xml:space="preserve">Table. </w:t>
            </w:r>
            <w:r>
              <w:rPr>
                <w:rFonts w:eastAsia="Times New Roman" w:cs="Times New Roman"/>
                <w:b/>
                <w:bCs/>
                <w:color w:val="000000"/>
                <w:kern w:val="0"/>
                <w:szCs w:val="24"/>
                <w14:ligatures w14:val="none"/>
              </w:rPr>
              <w:t>3</w:t>
            </w:r>
            <w:r w:rsidRPr="00181AD5">
              <w:rPr>
                <w:rFonts w:eastAsia="Times New Roman" w:cs="Times New Roman"/>
                <w:b/>
                <w:bCs/>
                <w:color w:val="000000"/>
                <w:kern w:val="0"/>
                <w:szCs w:val="24"/>
                <w14:ligatures w14:val="none"/>
              </w:rPr>
              <w:t xml:space="preserve">. </w:t>
            </w:r>
            <w:r w:rsidRPr="00181AD5">
              <w:rPr>
                <w:rFonts w:eastAsia="Times New Roman" w:cs="Times New Roman"/>
                <w:color w:val="000000"/>
                <w:kern w:val="0"/>
                <w:szCs w:val="24"/>
                <w14:ligatures w14:val="none"/>
              </w:rPr>
              <w:t xml:space="preserve">The relevance ratings on the item scale by eight experts </w:t>
            </w:r>
          </w:p>
        </w:tc>
        <w:tc>
          <w:tcPr>
            <w:tcW w:w="923" w:type="dxa"/>
            <w:tcBorders>
              <w:top w:val="nil"/>
              <w:left w:val="nil"/>
              <w:bottom w:val="nil"/>
              <w:right w:val="nil"/>
            </w:tcBorders>
            <w:shd w:val="clear" w:color="000000" w:fill="FFFFFF"/>
            <w:noWrap/>
            <w:vAlign w:val="bottom"/>
            <w:hideMark/>
          </w:tcPr>
          <w:p w14:paraId="22A6CFFD"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1349" w:type="dxa"/>
            <w:tcBorders>
              <w:top w:val="nil"/>
              <w:left w:val="nil"/>
              <w:bottom w:val="nil"/>
              <w:right w:val="nil"/>
            </w:tcBorders>
            <w:shd w:val="clear" w:color="000000" w:fill="FFFFFF"/>
            <w:noWrap/>
            <w:vAlign w:val="bottom"/>
            <w:hideMark/>
          </w:tcPr>
          <w:p w14:paraId="7485E729"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685" w:type="dxa"/>
            <w:tcBorders>
              <w:top w:val="nil"/>
              <w:left w:val="nil"/>
              <w:bottom w:val="nil"/>
              <w:right w:val="nil"/>
            </w:tcBorders>
            <w:shd w:val="clear" w:color="000000" w:fill="FFFFFF"/>
            <w:noWrap/>
            <w:vAlign w:val="bottom"/>
            <w:hideMark/>
          </w:tcPr>
          <w:p w14:paraId="50021052"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563" w:type="dxa"/>
            <w:tcBorders>
              <w:top w:val="nil"/>
              <w:left w:val="nil"/>
              <w:bottom w:val="nil"/>
              <w:right w:val="nil"/>
            </w:tcBorders>
            <w:shd w:val="clear" w:color="000000" w:fill="FFFFFF"/>
            <w:noWrap/>
            <w:vAlign w:val="bottom"/>
            <w:hideMark/>
          </w:tcPr>
          <w:p w14:paraId="7A390083"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r>
      <w:tr w:rsidR="00181AD5" w:rsidRPr="00181AD5" w14:paraId="1DA893E5" w14:textId="77777777" w:rsidTr="00F649E4">
        <w:trPr>
          <w:trHeight w:val="620"/>
        </w:trPr>
        <w:tc>
          <w:tcPr>
            <w:tcW w:w="1350" w:type="dxa"/>
            <w:tcBorders>
              <w:top w:val="single" w:sz="4" w:space="0" w:color="auto"/>
              <w:left w:val="nil"/>
              <w:bottom w:val="single" w:sz="4" w:space="0" w:color="auto"/>
              <w:right w:val="nil"/>
            </w:tcBorders>
            <w:shd w:val="clear" w:color="000000" w:fill="FFFFFF"/>
            <w:vAlign w:val="bottom"/>
            <w:hideMark/>
          </w:tcPr>
          <w:p w14:paraId="59D7D8A0"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single" w:sz="4" w:space="0" w:color="auto"/>
              <w:left w:val="nil"/>
              <w:bottom w:val="single" w:sz="4" w:space="0" w:color="auto"/>
              <w:right w:val="nil"/>
            </w:tcBorders>
            <w:shd w:val="clear" w:color="000000" w:fill="FFFFFF"/>
            <w:vAlign w:val="bottom"/>
            <w:hideMark/>
          </w:tcPr>
          <w:p w14:paraId="489E6870"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One</w:t>
            </w:r>
          </w:p>
        </w:tc>
        <w:tc>
          <w:tcPr>
            <w:tcW w:w="923" w:type="dxa"/>
            <w:tcBorders>
              <w:top w:val="single" w:sz="4" w:space="0" w:color="auto"/>
              <w:left w:val="nil"/>
              <w:bottom w:val="single" w:sz="4" w:space="0" w:color="auto"/>
              <w:right w:val="nil"/>
            </w:tcBorders>
            <w:shd w:val="clear" w:color="000000" w:fill="FFFFFF"/>
            <w:vAlign w:val="bottom"/>
            <w:hideMark/>
          </w:tcPr>
          <w:p w14:paraId="00196343"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Two</w:t>
            </w:r>
          </w:p>
        </w:tc>
        <w:tc>
          <w:tcPr>
            <w:tcW w:w="923" w:type="dxa"/>
            <w:tcBorders>
              <w:top w:val="single" w:sz="4" w:space="0" w:color="auto"/>
              <w:left w:val="nil"/>
              <w:bottom w:val="single" w:sz="4" w:space="0" w:color="auto"/>
              <w:right w:val="nil"/>
            </w:tcBorders>
            <w:shd w:val="clear" w:color="000000" w:fill="FFFFFF"/>
            <w:vAlign w:val="bottom"/>
            <w:hideMark/>
          </w:tcPr>
          <w:p w14:paraId="6901BB42"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Three</w:t>
            </w:r>
          </w:p>
        </w:tc>
        <w:tc>
          <w:tcPr>
            <w:tcW w:w="923" w:type="dxa"/>
            <w:tcBorders>
              <w:top w:val="single" w:sz="4" w:space="0" w:color="auto"/>
              <w:left w:val="nil"/>
              <w:bottom w:val="single" w:sz="4" w:space="0" w:color="auto"/>
              <w:right w:val="nil"/>
            </w:tcBorders>
            <w:shd w:val="clear" w:color="000000" w:fill="FFFFFF"/>
            <w:vAlign w:val="bottom"/>
            <w:hideMark/>
          </w:tcPr>
          <w:p w14:paraId="0279BC7B"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Four</w:t>
            </w:r>
          </w:p>
        </w:tc>
        <w:tc>
          <w:tcPr>
            <w:tcW w:w="923" w:type="dxa"/>
            <w:tcBorders>
              <w:top w:val="single" w:sz="4" w:space="0" w:color="auto"/>
              <w:left w:val="nil"/>
              <w:bottom w:val="single" w:sz="4" w:space="0" w:color="auto"/>
              <w:right w:val="nil"/>
            </w:tcBorders>
            <w:shd w:val="clear" w:color="000000" w:fill="FFFFFF"/>
            <w:vAlign w:val="bottom"/>
            <w:hideMark/>
          </w:tcPr>
          <w:p w14:paraId="13407235"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Five</w:t>
            </w:r>
          </w:p>
        </w:tc>
        <w:tc>
          <w:tcPr>
            <w:tcW w:w="923" w:type="dxa"/>
            <w:tcBorders>
              <w:top w:val="single" w:sz="4" w:space="0" w:color="auto"/>
              <w:left w:val="nil"/>
              <w:bottom w:val="single" w:sz="4" w:space="0" w:color="auto"/>
              <w:right w:val="nil"/>
            </w:tcBorders>
            <w:shd w:val="clear" w:color="000000" w:fill="FFFFFF"/>
            <w:vAlign w:val="bottom"/>
            <w:hideMark/>
          </w:tcPr>
          <w:p w14:paraId="2A6A2596"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Six</w:t>
            </w:r>
          </w:p>
        </w:tc>
        <w:tc>
          <w:tcPr>
            <w:tcW w:w="923" w:type="dxa"/>
            <w:tcBorders>
              <w:top w:val="single" w:sz="4" w:space="0" w:color="auto"/>
              <w:left w:val="nil"/>
              <w:bottom w:val="single" w:sz="4" w:space="0" w:color="auto"/>
              <w:right w:val="nil"/>
            </w:tcBorders>
            <w:shd w:val="clear" w:color="000000" w:fill="FFFFFF"/>
            <w:vAlign w:val="bottom"/>
            <w:hideMark/>
          </w:tcPr>
          <w:p w14:paraId="4530BD2A"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Seven</w:t>
            </w:r>
          </w:p>
        </w:tc>
        <w:tc>
          <w:tcPr>
            <w:tcW w:w="923" w:type="dxa"/>
            <w:tcBorders>
              <w:top w:val="single" w:sz="4" w:space="0" w:color="auto"/>
              <w:left w:val="nil"/>
              <w:bottom w:val="single" w:sz="4" w:space="0" w:color="auto"/>
              <w:right w:val="nil"/>
            </w:tcBorders>
            <w:shd w:val="clear" w:color="000000" w:fill="FFFFFF"/>
            <w:vAlign w:val="bottom"/>
            <w:hideMark/>
          </w:tcPr>
          <w:p w14:paraId="79D5CDA5"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Eight</w:t>
            </w:r>
          </w:p>
        </w:tc>
        <w:tc>
          <w:tcPr>
            <w:tcW w:w="1349" w:type="dxa"/>
            <w:tcBorders>
              <w:top w:val="single" w:sz="4" w:space="0" w:color="auto"/>
              <w:left w:val="nil"/>
              <w:bottom w:val="single" w:sz="4" w:space="0" w:color="auto"/>
              <w:right w:val="nil"/>
            </w:tcBorders>
            <w:shd w:val="clear" w:color="000000" w:fill="FFFFFF"/>
            <w:vAlign w:val="bottom"/>
            <w:hideMark/>
          </w:tcPr>
          <w:p w14:paraId="1A3F2788"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in Agreement</w:t>
            </w:r>
          </w:p>
        </w:tc>
        <w:tc>
          <w:tcPr>
            <w:tcW w:w="685" w:type="dxa"/>
            <w:tcBorders>
              <w:top w:val="single" w:sz="4" w:space="0" w:color="auto"/>
              <w:left w:val="nil"/>
              <w:bottom w:val="single" w:sz="4" w:space="0" w:color="auto"/>
              <w:right w:val="nil"/>
            </w:tcBorders>
            <w:shd w:val="clear" w:color="000000" w:fill="FFFFFF"/>
            <w:vAlign w:val="bottom"/>
            <w:hideMark/>
          </w:tcPr>
          <w:p w14:paraId="03DC582A"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I-CVI</w:t>
            </w:r>
          </w:p>
        </w:tc>
        <w:tc>
          <w:tcPr>
            <w:tcW w:w="563" w:type="dxa"/>
            <w:tcBorders>
              <w:top w:val="single" w:sz="4" w:space="0" w:color="auto"/>
              <w:left w:val="nil"/>
              <w:bottom w:val="single" w:sz="4" w:space="0" w:color="auto"/>
              <w:right w:val="nil"/>
            </w:tcBorders>
            <w:shd w:val="clear" w:color="000000" w:fill="FFFFFF"/>
            <w:vAlign w:val="bottom"/>
            <w:hideMark/>
          </w:tcPr>
          <w:p w14:paraId="372EE8DF"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UA</w:t>
            </w:r>
          </w:p>
        </w:tc>
      </w:tr>
      <w:tr w:rsidR="00181AD5" w:rsidRPr="00181AD5" w14:paraId="29BD52FF" w14:textId="77777777" w:rsidTr="00F649E4">
        <w:trPr>
          <w:trHeight w:val="310"/>
        </w:trPr>
        <w:tc>
          <w:tcPr>
            <w:tcW w:w="1350" w:type="dxa"/>
            <w:tcBorders>
              <w:top w:val="nil"/>
              <w:left w:val="nil"/>
              <w:bottom w:val="nil"/>
              <w:right w:val="nil"/>
            </w:tcBorders>
            <w:shd w:val="clear" w:color="000000" w:fill="FFFFFF"/>
            <w:noWrap/>
            <w:vAlign w:val="bottom"/>
            <w:hideMark/>
          </w:tcPr>
          <w:p w14:paraId="673E8CB5"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1</w:t>
            </w:r>
          </w:p>
        </w:tc>
        <w:tc>
          <w:tcPr>
            <w:tcW w:w="923" w:type="dxa"/>
            <w:tcBorders>
              <w:top w:val="nil"/>
              <w:left w:val="nil"/>
              <w:bottom w:val="nil"/>
              <w:right w:val="nil"/>
            </w:tcBorders>
            <w:shd w:val="clear" w:color="000000" w:fill="FFFFFF"/>
            <w:noWrap/>
            <w:hideMark/>
          </w:tcPr>
          <w:p w14:paraId="65A8F7C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E35BEEC"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EEA175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58F040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A9A780E"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2FC801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BC9AA8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29F9FD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60C2ACD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276D18AF"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1F58B8FC"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29A3785B" w14:textId="77777777" w:rsidTr="00F649E4">
        <w:trPr>
          <w:trHeight w:val="310"/>
        </w:trPr>
        <w:tc>
          <w:tcPr>
            <w:tcW w:w="1350" w:type="dxa"/>
            <w:tcBorders>
              <w:top w:val="nil"/>
              <w:left w:val="nil"/>
              <w:bottom w:val="nil"/>
              <w:right w:val="nil"/>
            </w:tcBorders>
            <w:shd w:val="clear" w:color="000000" w:fill="FFFFFF"/>
            <w:noWrap/>
            <w:vAlign w:val="bottom"/>
            <w:hideMark/>
          </w:tcPr>
          <w:p w14:paraId="5F25C3FF"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2</w:t>
            </w:r>
          </w:p>
        </w:tc>
        <w:tc>
          <w:tcPr>
            <w:tcW w:w="923" w:type="dxa"/>
            <w:tcBorders>
              <w:top w:val="nil"/>
              <w:left w:val="nil"/>
              <w:bottom w:val="nil"/>
              <w:right w:val="nil"/>
            </w:tcBorders>
            <w:shd w:val="clear" w:color="000000" w:fill="FFFFFF"/>
            <w:noWrap/>
            <w:hideMark/>
          </w:tcPr>
          <w:p w14:paraId="46DCF2C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55B117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1B9D32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0E65F9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0EE680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5194FD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7181A7C"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2BCCFC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007CD3A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4FCF670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62B089C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7D78A58E" w14:textId="77777777" w:rsidTr="00F649E4">
        <w:trPr>
          <w:trHeight w:val="310"/>
        </w:trPr>
        <w:tc>
          <w:tcPr>
            <w:tcW w:w="1350" w:type="dxa"/>
            <w:tcBorders>
              <w:top w:val="nil"/>
              <w:left w:val="nil"/>
              <w:bottom w:val="nil"/>
              <w:right w:val="nil"/>
            </w:tcBorders>
            <w:shd w:val="clear" w:color="000000" w:fill="FFFFFF"/>
            <w:noWrap/>
            <w:vAlign w:val="bottom"/>
            <w:hideMark/>
          </w:tcPr>
          <w:p w14:paraId="7F4D10B3"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3</w:t>
            </w:r>
          </w:p>
        </w:tc>
        <w:tc>
          <w:tcPr>
            <w:tcW w:w="923" w:type="dxa"/>
            <w:tcBorders>
              <w:top w:val="nil"/>
              <w:left w:val="nil"/>
              <w:bottom w:val="nil"/>
              <w:right w:val="nil"/>
            </w:tcBorders>
            <w:shd w:val="clear" w:color="000000" w:fill="FFFFFF"/>
            <w:noWrap/>
            <w:hideMark/>
          </w:tcPr>
          <w:p w14:paraId="4A86947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7FA99BC"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3E8887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AC89F9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D9F339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F8A98C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314906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6F434D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219C77F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0AB26D3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7A14727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0F6938F7" w14:textId="77777777" w:rsidTr="00F649E4">
        <w:trPr>
          <w:trHeight w:val="310"/>
        </w:trPr>
        <w:tc>
          <w:tcPr>
            <w:tcW w:w="1350" w:type="dxa"/>
            <w:tcBorders>
              <w:top w:val="nil"/>
              <w:left w:val="nil"/>
              <w:bottom w:val="nil"/>
              <w:right w:val="nil"/>
            </w:tcBorders>
            <w:shd w:val="clear" w:color="000000" w:fill="FFFFFF"/>
            <w:noWrap/>
            <w:vAlign w:val="bottom"/>
            <w:hideMark/>
          </w:tcPr>
          <w:p w14:paraId="187446E1"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4</w:t>
            </w:r>
          </w:p>
        </w:tc>
        <w:tc>
          <w:tcPr>
            <w:tcW w:w="923" w:type="dxa"/>
            <w:tcBorders>
              <w:top w:val="nil"/>
              <w:left w:val="nil"/>
              <w:bottom w:val="nil"/>
              <w:right w:val="nil"/>
            </w:tcBorders>
            <w:shd w:val="clear" w:color="000000" w:fill="FFFFFF"/>
            <w:noWrap/>
            <w:hideMark/>
          </w:tcPr>
          <w:p w14:paraId="3FCFD6D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2370E8C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D9F778F"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9BA6B3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6FAED9C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21E613E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296E9D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42951A1F"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1349" w:type="dxa"/>
            <w:tcBorders>
              <w:top w:val="nil"/>
              <w:left w:val="nil"/>
              <w:bottom w:val="nil"/>
              <w:right w:val="nil"/>
            </w:tcBorders>
            <w:shd w:val="clear" w:color="000000" w:fill="FFFFFF"/>
            <w:noWrap/>
            <w:hideMark/>
          </w:tcPr>
          <w:p w14:paraId="6D17E24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3</w:t>
            </w:r>
          </w:p>
        </w:tc>
        <w:tc>
          <w:tcPr>
            <w:tcW w:w="685" w:type="dxa"/>
            <w:tcBorders>
              <w:top w:val="nil"/>
              <w:left w:val="nil"/>
              <w:bottom w:val="nil"/>
              <w:right w:val="nil"/>
            </w:tcBorders>
            <w:shd w:val="clear" w:color="000000" w:fill="FFFFFF"/>
            <w:noWrap/>
            <w:hideMark/>
          </w:tcPr>
          <w:p w14:paraId="48501DB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.38</w:t>
            </w:r>
          </w:p>
        </w:tc>
        <w:tc>
          <w:tcPr>
            <w:tcW w:w="563" w:type="dxa"/>
            <w:tcBorders>
              <w:top w:val="nil"/>
              <w:left w:val="nil"/>
              <w:bottom w:val="nil"/>
              <w:right w:val="nil"/>
            </w:tcBorders>
            <w:shd w:val="clear" w:color="000000" w:fill="FFFFFF"/>
            <w:noWrap/>
            <w:hideMark/>
          </w:tcPr>
          <w:p w14:paraId="449125F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r>
      <w:tr w:rsidR="00181AD5" w:rsidRPr="00181AD5" w14:paraId="12576420" w14:textId="77777777" w:rsidTr="00F649E4">
        <w:trPr>
          <w:trHeight w:val="310"/>
        </w:trPr>
        <w:tc>
          <w:tcPr>
            <w:tcW w:w="1350" w:type="dxa"/>
            <w:tcBorders>
              <w:top w:val="nil"/>
              <w:left w:val="nil"/>
              <w:bottom w:val="nil"/>
              <w:right w:val="nil"/>
            </w:tcBorders>
            <w:shd w:val="clear" w:color="000000" w:fill="FFFFFF"/>
            <w:noWrap/>
            <w:vAlign w:val="bottom"/>
            <w:hideMark/>
          </w:tcPr>
          <w:p w14:paraId="52BB07DD"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5</w:t>
            </w:r>
          </w:p>
        </w:tc>
        <w:tc>
          <w:tcPr>
            <w:tcW w:w="923" w:type="dxa"/>
            <w:tcBorders>
              <w:top w:val="nil"/>
              <w:left w:val="nil"/>
              <w:bottom w:val="nil"/>
              <w:right w:val="nil"/>
            </w:tcBorders>
            <w:shd w:val="clear" w:color="000000" w:fill="FFFFFF"/>
            <w:noWrap/>
            <w:hideMark/>
          </w:tcPr>
          <w:p w14:paraId="6C29829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0F84153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92E3BD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DBA79A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55DAC22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456557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3F1A6CA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3C7577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1349" w:type="dxa"/>
            <w:tcBorders>
              <w:top w:val="nil"/>
              <w:left w:val="nil"/>
              <w:bottom w:val="nil"/>
              <w:right w:val="nil"/>
            </w:tcBorders>
            <w:shd w:val="clear" w:color="000000" w:fill="FFFFFF"/>
            <w:noWrap/>
            <w:hideMark/>
          </w:tcPr>
          <w:p w14:paraId="4173B31F"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4</w:t>
            </w:r>
          </w:p>
        </w:tc>
        <w:tc>
          <w:tcPr>
            <w:tcW w:w="685" w:type="dxa"/>
            <w:tcBorders>
              <w:top w:val="nil"/>
              <w:left w:val="nil"/>
              <w:bottom w:val="nil"/>
              <w:right w:val="nil"/>
            </w:tcBorders>
            <w:shd w:val="clear" w:color="000000" w:fill="FFFFFF"/>
            <w:noWrap/>
            <w:hideMark/>
          </w:tcPr>
          <w:p w14:paraId="0EAB70F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.50</w:t>
            </w:r>
          </w:p>
        </w:tc>
        <w:tc>
          <w:tcPr>
            <w:tcW w:w="563" w:type="dxa"/>
            <w:tcBorders>
              <w:top w:val="nil"/>
              <w:left w:val="nil"/>
              <w:bottom w:val="nil"/>
              <w:right w:val="nil"/>
            </w:tcBorders>
            <w:shd w:val="clear" w:color="000000" w:fill="FFFFFF"/>
            <w:noWrap/>
            <w:hideMark/>
          </w:tcPr>
          <w:p w14:paraId="6219C99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r>
      <w:tr w:rsidR="00181AD5" w:rsidRPr="00181AD5" w14:paraId="07156F53" w14:textId="77777777" w:rsidTr="00F649E4">
        <w:trPr>
          <w:trHeight w:val="310"/>
        </w:trPr>
        <w:tc>
          <w:tcPr>
            <w:tcW w:w="1350" w:type="dxa"/>
            <w:tcBorders>
              <w:top w:val="nil"/>
              <w:left w:val="nil"/>
              <w:bottom w:val="nil"/>
              <w:right w:val="nil"/>
            </w:tcBorders>
            <w:shd w:val="clear" w:color="000000" w:fill="FFFFFF"/>
            <w:noWrap/>
            <w:vAlign w:val="bottom"/>
            <w:hideMark/>
          </w:tcPr>
          <w:p w14:paraId="3DA8D0EE"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6</w:t>
            </w:r>
          </w:p>
        </w:tc>
        <w:tc>
          <w:tcPr>
            <w:tcW w:w="923" w:type="dxa"/>
            <w:tcBorders>
              <w:top w:val="nil"/>
              <w:left w:val="nil"/>
              <w:bottom w:val="nil"/>
              <w:right w:val="nil"/>
            </w:tcBorders>
            <w:shd w:val="clear" w:color="000000" w:fill="FFFFFF"/>
            <w:noWrap/>
            <w:hideMark/>
          </w:tcPr>
          <w:p w14:paraId="106401DF"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7A87F7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62E953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41FB73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FC4E7C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FFD014E"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827EDC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ED96FA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269CAE9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63E2796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02580DC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1DCD2BD9" w14:textId="77777777" w:rsidTr="00F649E4">
        <w:trPr>
          <w:trHeight w:val="310"/>
        </w:trPr>
        <w:tc>
          <w:tcPr>
            <w:tcW w:w="1350" w:type="dxa"/>
            <w:tcBorders>
              <w:top w:val="nil"/>
              <w:left w:val="nil"/>
              <w:bottom w:val="nil"/>
              <w:right w:val="nil"/>
            </w:tcBorders>
            <w:shd w:val="clear" w:color="000000" w:fill="FFFFFF"/>
            <w:noWrap/>
            <w:vAlign w:val="bottom"/>
            <w:hideMark/>
          </w:tcPr>
          <w:p w14:paraId="5C5C8970"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7</w:t>
            </w:r>
          </w:p>
        </w:tc>
        <w:tc>
          <w:tcPr>
            <w:tcW w:w="923" w:type="dxa"/>
            <w:tcBorders>
              <w:top w:val="nil"/>
              <w:left w:val="nil"/>
              <w:bottom w:val="nil"/>
              <w:right w:val="nil"/>
            </w:tcBorders>
            <w:shd w:val="clear" w:color="000000" w:fill="FFFFFF"/>
            <w:noWrap/>
            <w:hideMark/>
          </w:tcPr>
          <w:p w14:paraId="651166B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79D7D2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FD612E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29F554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5972AD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353F7E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759A19E"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49A28C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691C2AC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78A2A44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128545A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134B75A5" w14:textId="77777777" w:rsidTr="00F649E4">
        <w:trPr>
          <w:trHeight w:val="310"/>
        </w:trPr>
        <w:tc>
          <w:tcPr>
            <w:tcW w:w="1350" w:type="dxa"/>
            <w:tcBorders>
              <w:top w:val="nil"/>
              <w:left w:val="nil"/>
              <w:bottom w:val="nil"/>
              <w:right w:val="nil"/>
            </w:tcBorders>
            <w:shd w:val="clear" w:color="000000" w:fill="FFFFFF"/>
            <w:noWrap/>
            <w:vAlign w:val="bottom"/>
            <w:hideMark/>
          </w:tcPr>
          <w:p w14:paraId="6317EF0F"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8</w:t>
            </w:r>
          </w:p>
        </w:tc>
        <w:tc>
          <w:tcPr>
            <w:tcW w:w="923" w:type="dxa"/>
            <w:tcBorders>
              <w:top w:val="nil"/>
              <w:left w:val="nil"/>
              <w:bottom w:val="nil"/>
              <w:right w:val="nil"/>
            </w:tcBorders>
            <w:shd w:val="clear" w:color="000000" w:fill="FFFFFF"/>
            <w:noWrap/>
            <w:hideMark/>
          </w:tcPr>
          <w:p w14:paraId="283AFA6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9A40C3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576786C"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CF68F3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9E2065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F1A99D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A8BA8B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AD43A6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3AD0D3D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785C8E5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11CD7D4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0350AD6C" w14:textId="77777777" w:rsidTr="00F649E4">
        <w:trPr>
          <w:trHeight w:val="310"/>
        </w:trPr>
        <w:tc>
          <w:tcPr>
            <w:tcW w:w="1350" w:type="dxa"/>
            <w:tcBorders>
              <w:top w:val="nil"/>
              <w:left w:val="nil"/>
              <w:bottom w:val="nil"/>
              <w:right w:val="nil"/>
            </w:tcBorders>
            <w:shd w:val="clear" w:color="000000" w:fill="FFFFFF"/>
            <w:noWrap/>
            <w:vAlign w:val="bottom"/>
            <w:hideMark/>
          </w:tcPr>
          <w:p w14:paraId="50ECE98C"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9</w:t>
            </w:r>
          </w:p>
        </w:tc>
        <w:tc>
          <w:tcPr>
            <w:tcW w:w="923" w:type="dxa"/>
            <w:tcBorders>
              <w:top w:val="nil"/>
              <w:left w:val="nil"/>
              <w:bottom w:val="nil"/>
              <w:right w:val="nil"/>
            </w:tcBorders>
            <w:shd w:val="clear" w:color="000000" w:fill="FFFFFF"/>
            <w:noWrap/>
            <w:hideMark/>
          </w:tcPr>
          <w:p w14:paraId="2BC878F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4D4DAFE"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4E21E8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1B9521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D8E452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5FF76A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477D92E"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4D3A4EE"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266B3BE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7AE5763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4FF4F46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215A124D" w14:textId="77777777" w:rsidTr="00F649E4">
        <w:trPr>
          <w:trHeight w:val="310"/>
        </w:trPr>
        <w:tc>
          <w:tcPr>
            <w:tcW w:w="1350" w:type="dxa"/>
            <w:tcBorders>
              <w:top w:val="nil"/>
              <w:left w:val="nil"/>
              <w:bottom w:val="nil"/>
              <w:right w:val="nil"/>
            </w:tcBorders>
            <w:shd w:val="clear" w:color="000000" w:fill="FFFFFF"/>
            <w:noWrap/>
            <w:vAlign w:val="bottom"/>
            <w:hideMark/>
          </w:tcPr>
          <w:p w14:paraId="4919BCD5"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10</w:t>
            </w:r>
          </w:p>
        </w:tc>
        <w:tc>
          <w:tcPr>
            <w:tcW w:w="923" w:type="dxa"/>
            <w:tcBorders>
              <w:top w:val="nil"/>
              <w:left w:val="nil"/>
              <w:bottom w:val="nil"/>
              <w:right w:val="nil"/>
            </w:tcBorders>
            <w:shd w:val="clear" w:color="000000" w:fill="FFFFFF"/>
            <w:noWrap/>
            <w:hideMark/>
          </w:tcPr>
          <w:p w14:paraId="7B6E24D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4B88982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5241419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2C7D432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5C84E83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1CE15D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A27F2D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99B8B4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1F3A071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4</w:t>
            </w:r>
          </w:p>
        </w:tc>
        <w:tc>
          <w:tcPr>
            <w:tcW w:w="685" w:type="dxa"/>
            <w:tcBorders>
              <w:top w:val="nil"/>
              <w:left w:val="nil"/>
              <w:bottom w:val="nil"/>
              <w:right w:val="nil"/>
            </w:tcBorders>
            <w:shd w:val="clear" w:color="000000" w:fill="FFFFFF"/>
            <w:noWrap/>
            <w:hideMark/>
          </w:tcPr>
          <w:p w14:paraId="102EEC5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.50</w:t>
            </w:r>
          </w:p>
        </w:tc>
        <w:tc>
          <w:tcPr>
            <w:tcW w:w="563" w:type="dxa"/>
            <w:tcBorders>
              <w:top w:val="nil"/>
              <w:left w:val="nil"/>
              <w:bottom w:val="nil"/>
              <w:right w:val="nil"/>
            </w:tcBorders>
            <w:shd w:val="clear" w:color="000000" w:fill="FFFFFF"/>
            <w:noWrap/>
            <w:hideMark/>
          </w:tcPr>
          <w:p w14:paraId="732D065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r>
      <w:tr w:rsidR="00181AD5" w:rsidRPr="00181AD5" w14:paraId="006E2439" w14:textId="77777777" w:rsidTr="00F649E4">
        <w:trPr>
          <w:trHeight w:val="310"/>
        </w:trPr>
        <w:tc>
          <w:tcPr>
            <w:tcW w:w="1350" w:type="dxa"/>
            <w:tcBorders>
              <w:top w:val="nil"/>
              <w:left w:val="nil"/>
              <w:bottom w:val="nil"/>
              <w:right w:val="nil"/>
            </w:tcBorders>
            <w:shd w:val="clear" w:color="000000" w:fill="FFFFFF"/>
            <w:noWrap/>
            <w:vAlign w:val="bottom"/>
            <w:hideMark/>
          </w:tcPr>
          <w:p w14:paraId="177CD8D6"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11</w:t>
            </w:r>
          </w:p>
        </w:tc>
        <w:tc>
          <w:tcPr>
            <w:tcW w:w="923" w:type="dxa"/>
            <w:tcBorders>
              <w:top w:val="nil"/>
              <w:left w:val="nil"/>
              <w:bottom w:val="nil"/>
              <w:right w:val="nil"/>
            </w:tcBorders>
            <w:shd w:val="clear" w:color="000000" w:fill="FFFFFF"/>
            <w:noWrap/>
            <w:hideMark/>
          </w:tcPr>
          <w:p w14:paraId="2B973A7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3AA03CC"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C60A7E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315963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E2FB0C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69D167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3737CB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08550A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0572EE9C"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25387A0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02AEA14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53D7FDE2" w14:textId="77777777" w:rsidTr="00F649E4">
        <w:trPr>
          <w:trHeight w:val="310"/>
        </w:trPr>
        <w:tc>
          <w:tcPr>
            <w:tcW w:w="1350" w:type="dxa"/>
            <w:tcBorders>
              <w:top w:val="nil"/>
              <w:left w:val="nil"/>
              <w:bottom w:val="nil"/>
              <w:right w:val="nil"/>
            </w:tcBorders>
            <w:shd w:val="clear" w:color="000000" w:fill="FFFFFF"/>
            <w:noWrap/>
            <w:vAlign w:val="bottom"/>
            <w:hideMark/>
          </w:tcPr>
          <w:p w14:paraId="1C7042C1"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12</w:t>
            </w:r>
          </w:p>
        </w:tc>
        <w:tc>
          <w:tcPr>
            <w:tcW w:w="923" w:type="dxa"/>
            <w:tcBorders>
              <w:top w:val="nil"/>
              <w:left w:val="nil"/>
              <w:bottom w:val="nil"/>
              <w:right w:val="nil"/>
            </w:tcBorders>
            <w:shd w:val="clear" w:color="000000" w:fill="FFFFFF"/>
            <w:noWrap/>
            <w:hideMark/>
          </w:tcPr>
          <w:p w14:paraId="19BD986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198BD01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3BAD47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174B93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5F28A7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4B62B8E"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BB1AEE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A8F458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356B510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7</w:t>
            </w:r>
          </w:p>
        </w:tc>
        <w:tc>
          <w:tcPr>
            <w:tcW w:w="685" w:type="dxa"/>
            <w:tcBorders>
              <w:top w:val="nil"/>
              <w:left w:val="nil"/>
              <w:bottom w:val="nil"/>
              <w:right w:val="nil"/>
            </w:tcBorders>
            <w:shd w:val="clear" w:color="000000" w:fill="FFFFFF"/>
            <w:noWrap/>
            <w:hideMark/>
          </w:tcPr>
          <w:p w14:paraId="7110D64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.88</w:t>
            </w:r>
          </w:p>
        </w:tc>
        <w:tc>
          <w:tcPr>
            <w:tcW w:w="563" w:type="dxa"/>
            <w:tcBorders>
              <w:top w:val="nil"/>
              <w:left w:val="nil"/>
              <w:bottom w:val="nil"/>
              <w:right w:val="nil"/>
            </w:tcBorders>
            <w:shd w:val="clear" w:color="000000" w:fill="FFFFFF"/>
            <w:noWrap/>
            <w:hideMark/>
          </w:tcPr>
          <w:p w14:paraId="2DF9665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r>
      <w:tr w:rsidR="00181AD5" w:rsidRPr="00181AD5" w14:paraId="4E5DC0AA" w14:textId="77777777" w:rsidTr="00F649E4">
        <w:trPr>
          <w:trHeight w:val="310"/>
        </w:trPr>
        <w:tc>
          <w:tcPr>
            <w:tcW w:w="1350" w:type="dxa"/>
            <w:tcBorders>
              <w:top w:val="nil"/>
              <w:left w:val="nil"/>
              <w:bottom w:val="nil"/>
              <w:right w:val="nil"/>
            </w:tcBorders>
            <w:shd w:val="clear" w:color="000000" w:fill="FFFFFF"/>
            <w:noWrap/>
            <w:vAlign w:val="bottom"/>
            <w:hideMark/>
          </w:tcPr>
          <w:p w14:paraId="20339E9F"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13</w:t>
            </w:r>
          </w:p>
        </w:tc>
        <w:tc>
          <w:tcPr>
            <w:tcW w:w="923" w:type="dxa"/>
            <w:tcBorders>
              <w:top w:val="nil"/>
              <w:left w:val="nil"/>
              <w:bottom w:val="nil"/>
              <w:right w:val="nil"/>
            </w:tcBorders>
            <w:shd w:val="clear" w:color="000000" w:fill="FFFFFF"/>
            <w:noWrap/>
            <w:hideMark/>
          </w:tcPr>
          <w:p w14:paraId="7758F33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A78047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950F22C"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16755C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451A9C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BEBEB6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4B27E4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EA4061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7589C01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single" w:sz="4" w:space="0" w:color="auto"/>
              <w:right w:val="nil"/>
            </w:tcBorders>
            <w:shd w:val="clear" w:color="000000" w:fill="FFFFFF"/>
            <w:noWrap/>
            <w:hideMark/>
          </w:tcPr>
          <w:p w14:paraId="409A632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single" w:sz="4" w:space="0" w:color="auto"/>
              <w:right w:val="nil"/>
            </w:tcBorders>
            <w:shd w:val="clear" w:color="000000" w:fill="FFFFFF"/>
            <w:noWrap/>
            <w:hideMark/>
          </w:tcPr>
          <w:p w14:paraId="7DDACFA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76EC207A" w14:textId="77777777" w:rsidTr="00F649E4">
        <w:trPr>
          <w:trHeight w:val="310"/>
        </w:trPr>
        <w:tc>
          <w:tcPr>
            <w:tcW w:w="1350" w:type="dxa"/>
            <w:tcBorders>
              <w:top w:val="nil"/>
              <w:left w:val="nil"/>
              <w:bottom w:val="single" w:sz="4" w:space="0" w:color="auto"/>
              <w:right w:val="nil"/>
            </w:tcBorders>
            <w:shd w:val="clear" w:color="000000" w:fill="FFFFFF"/>
            <w:noWrap/>
            <w:vAlign w:val="bottom"/>
            <w:hideMark/>
          </w:tcPr>
          <w:p w14:paraId="7DB5292C"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hideMark/>
          </w:tcPr>
          <w:p w14:paraId="29F98102"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hideMark/>
          </w:tcPr>
          <w:p w14:paraId="63D705A9"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hideMark/>
          </w:tcPr>
          <w:p w14:paraId="4B011FBA"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hideMark/>
          </w:tcPr>
          <w:p w14:paraId="052AFBAA"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hideMark/>
          </w:tcPr>
          <w:p w14:paraId="5D055B1C"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hideMark/>
          </w:tcPr>
          <w:p w14:paraId="31851D69"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hideMark/>
          </w:tcPr>
          <w:p w14:paraId="5AC60F9F"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hideMark/>
          </w:tcPr>
          <w:p w14:paraId="7B5235BA"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1349" w:type="dxa"/>
            <w:tcBorders>
              <w:top w:val="nil"/>
              <w:left w:val="nil"/>
              <w:bottom w:val="nil"/>
              <w:right w:val="nil"/>
            </w:tcBorders>
            <w:shd w:val="clear" w:color="000000" w:fill="FFFFFF"/>
            <w:noWrap/>
            <w:hideMark/>
          </w:tcPr>
          <w:p w14:paraId="1BE42126"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S-CVI/Ave</w:t>
            </w:r>
          </w:p>
        </w:tc>
        <w:tc>
          <w:tcPr>
            <w:tcW w:w="685" w:type="dxa"/>
            <w:tcBorders>
              <w:top w:val="nil"/>
              <w:left w:val="nil"/>
              <w:bottom w:val="nil"/>
              <w:right w:val="nil"/>
            </w:tcBorders>
            <w:shd w:val="clear" w:color="000000" w:fill="FFFFFF"/>
            <w:noWrap/>
            <w:hideMark/>
          </w:tcPr>
          <w:p w14:paraId="19D87CF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.87</w:t>
            </w:r>
          </w:p>
        </w:tc>
        <w:tc>
          <w:tcPr>
            <w:tcW w:w="563" w:type="dxa"/>
            <w:tcBorders>
              <w:top w:val="nil"/>
              <w:left w:val="nil"/>
              <w:bottom w:val="nil"/>
              <w:right w:val="nil"/>
            </w:tcBorders>
            <w:shd w:val="clear" w:color="000000" w:fill="FFFFFF"/>
            <w:noWrap/>
            <w:hideMark/>
          </w:tcPr>
          <w:p w14:paraId="213E87CA"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r>
      <w:tr w:rsidR="00181AD5" w:rsidRPr="00181AD5" w14:paraId="3B87BCB4" w14:textId="77777777" w:rsidTr="00F649E4">
        <w:trPr>
          <w:trHeight w:val="620"/>
        </w:trPr>
        <w:tc>
          <w:tcPr>
            <w:tcW w:w="1350" w:type="dxa"/>
            <w:tcBorders>
              <w:top w:val="nil"/>
              <w:left w:val="nil"/>
              <w:bottom w:val="single" w:sz="4" w:space="0" w:color="auto"/>
              <w:right w:val="nil"/>
            </w:tcBorders>
            <w:shd w:val="clear" w:color="000000" w:fill="FFFFFF"/>
            <w:hideMark/>
          </w:tcPr>
          <w:p w14:paraId="5BA6EF31"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Proportion Relevance</w:t>
            </w:r>
          </w:p>
        </w:tc>
        <w:tc>
          <w:tcPr>
            <w:tcW w:w="923" w:type="dxa"/>
            <w:tcBorders>
              <w:top w:val="nil"/>
              <w:left w:val="nil"/>
              <w:bottom w:val="single" w:sz="4" w:space="0" w:color="auto"/>
              <w:right w:val="nil"/>
            </w:tcBorders>
            <w:shd w:val="clear" w:color="000000" w:fill="FFFFFF"/>
            <w:noWrap/>
            <w:vAlign w:val="center"/>
            <w:hideMark/>
          </w:tcPr>
          <w:p w14:paraId="2E3302D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.69</w:t>
            </w:r>
          </w:p>
        </w:tc>
        <w:tc>
          <w:tcPr>
            <w:tcW w:w="923" w:type="dxa"/>
            <w:tcBorders>
              <w:top w:val="nil"/>
              <w:left w:val="nil"/>
              <w:bottom w:val="single" w:sz="4" w:space="0" w:color="auto"/>
              <w:right w:val="nil"/>
            </w:tcBorders>
            <w:shd w:val="clear" w:color="000000" w:fill="FFFFFF"/>
            <w:noWrap/>
            <w:vAlign w:val="center"/>
            <w:hideMark/>
          </w:tcPr>
          <w:p w14:paraId="7600DC5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.85</w:t>
            </w:r>
          </w:p>
        </w:tc>
        <w:tc>
          <w:tcPr>
            <w:tcW w:w="923" w:type="dxa"/>
            <w:tcBorders>
              <w:top w:val="nil"/>
              <w:left w:val="nil"/>
              <w:bottom w:val="single" w:sz="4" w:space="0" w:color="auto"/>
              <w:right w:val="nil"/>
            </w:tcBorders>
            <w:shd w:val="clear" w:color="000000" w:fill="FFFFFF"/>
            <w:noWrap/>
            <w:vAlign w:val="center"/>
            <w:hideMark/>
          </w:tcPr>
          <w:p w14:paraId="1A12584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.92</w:t>
            </w:r>
          </w:p>
        </w:tc>
        <w:tc>
          <w:tcPr>
            <w:tcW w:w="923" w:type="dxa"/>
            <w:tcBorders>
              <w:top w:val="nil"/>
              <w:left w:val="nil"/>
              <w:bottom w:val="single" w:sz="4" w:space="0" w:color="auto"/>
              <w:right w:val="nil"/>
            </w:tcBorders>
            <w:shd w:val="clear" w:color="000000" w:fill="FFFFFF"/>
            <w:noWrap/>
            <w:vAlign w:val="center"/>
            <w:hideMark/>
          </w:tcPr>
          <w:p w14:paraId="4CD0EE0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.77</w:t>
            </w:r>
          </w:p>
        </w:tc>
        <w:tc>
          <w:tcPr>
            <w:tcW w:w="923" w:type="dxa"/>
            <w:tcBorders>
              <w:top w:val="nil"/>
              <w:left w:val="nil"/>
              <w:bottom w:val="single" w:sz="4" w:space="0" w:color="auto"/>
              <w:right w:val="nil"/>
            </w:tcBorders>
            <w:shd w:val="clear" w:color="000000" w:fill="FFFFFF"/>
            <w:noWrap/>
            <w:vAlign w:val="center"/>
            <w:hideMark/>
          </w:tcPr>
          <w:p w14:paraId="0647C39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.92</w:t>
            </w:r>
          </w:p>
        </w:tc>
        <w:tc>
          <w:tcPr>
            <w:tcW w:w="923" w:type="dxa"/>
            <w:tcBorders>
              <w:top w:val="nil"/>
              <w:left w:val="nil"/>
              <w:bottom w:val="single" w:sz="4" w:space="0" w:color="auto"/>
              <w:right w:val="nil"/>
            </w:tcBorders>
            <w:shd w:val="clear" w:color="000000" w:fill="FFFFFF"/>
            <w:noWrap/>
            <w:vAlign w:val="center"/>
            <w:hideMark/>
          </w:tcPr>
          <w:p w14:paraId="0A27D4F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.92</w:t>
            </w:r>
          </w:p>
        </w:tc>
        <w:tc>
          <w:tcPr>
            <w:tcW w:w="923" w:type="dxa"/>
            <w:tcBorders>
              <w:top w:val="nil"/>
              <w:left w:val="nil"/>
              <w:bottom w:val="single" w:sz="4" w:space="0" w:color="auto"/>
              <w:right w:val="nil"/>
            </w:tcBorders>
            <w:shd w:val="clear" w:color="000000" w:fill="FFFFFF"/>
            <w:noWrap/>
            <w:vAlign w:val="center"/>
            <w:hideMark/>
          </w:tcPr>
          <w:p w14:paraId="352208C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.92</w:t>
            </w:r>
          </w:p>
        </w:tc>
        <w:tc>
          <w:tcPr>
            <w:tcW w:w="923" w:type="dxa"/>
            <w:tcBorders>
              <w:top w:val="nil"/>
              <w:left w:val="nil"/>
              <w:bottom w:val="single" w:sz="4" w:space="0" w:color="auto"/>
              <w:right w:val="nil"/>
            </w:tcBorders>
            <w:shd w:val="clear" w:color="000000" w:fill="FFFFFF"/>
            <w:noWrap/>
            <w:vAlign w:val="center"/>
            <w:hideMark/>
          </w:tcPr>
          <w:p w14:paraId="75B6CC1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.85</w:t>
            </w:r>
          </w:p>
        </w:tc>
        <w:tc>
          <w:tcPr>
            <w:tcW w:w="1349" w:type="dxa"/>
            <w:tcBorders>
              <w:top w:val="nil"/>
              <w:left w:val="nil"/>
              <w:bottom w:val="single" w:sz="4" w:space="0" w:color="auto"/>
              <w:right w:val="nil"/>
            </w:tcBorders>
            <w:shd w:val="clear" w:color="000000" w:fill="FFFFFF"/>
            <w:noWrap/>
            <w:vAlign w:val="center"/>
            <w:hideMark/>
          </w:tcPr>
          <w:p w14:paraId="00BFC754"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S-CVI/UA</w:t>
            </w:r>
          </w:p>
        </w:tc>
        <w:tc>
          <w:tcPr>
            <w:tcW w:w="685" w:type="dxa"/>
            <w:tcBorders>
              <w:top w:val="nil"/>
              <w:left w:val="nil"/>
              <w:bottom w:val="single" w:sz="4" w:space="0" w:color="auto"/>
              <w:right w:val="nil"/>
            </w:tcBorders>
            <w:shd w:val="clear" w:color="000000" w:fill="FFFFFF"/>
            <w:noWrap/>
            <w:vAlign w:val="center"/>
            <w:hideMark/>
          </w:tcPr>
          <w:p w14:paraId="584E8D7F"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563" w:type="dxa"/>
            <w:tcBorders>
              <w:top w:val="nil"/>
              <w:left w:val="nil"/>
              <w:bottom w:val="single" w:sz="4" w:space="0" w:color="auto"/>
              <w:right w:val="nil"/>
            </w:tcBorders>
            <w:shd w:val="clear" w:color="000000" w:fill="FFFFFF"/>
            <w:noWrap/>
            <w:vAlign w:val="center"/>
            <w:hideMark/>
          </w:tcPr>
          <w:p w14:paraId="589732E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.69</w:t>
            </w:r>
          </w:p>
        </w:tc>
      </w:tr>
      <w:tr w:rsidR="00181AD5" w:rsidRPr="00181AD5" w14:paraId="36AB72F7" w14:textId="77777777" w:rsidTr="00F649E4">
        <w:trPr>
          <w:trHeight w:val="310"/>
        </w:trPr>
        <w:tc>
          <w:tcPr>
            <w:tcW w:w="1350" w:type="dxa"/>
            <w:tcBorders>
              <w:top w:val="nil"/>
              <w:left w:val="nil"/>
              <w:bottom w:val="nil"/>
              <w:right w:val="nil"/>
            </w:tcBorders>
            <w:shd w:val="clear" w:color="000000" w:fill="FFFFFF"/>
            <w:hideMark/>
          </w:tcPr>
          <w:p w14:paraId="615F0C7F"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 </w:t>
            </w:r>
          </w:p>
        </w:tc>
        <w:tc>
          <w:tcPr>
            <w:tcW w:w="923" w:type="dxa"/>
            <w:tcBorders>
              <w:top w:val="nil"/>
              <w:left w:val="nil"/>
              <w:bottom w:val="nil"/>
              <w:right w:val="nil"/>
            </w:tcBorders>
            <w:shd w:val="clear" w:color="000000" w:fill="FFFFFF"/>
            <w:noWrap/>
            <w:vAlign w:val="center"/>
            <w:hideMark/>
          </w:tcPr>
          <w:p w14:paraId="166F4C7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nil"/>
              <w:right w:val="nil"/>
            </w:tcBorders>
            <w:shd w:val="clear" w:color="000000" w:fill="FFFFFF"/>
            <w:noWrap/>
            <w:vAlign w:val="center"/>
            <w:hideMark/>
          </w:tcPr>
          <w:p w14:paraId="46D4388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nil"/>
              <w:right w:val="nil"/>
            </w:tcBorders>
            <w:shd w:val="clear" w:color="000000" w:fill="FFFFFF"/>
            <w:noWrap/>
            <w:vAlign w:val="center"/>
            <w:hideMark/>
          </w:tcPr>
          <w:p w14:paraId="56899D0F"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nil"/>
              <w:right w:val="nil"/>
            </w:tcBorders>
            <w:shd w:val="clear" w:color="000000" w:fill="FFFFFF"/>
            <w:noWrap/>
            <w:vAlign w:val="center"/>
            <w:hideMark/>
          </w:tcPr>
          <w:p w14:paraId="785B389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nil"/>
              <w:right w:val="nil"/>
            </w:tcBorders>
            <w:shd w:val="clear" w:color="000000" w:fill="FFFFFF"/>
            <w:noWrap/>
            <w:vAlign w:val="center"/>
            <w:hideMark/>
          </w:tcPr>
          <w:p w14:paraId="5E97DC0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nil"/>
              <w:right w:val="nil"/>
            </w:tcBorders>
            <w:shd w:val="clear" w:color="000000" w:fill="FFFFFF"/>
            <w:noWrap/>
            <w:vAlign w:val="center"/>
            <w:hideMark/>
          </w:tcPr>
          <w:p w14:paraId="02E05E6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nil"/>
              <w:right w:val="nil"/>
            </w:tcBorders>
            <w:shd w:val="clear" w:color="000000" w:fill="FFFFFF"/>
            <w:noWrap/>
            <w:vAlign w:val="center"/>
            <w:hideMark/>
          </w:tcPr>
          <w:p w14:paraId="7492137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nil"/>
              <w:right w:val="nil"/>
            </w:tcBorders>
            <w:shd w:val="clear" w:color="000000" w:fill="FFFFFF"/>
            <w:noWrap/>
            <w:vAlign w:val="center"/>
            <w:hideMark/>
          </w:tcPr>
          <w:p w14:paraId="2301C71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1349" w:type="dxa"/>
            <w:tcBorders>
              <w:top w:val="nil"/>
              <w:left w:val="nil"/>
              <w:bottom w:val="nil"/>
              <w:right w:val="nil"/>
            </w:tcBorders>
            <w:shd w:val="clear" w:color="000000" w:fill="FFFFFF"/>
            <w:noWrap/>
            <w:vAlign w:val="center"/>
            <w:hideMark/>
          </w:tcPr>
          <w:p w14:paraId="163F04A3"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 </w:t>
            </w:r>
          </w:p>
        </w:tc>
        <w:tc>
          <w:tcPr>
            <w:tcW w:w="685" w:type="dxa"/>
            <w:tcBorders>
              <w:top w:val="nil"/>
              <w:left w:val="nil"/>
              <w:bottom w:val="nil"/>
              <w:right w:val="nil"/>
            </w:tcBorders>
            <w:shd w:val="clear" w:color="000000" w:fill="FFFFFF"/>
            <w:noWrap/>
            <w:vAlign w:val="center"/>
            <w:hideMark/>
          </w:tcPr>
          <w:p w14:paraId="0AA1A7CD"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563" w:type="dxa"/>
            <w:tcBorders>
              <w:top w:val="nil"/>
              <w:left w:val="nil"/>
              <w:bottom w:val="nil"/>
              <w:right w:val="nil"/>
            </w:tcBorders>
            <w:shd w:val="clear" w:color="000000" w:fill="FFFFFF"/>
            <w:noWrap/>
            <w:vAlign w:val="center"/>
            <w:hideMark/>
          </w:tcPr>
          <w:p w14:paraId="76AF1AFE"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r>
      <w:tr w:rsidR="00181AD5" w:rsidRPr="00181AD5" w14:paraId="640AC4FE" w14:textId="77777777" w:rsidTr="00F649E4">
        <w:trPr>
          <w:trHeight w:val="310"/>
        </w:trPr>
        <w:tc>
          <w:tcPr>
            <w:tcW w:w="10083" w:type="dxa"/>
            <w:gridSpan w:val="10"/>
            <w:tcBorders>
              <w:top w:val="nil"/>
              <w:left w:val="nil"/>
              <w:bottom w:val="single" w:sz="4" w:space="0" w:color="auto"/>
              <w:right w:val="nil"/>
            </w:tcBorders>
            <w:shd w:val="clear" w:color="000000" w:fill="FFFFFF"/>
            <w:noWrap/>
            <w:vAlign w:val="bottom"/>
            <w:hideMark/>
          </w:tcPr>
          <w:p w14:paraId="6A664EC3" w14:textId="79F4E340"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b/>
                <w:bCs/>
                <w:color w:val="000000"/>
                <w:kern w:val="0"/>
                <w:szCs w:val="24"/>
                <w14:ligatures w14:val="none"/>
              </w:rPr>
              <w:t xml:space="preserve">Table. </w:t>
            </w:r>
            <w:r w:rsidR="008D5509">
              <w:rPr>
                <w:rFonts w:eastAsia="Times New Roman" w:cs="Times New Roman"/>
                <w:b/>
                <w:bCs/>
                <w:color w:val="000000"/>
                <w:kern w:val="0"/>
                <w:szCs w:val="24"/>
                <w14:ligatures w14:val="none"/>
              </w:rPr>
              <w:t>4</w:t>
            </w:r>
            <w:r w:rsidRPr="00181AD5">
              <w:rPr>
                <w:rFonts w:eastAsia="Times New Roman" w:cs="Times New Roman"/>
                <w:b/>
                <w:bCs/>
                <w:color w:val="000000"/>
                <w:kern w:val="0"/>
                <w:szCs w:val="24"/>
                <w14:ligatures w14:val="none"/>
              </w:rPr>
              <w:t xml:space="preserve">. </w:t>
            </w:r>
            <w:r w:rsidRPr="00181AD5">
              <w:rPr>
                <w:rFonts w:eastAsia="Times New Roman" w:cs="Times New Roman"/>
                <w:color w:val="000000"/>
                <w:kern w:val="0"/>
                <w:szCs w:val="24"/>
                <w14:ligatures w14:val="none"/>
              </w:rPr>
              <w:t xml:space="preserve">The relevance ratings on the item scale by eight experts (two items deleted)  </w:t>
            </w:r>
          </w:p>
        </w:tc>
        <w:tc>
          <w:tcPr>
            <w:tcW w:w="685" w:type="dxa"/>
            <w:tcBorders>
              <w:top w:val="nil"/>
              <w:left w:val="nil"/>
              <w:bottom w:val="single" w:sz="4" w:space="0" w:color="auto"/>
              <w:right w:val="nil"/>
            </w:tcBorders>
            <w:shd w:val="clear" w:color="000000" w:fill="FFFFFF"/>
            <w:noWrap/>
            <w:vAlign w:val="bottom"/>
            <w:hideMark/>
          </w:tcPr>
          <w:p w14:paraId="71E8714B"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563" w:type="dxa"/>
            <w:tcBorders>
              <w:top w:val="nil"/>
              <w:left w:val="nil"/>
              <w:bottom w:val="single" w:sz="4" w:space="0" w:color="auto"/>
              <w:right w:val="nil"/>
            </w:tcBorders>
            <w:shd w:val="clear" w:color="000000" w:fill="FFFFFF"/>
            <w:noWrap/>
            <w:vAlign w:val="bottom"/>
            <w:hideMark/>
          </w:tcPr>
          <w:p w14:paraId="7D4F3E02"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r>
      <w:tr w:rsidR="00181AD5" w:rsidRPr="00181AD5" w14:paraId="44C4CFB9" w14:textId="77777777" w:rsidTr="00F649E4">
        <w:trPr>
          <w:trHeight w:val="620"/>
        </w:trPr>
        <w:tc>
          <w:tcPr>
            <w:tcW w:w="1350" w:type="dxa"/>
            <w:tcBorders>
              <w:top w:val="nil"/>
              <w:left w:val="nil"/>
              <w:bottom w:val="single" w:sz="4" w:space="0" w:color="auto"/>
              <w:right w:val="nil"/>
            </w:tcBorders>
            <w:shd w:val="clear" w:color="000000" w:fill="FFFFFF"/>
            <w:noWrap/>
            <w:vAlign w:val="bottom"/>
            <w:hideMark/>
          </w:tcPr>
          <w:p w14:paraId="0C341E44"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vAlign w:val="bottom"/>
            <w:hideMark/>
          </w:tcPr>
          <w:p w14:paraId="4679CFF3"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One</w:t>
            </w:r>
          </w:p>
        </w:tc>
        <w:tc>
          <w:tcPr>
            <w:tcW w:w="923" w:type="dxa"/>
            <w:tcBorders>
              <w:top w:val="nil"/>
              <w:left w:val="nil"/>
              <w:bottom w:val="single" w:sz="4" w:space="0" w:color="auto"/>
              <w:right w:val="nil"/>
            </w:tcBorders>
            <w:shd w:val="clear" w:color="000000" w:fill="FFFFFF"/>
            <w:vAlign w:val="bottom"/>
            <w:hideMark/>
          </w:tcPr>
          <w:p w14:paraId="4A2B6E6D"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Two</w:t>
            </w:r>
          </w:p>
        </w:tc>
        <w:tc>
          <w:tcPr>
            <w:tcW w:w="923" w:type="dxa"/>
            <w:tcBorders>
              <w:top w:val="nil"/>
              <w:left w:val="nil"/>
              <w:bottom w:val="single" w:sz="4" w:space="0" w:color="auto"/>
              <w:right w:val="nil"/>
            </w:tcBorders>
            <w:shd w:val="clear" w:color="000000" w:fill="FFFFFF"/>
            <w:vAlign w:val="bottom"/>
            <w:hideMark/>
          </w:tcPr>
          <w:p w14:paraId="7F381A92"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Three</w:t>
            </w:r>
          </w:p>
        </w:tc>
        <w:tc>
          <w:tcPr>
            <w:tcW w:w="923" w:type="dxa"/>
            <w:tcBorders>
              <w:top w:val="nil"/>
              <w:left w:val="nil"/>
              <w:bottom w:val="single" w:sz="4" w:space="0" w:color="auto"/>
              <w:right w:val="nil"/>
            </w:tcBorders>
            <w:shd w:val="clear" w:color="000000" w:fill="FFFFFF"/>
            <w:vAlign w:val="bottom"/>
            <w:hideMark/>
          </w:tcPr>
          <w:p w14:paraId="26603E1D"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Four</w:t>
            </w:r>
          </w:p>
        </w:tc>
        <w:tc>
          <w:tcPr>
            <w:tcW w:w="923" w:type="dxa"/>
            <w:tcBorders>
              <w:top w:val="nil"/>
              <w:left w:val="nil"/>
              <w:bottom w:val="single" w:sz="4" w:space="0" w:color="auto"/>
              <w:right w:val="nil"/>
            </w:tcBorders>
            <w:shd w:val="clear" w:color="000000" w:fill="FFFFFF"/>
            <w:vAlign w:val="bottom"/>
            <w:hideMark/>
          </w:tcPr>
          <w:p w14:paraId="553BA7BD"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Five</w:t>
            </w:r>
          </w:p>
        </w:tc>
        <w:tc>
          <w:tcPr>
            <w:tcW w:w="923" w:type="dxa"/>
            <w:tcBorders>
              <w:top w:val="nil"/>
              <w:left w:val="nil"/>
              <w:bottom w:val="single" w:sz="4" w:space="0" w:color="auto"/>
              <w:right w:val="nil"/>
            </w:tcBorders>
            <w:shd w:val="clear" w:color="000000" w:fill="FFFFFF"/>
            <w:vAlign w:val="bottom"/>
            <w:hideMark/>
          </w:tcPr>
          <w:p w14:paraId="6C9EE941"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Six</w:t>
            </w:r>
          </w:p>
        </w:tc>
        <w:tc>
          <w:tcPr>
            <w:tcW w:w="923" w:type="dxa"/>
            <w:tcBorders>
              <w:top w:val="nil"/>
              <w:left w:val="nil"/>
              <w:bottom w:val="single" w:sz="4" w:space="0" w:color="auto"/>
              <w:right w:val="nil"/>
            </w:tcBorders>
            <w:shd w:val="clear" w:color="000000" w:fill="FFFFFF"/>
            <w:vAlign w:val="bottom"/>
            <w:hideMark/>
          </w:tcPr>
          <w:p w14:paraId="27675C86"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Seven</w:t>
            </w:r>
          </w:p>
        </w:tc>
        <w:tc>
          <w:tcPr>
            <w:tcW w:w="923" w:type="dxa"/>
            <w:tcBorders>
              <w:top w:val="nil"/>
              <w:left w:val="nil"/>
              <w:bottom w:val="single" w:sz="4" w:space="0" w:color="auto"/>
              <w:right w:val="nil"/>
            </w:tcBorders>
            <w:shd w:val="clear" w:color="000000" w:fill="FFFFFF"/>
            <w:vAlign w:val="bottom"/>
            <w:hideMark/>
          </w:tcPr>
          <w:p w14:paraId="43554889"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Eight</w:t>
            </w:r>
          </w:p>
        </w:tc>
        <w:tc>
          <w:tcPr>
            <w:tcW w:w="1349" w:type="dxa"/>
            <w:tcBorders>
              <w:top w:val="nil"/>
              <w:left w:val="nil"/>
              <w:bottom w:val="single" w:sz="4" w:space="0" w:color="auto"/>
              <w:right w:val="nil"/>
            </w:tcBorders>
            <w:shd w:val="clear" w:color="000000" w:fill="FFFFFF"/>
            <w:vAlign w:val="bottom"/>
            <w:hideMark/>
          </w:tcPr>
          <w:p w14:paraId="39CC9107"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Expert in Agreement</w:t>
            </w:r>
          </w:p>
        </w:tc>
        <w:tc>
          <w:tcPr>
            <w:tcW w:w="685" w:type="dxa"/>
            <w:tcBorders>
              <w:top w:val="nil"/>
              <w:left w:val="nil"/>
              <w:bottom w:val="single" w:sz="4" w:space="0" w:color="auto"/>
              <w:right w:val="nil"/>
            </w:tcBorders>
            <w:shd w:val="clear" w:color="000000" w:fill="FFFFFF"/>
            <w:vAlign w:val="bottom"/>
            <w:hideMark/>
          </w:tcPr>
          <w:p w14:paraId="77E48A8A"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I-CVI</w:t>
            </w:r>
          </w:p>
        </w:tc>
        <w:tc>
          <w:tcPr>
            <w:tcW w:w="563" w:type="dxa"/>
            <w:tcBorders>
              <w:top w:val="nil"/>
              <w:left w:val="nil"/>
              <w:bottom w:val="single" w:sz="4" w:space="0" w:color="auto"/>
              <w:right w:val="nil"/>
            </w:tcBorders>
            <w:shd w:val="clear" w:color="000000" w:fill="FFFFFF"/>
            <w:vAlign w:val="bottom"/>
            <w:hideMark/>
          </w:tcPr>
          <w:p w14:paraId="15A3B789" w14:textId="77777777" w:rsidR="00181AD5" w:rsidRPr="00181AD5" w:rsidRDefault="00181AD5" w:rsidP="00181AD5">
            <w:pPr>
              <w:spacing w:after="0" w:line="240" w:lineRule="auto"/>
              <w:jc w:val="center"/>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UA</w:t>
            </w:r>
          </w:p>
        </w:tc>
      </w:tr>
      <w:tr w:rsidR="00181AD5" w:rsidRPr="00181AD5" w14:paraId="66A11CA0" w14:textId="77777777" w:rsidTr="00F649E4">
        <w:trPr>
          <w:trHeight w:val="310"/>
        </w:trPr>
        <w:tc>
          <w:tcPr>
            <w:tcW w:w="1350" w:type="dxa"/>
            <w:tcBorders>
              <w:top w:val="nil"/>
              <w:left w:val="nil"/>
              <w:bottom w:val="nil"/>
              <w:right w:val="nil"/>
            </w:tcBorders>
            <w:shd w:val="clear" w:color="000000" w:fill="FFFFFF"/>
            <w:noWrap/>
            <w:vAlign w:val="bottom"/>
            <w:hideMark/>
          </w:tcPr>
          <w:p w14:paraId="4D61B496"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1</w:t>
            </w:r>
          </w:p>
        </w:tc>
        <w:tc>
          <w:tcPr>
            <w:tcW w:w="923" w:type="dxa"/>
            <w:tcBorders>
              <w:top w:val="nil"/>
              <w:left w:val="nil"/>
              <w:bottom w:val="nil"/>
              <w:right w:val="nil"/>
            </w:tcBorders>
            <w:shd w:val="clear" w:color="000000" w:fill="FFFFFF"/>
            <w:noWrap/>
            <w:hideMark/>
          </w:tcPr>
          <w:p w14:paraId="3859CA2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7AD87C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73E7A9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2F1CD8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16638E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9A23B6F"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FCED44E"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CB3C36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575B0A4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5AA5F57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2BC6045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5AB7A9EC" w14:textId="77777777" w:rsidTr="00F649E4">
        <w:trPr>
          <w:trHeight w:val="310"/>
        </w:trPr>
        <w:tc>
          <w:tcPr>
            <w:tcW w:w="1350" w:type="dxa"/>
            <w:tcBorders>
              <w:top w:val="nil"/>
              <w:left w:val="nil"/>
              <w:bottom w:val="nil"/>
              <w:right w:val="nil"/>
            </w:tcBorders>
            <w:shd w:val="clear" w:color="000000" w:fill="FFFFFF"/>
            <w:noWrap/>
            <w:vAlign w:val="bottom"/>
            <w:hideMark/>
          </w:tcPr>
          <w:p w14:paraId="4DD4079B"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2</w:t>
            </w:r>
          </w:p>
        </w:tc>
        <w:tc>
          <w:tcPr>
            <w:tcW w:w="923" w:type="dxa"/>
            <w:tcBorders>
              <w:top w:val="nil"/>
              <w:left w:val="nil"/>
              <w:bottom w:val="nil"/>
              <w:right w:val="nil"/>
            </w:tcBorders>
            <w:shd w:val="clear" w:color="000000" w:fill="FFFFFF"/>
            <w:noWrap/>
            <w:hideMark/>
          </w:tcPr>
          <w:p w14:paraId="5A34AB3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19911A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847281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CDA77F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439F92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F17471F"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B104BD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B39B62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500D70C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2EAC32C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1F249D6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3DC11BE1" w14:textId="77777777" w:rsidTr="00F649E4">
        <w:trPr>
          <w:trHeight w:val="310"/>
        </w:trPr>
        <w:tc>
          <w:tcPr>
            <w:tcW w:w="1350" w:type="dxa"/>
            <w:tcBorders>
              <w:top w:val="nil"/>
              <w:left w:val="nil"/>
              <w:bottom w:val="nil"/>
              <w:right w:val="nil"/>
            </w:tcBorders>
            <w:shd w:val="clear" w:color="000000" w:fill="FFFFFF"/>
            <w:noWrap/>
            <w:vAlign w:val="bottom"/>
            <w:hideMark/>
          </w:tcPr>
          <w:p w14:paraId="52FEA856"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3</w:t>
            </w:r>
          </w:p>
        </w:tc>
        <w:tc>
          <w:tcPr>
            <w:tcW w:w="923" w:type="dxa"/>
            <w:tcBorders>
              <w:top w:val="nil"/>
              <w:left w:val="nil"/>
              <w:bottom w:val="nil"/>
              <w:right w:val="nil"/>
            </w:tcBorders>
            <w:shd w:val="clear" w:color="000000" w:fill="FFFFFF"/>
            <w:noWrap/>
            <w:hideMark/>
          </w:tcPr>
          <w:p w14:paraId="0E8CD0C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B31F42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66F524E"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7B55CA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3AFE56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E009AD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8416F6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15B332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42C5771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2C76A21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5E354C6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516278AA" w14:textId="77777777" w:rsidTr="00F649E4">
        <w:trPr>
          <w:trHeight w:val="310"/>
        </w:trPr>
        <w:tc>
          <w:tcPr>
            <w:tcW w:w="1350" w:type="dxa"/>
            <w:tcBorders>
              <w:top w:val="nil"/>
              <w:left w:val="nil"/>
              <w:bottom w:val="nil"/>
              <w:right w:val="nil"/>
            </w:tcBorders>
            <w:shd w:val="clear" w:color="000000" w:fill="FFFFFF"/>
            <w:noWrap/>
            <w:vAlign w:val="bottom"/>
            <w:hideMark/>
          </w:tcPr>
          <w:p w14:paraId="3457685F"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6</w:t>
            </w:r>
          </w:p>
        </w:tc>
        <w:tc>
          <w:tcPr>
            <w:tcW w:w="923" w:type="dxa"/>
            <w:tcBorders>
              <w:top w:val="nil"/>
              <w:left w:val="nil"/>
              <w:bottom w:val="nil"/>
              <w:right w:val="nil"/>
            </w:tcBorders>
            <w:shd w:val="clear" w:color="000000" w:fill="FFFFFF"/>
            <w:noWrap/>
            <w:hideMark/>
          </w:tcPr>
          <w:p w14:paraId="184BD1FE"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FC3A9B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052539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15D31E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F503C4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425D52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A6EECB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C7C277C"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3203955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4E84130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3BDABBC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75312A53" w14:textId="77777777" w:rsidTr="00F649E4">
        <w:trPr>
          <w:trHeight w:val="310"/>
        </w:trPr>
        <w:tc>
          <w:tcPr>
            <w:tcW w:w="1350" w:type="dxa"/>
            <w:tcBorders>
              <w:top w:val="nil"/>
              <w:left w:val="nil"/>
              <w:bottom w:val="nil"/>
              <w:right w:val="nil"/>
            </w:tcBorders>
            <w:shd w:val="clear" w:color="000000" w:fill="FFFFFF"/>
            <w:noWrap/>
            <w:vAlign w:val="bottom"/>
            <w:hideMark/>
          </w:tcPr>
          <w:p w14:paraId="49BBF483"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lastRenderedPageBreak/>
              <w:t>Item 7</w:t>
            </w:r>
          </w:p>
        </w:tc>
        <w:tc>
          <w:tcPr>
            <w:tcW w:w="923" w:type="dxa"/>
            <w:tcBorders>
              <w:top w:val="nil"/>
              <w:left w:val="nil"/>
              <w:bottom w:val="nil"/>
              <w:right w:val="nil"/>
            </w:tcBorders>
            <w:shd w:val="clear" w:color="000000" w:fill="FFFFFF"/>
            <w:noWrap/>
            <w:hideMark/>
          </w:tcPr>
          <w:p w14:paraId="4AA02ED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E32B5F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A7CA5B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AEE529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3E3677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604F65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76AD3E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850012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20495D3C"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398A8A6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12EBA54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7E962CC4" w14:textId="77777777" w:rsidTr="00F649E4">
        <w:trPr>
          <w:trHeight w:val="310"/>
        </w:trPr>
        <w:tc>
          <w:tcPr>
            <w:tcW w:w="1350" w:type="dxa"/>
            <w:tcBorders>
              <w:top w:val="nil"/>
              <w:left w:val="nil"/>
              <w:bottom w:val="nil"/>
              <w:right w:val="nil"/>
            </w:tcBorders>
            <w:shd w:val="clear" w:color="000000" w:fill="FFFFFF"/>
            <w:noWrap/>
            <w:vAlign w:val="bottom"/>
            <w:hideMark/>
          </w:tcPr>
          <w:p w14:paraId="7A31AA8F"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8</w:t>
            </w:r>
          </w:p>
        </w:tc>
        <w:tc>
          <w:tcPr>
            <w:tcW w:w="923" w:type="dxa"/>
            <w:tcBorders>
              <w:top w:val="nil"/>
              <w:left w:val="nil"/>
              <w:bottom w:val="nil"/>
              <w:right w:val="nil"/>
            </w:tcBorders>
            <w:shd w:val="clear" w:color="000000" w:fill="FFFFFF"/>
            <w:noWrap/>
            <w:hideMark/>
          </w:tcPr>
          <w:p w14:paraId="5E692C4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3D3A0A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8C6840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2C4C3B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194E08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7776D5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BAAA70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CD5A9B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4BDC3E2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5B4916E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1DFFEF9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7FE88D73" w14:textId="77777777" w:rsidTr="00F649E4">
        <w:trPr>
          <w:trHeight w:val="310"/>
        </w:trPr>
        <w:tc>
          <w:tcPr>
            <w:tcW w:w="1350" w:type="dxa"/>
            <w:tcBorders>
              <w:top w:val="nil"/>
              <w:left w:val="nil"/>
              <w:bottom w:val="nil"/>
              <w:right w:val="nil"/>
            </w:tcBorders>
            <w:shd w:val="clear" w:color="000000" w:fill="FFFFFF"/>
            <w:noWrap/>
            <w:vAlign w:val="bottom"/>
            <w:hideMark/>
          </w:tcPr>
          <w:p w14:paraId="62406A04"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9</w:t>
            </w:r>
          </w:p>
        </w:tc>
        <w:tc>
          <w:tcPr>
            <w:tcW w:w="923" w:type="dxa"/>
            <w:tcBorders>
              <w:top w:val="nil"/>
              <w:left w:val="nil"/>
              <w:bottom w:val="nil"/>
              <w:right w:val="nil"/>
            </w:tcBorders>
            <w:shd w:val="clear" w:color="000000" w:fill="FFFFFF"/>
            <w:noWrap/>
            <w:hideMark/>
          </w:tcPr>
          <w:p w14:paraId="5C2FFD6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81881F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F3E2FF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FC273F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1E799C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D03595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486FD4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9AE654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026F42C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0160E5A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7D56A44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494616A0" w14:textId="77777777" w:rsidTr="00F649E4">
        <w:trPr>
          <w:trHeight w:val="310"/>
        </w:trPr>
        <w:tc>
          <w:tcPr>
            <w:tcW w:w="1350" w:type="dxa"/>
            <w:tcBorders>
              <w:top w:val="nil"/>
              <w:left w:val="nil"/>
              <w:bottom w:val="nil"/>
              <w:right w:val="nil"/>
            </w:tcBorders>
            <w:shd w:val="clear" w:color="000000" w:fill="FFFFFF"/>
            <w:noWrap/>
            <w:vAlign w:val="bottom"/>
            <w:hideMark/>
          </w:tcPr>
          <w:p w14:paraId="17877030"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10</w:t>
            </w:r>
          </w:p>
        </w:tc>
        <w:tc>
          <w:tcPr>
            <w:tcW w:w="923" w:type="dxa"/>
            <w:tcBorders>
              <w:top w:val="nil"/>
              <w:left w:val="nil"/>
              <w:bottom w:val="nil"/>
              <w:right w:val="nil"/>
            </w:tcBorders>
            <w:shd w:val="clear" w:color="000000" w:fill="FFFFFF"/>
            <w:noWrap/>
            <w:hideMark/>
          </w:tcPr>
          <w:p w14:paraId="41E79B3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6D3A1BD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6949F96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55F2454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4A58929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2FD07A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01C104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4FA92F8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2890858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4</w:t>
            </w:r>
          </w:p>
        </w:tc>
        <w:tc>
          <w:tcPr>
            <w:tcW w:w="685" w:type="dxa"/>
            <w:tcBorders>
              <w:top w:val="nil"/>
              <w:left w:val="nil"/>
              <w:bottom w:val="nil"/>
              <w:right w:val="nil"/>
            </w:tcBorders>
            <w:shd w:val="clear" w:color="000000" w:fill="FFFFFF"/>
            <w:noWrap/>
            <w:hideMark/>
          </w:tcPr>
          <w:p w14:paraId="4B5EE16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.50</w:t>
            </w:r>
          </w:p>
        </w:tc>
        <w:tc>
          <w:tcPr>
            <w:tcW w:w="563" w:type="dxa"/>
            <w:tcBorders>
              <w:top w:val="nil"/>
              <w:left w:val="nil"/>
              <w:bottom w:val="nil"/>
              <w:right w:val="nil"/>
            </w:tcBorders>
            <w:shd w:val="clear" w:color="000000" w:fill="FFFFFF"/>
            <w:noWrap/>
            <w:hideMark/>
          </w:tcPr>
          <w:p w14:paraId="11FA456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r>
      <w:tr w:rsidR="00181AD5" w:rsidRPr="00181AD5" w14:paraId="26C5EDF8" w14:textId="77777777" w:rsidTr="00F649E4">
        <w:trPr>
          <w:trHeight w:val="310"/>
        </w:trPr>
        <w:tc>
          <w:tcPr>
            <w:tcW w:w="1350" w:type="dxa"/>
            <w:tcBorders>
              <w:top w:val="nil"/>
              <w:left w:val="nil"/>
              <w:bottom w:val="nil"/>
              <w:right w:val="nil"/>
            </w:tcBorders>
            <w:shd w:val="clear" w:color="000000" w:fill="FFFFFF"/>
            <w:noWrap/>
            <w:vAlign w:val="bottom"/>
            <w:hideMark/>
          </w:tcPr>
          <w:p w14:paraId="20DEE287"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11</w:t>
            </w:r>
          </w:p>
        </w:tc>
        <w:tc>
          <w:tcPr>
            <w:tcW w:w="923" w:type="dxa"/>
            <w:tcBorders>
              <w:top w:val="nil"/>
              <w:left w:val="nil"/>
              <w:bottom w:val="nil"/>
              <w:right w:val="nil"/>
            </w:tcBorders>
            <w:shd w:val="clear" w:color="000000" w:fill="FFFFFF"/>
            <w:noWrap/>
            <w:hideMark/>
          </w:tcPr>
          <w:p w14:paraId="21A505D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2DD2CA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A068A3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7F206E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5AFF7CFF"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66B1B8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260AE7A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B669A1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7A32075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nil"/>
              <w:right w:val="nil"/>
            </w:tcBorders>
            <w:shd w:val="clear" w:color="000000" w:fill="FFFFFF"/>
            <w:noWrap/>
            <w:hideMark/>
          </w:tcPr>
          <w:p w14:paraId="6C50B48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nil"/>
              <w:right w:val="nil"/>
            </w:tcBorders>
            <w:shd w:val="clear" w:color="000000" w:fill="FFFFFF"/>
            <w:noWrap/>
            <w:hideMark/>
          </w:tcPr>
          <w:p w14:paraId="6F29845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217595C8" w14:textId="77777777" w:rsidTr="00F649E4">
        <w:trPr>
          <w:trHeight w:val="310"/>
        </w:trPr>
        <w:tc>
          <w:tcPr>
            <w:tcW w:w="1350" w:type="dxa"/>
            <w:tcBorders>
              <w:top w:val="nil"/>
              <w:left w:val="nil"/>
              <w:bottom w:val="nil"/>
              <w:right w:val="nil"/>
            </w:tcBorders>
            <w:shd w:val="clear" w:color="000000" w:fill="FFFFFF"/>
            <w:noWrap/>
            <w:vAlign w:val="bottom"/>
            <w:hideMark/>
          </w:tcPr>
          <w:p w14:paraId="12471525"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12</w:t>
            </w:r>
          </w:p>
        </w:tc>
        <w:tc>
          <w:tcPr>
            <w:tcW w:w="923" w:type="dxa"/>
            <w:tcBorders>
              <w:top w:val="nil"/>
              <w:left w:val="nil"/>
              <w:bottom w:val="nil"/>
              <w:right w:val="nil"/>
            </w:tcBorders>
            <w:shd w:val="clear" w:color="000000" w:fill="FFFFFF"/>
            <w:noWrap/>
            <w:hideMark/>
          </w:tcPr>
          <w:p w14:paraId="4C02DBF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c>
          <w:tcPr>
            <w:tcW w:w="923" w:type="dxa"/>
            <w:tcBorders>
              <w:top w:val="nil"/>
              <w:left w:val="nil"/>
              <w:bottom w:val="nil"/>
              <w:right w:val="nil"/>
            </w:tcBorders>
            <w:shd w:val="clear" w:color="000000" w:fill="FFFFFF"/>
            <w:noWrap/>
            <w:hideMark/>
          </w:tcPr>
          <w:p w14:paraId="24BCB2E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627EF2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50F987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258141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806DB7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A1E57D7"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91CDDB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6372DD8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7</w:t>
            </w:r>
          </w:p>
        </w:tc>
        <w:tc>
          <w:tcPr>
            <w:tcW w:w="685" w:type="dxa"/>
            <w:tcBorders>
              <w:top w:val="nil"/>
              <w:left w:val="nil"/>
              <w:bottom w:val="nil"/>
              <w:right w:val="nil"/>
            </w:tcBorders>
            <w:shd w:val="clear" w:color="000000" w:fill="FFFFFF"/>
            <w:noWrap/>
            <w:hideMark/>
          </w:tcPr>
          <w:p w14:paraId="48AA078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.88</w:t>
            </w:r>
          </w:p>
        </w:tc>
        <w:tc>
          <w:tcPr>
            <w:tcW w:w="563" w:type="dxa"/>
            <w:tcBorders>
              <w:top w:val="nil"/>
              <w:left w:val="nil"/>
              <w:bottom w:val="nil"/>
              <w:right w:val="nil"/>
            </w:tcBorders>
            <w:shd w:val="clear" w:color="000000" w:fill="FFFFFF"/>
            <w:noWrap/>
            <w:hideMark/>
          </w:tcPr>
          <w:p w14:paraId="3DEF53FB"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0</w:t>
            </w:r>
          </w:p>
        </w:tc>
      </w:tr>
      <w:tr w:rsidR="00181AD5" w:rsidRPr="00181AD5" w14:paraId="0234B6A4" w14:textId="77777777" w:rsidTr="00F649E4">
        <w:trPr>
          <w:trHeight w:val="310"/>
        </w:trPr>
        <w:tc>
          <w:tcPr>
            <w:tcW w:w="1350" w:type="dxa"/>
            <w:tcBorders>
              <w:top w:val="nil"/>
              <w:left w:val="nil"/>
              <w:bottom w:val="nil"/>
              <w:right w:val="nil"/>
            </w:tcBorders>
            <w:shd w:val="clear" w:color="000000" w:fill="FFFFFF"/>
            <w:noWrap/>
            <w:vAlign w:val="bottom"/>
            <w:hideMark/>
          </w:tcPr>
          <w:p w14:paraId="36FFEC14"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Item 13</w:t>
            </w:r>
          </w:p>
        </w:tc>
        <w:tc>
          <w:tcPr>
            <w:tcW w:w="923" w:type="dxa"/>
            <w:tcBorders>
              <w:top w:val="nil"/>
              <w:left w:val="nil"/>
              <w:bottom w:val="nil"/>
              <w:right w:val="nil"/>
            </w:tcBorders>
            <w:shd w:val="clear" w:color="000000" w:fill="FFFFFF"/>
            <w:noWrap/>
            <w:hideMark/>
          </w:tcPr>
          <w:p w14:paraId="13108D9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D158B69"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3E92310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96EE8EE"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7EEAA5B5"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0AE41A40"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6BCFC8B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923" w:type="dxa"/>
            <w:tcBorders>
              <w:top w:val="nil"/>
              <w:left w:val="nil"/>
              <w:bottom w:val="nil"/>
              <w:right w:val="nil"/>
            </w:tcBorders>
            <w:shd w:val="clear" w:color="000000" w:fill="FFFFFF"/>
            <w:noWrap/>
            <w:hideMark/>
          </w:tcPr>
          <w:p w14:paraId="1D53E88D"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1349" w:type="dxa"/>
            <w:tcBorders>
              <w:top w:val="nil"/>
              <w:left w:val="nil"/>
              <w:bottom w:val="nil"/>
              <w:right w:val="nil"/>
            </w:tcBorders>
            <w:shd w:val="clear" w:color="000000" w:fill="FFFFFF"/>
            <w:noWrap/>
            <w:hideMark/>
          </w:tcPr>
          <w:p w14:paraId="370D3B9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w:t>
            </w:r>
          </w:p>
        </w:tc>
        <w:tc>
          <w:tcPr>
            <w:tcW w:w="685" w:type="dxa"/>
            <w:tcBorders>
              <w:top w:val="nil"/>
              <w:left w:val="nil"/>
              <w:bottom w:val="single" w:sz="4" w:space="0" w:color="auto"/>
              <w:right w:val="nil"/>
            </w:tcBorders>
            <w:shd w:val="clear" w:color="000000" w:fill="FFFFFF"/>
            <w:noWrap/>
            <w:hideMark/>
          </w:tcPr>
          <w:p w14:paraId="11B31B6C"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c>
          <w:tcPr>
            <w:tcW w:w="563" w:type="dxa"/>
            <w:tcBorders>
              <w:top w:val="nil"/>
              <w:left w:val="nil"/>
              <w:bottom w:val="single" w:sz="4" w:space="0" w:color="auto"/>
              <w:right w:val="nil"/>
            </w:tcBorders>
            <w:shd w:val="clear" w:color="000000" w:fill="FFFFFF"/>
            <w:noWrap/>
            <w:hideMark/>
          </w:tcPr>
          <w:p w14:paraId="1F2FA75F"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w:t>
            </w:r>
          </w:p>
        </w:tc>
      </w:tr>
      <w:tr w:rsidR="00181AD5" w:rsidRPr="00181AD5" w14:paraId="3E9B22E1" w14:textId="77777777" w:rsidTr="00F649E4">
        <w:trPr>
          <w:trHeight w:val="310"/>
        </w:trPr>
        <w:tc>
          <w:tcPr>
            <w:tcW w:w="1350" w:type="dxa"/>
            <w:tcBorders>
              <w:top w:val="nil"/>
              <w:left w:val="nil"/>
              <w:bottom w:val="single" w:sz="4" w:space="0" w:color="auto"/>
              <w:right w:val="nil"/>
            </w:tcBorders>
            <w:shd w:val="clear" w:color="000000" w:fill="FFFFFF"/>
            <w:noWrap/>
            <w:vAlign w:val="bottom"/>
            <w:hideMark/>
          </w:tcPr>
          <w:p w14:paraId="3B4F5DDD"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vAlign w:val="bottom"/>
            <w:hideMark/>
          </w:tcPr>
          <w:p w14:paraId="6ED0A82C"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vAlign w:val="bottom"/>
            <w:hideMark/>
          </w:tcPr>
          <w:p w14:paraId="55D09C5D"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vAlign w:val="bottom"/>
            <w:hideMark/>
          </w:tcPr>
          <w:p w14:paraId="3F0B89B5"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vAlign w:val="bottom"/>
            <w:hideMark/>
          </w:tcPr>
          <w:p w14:paraId="38AEAA23"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vAlign w:val="bottom"/>
            <w:hideMark/>
          </w:tcPr>
          <w:p w14:paraId="1FC1E233"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vAlign w:val="bottom"/>
            <w:hideMark/>
          </w:tcPr>
          <w:p w14:paraId="6C0F7E10"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vAlign w:val="bottom"/>
            <w:hideMark/>
          </w:tcPr>
          <w:p w14:paraId="29642D37"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923" w:type="dxa"/>
            <w:tcBorders>
              <w:top w:val="nil"/>
              <w:left w:val="nil"/>
              <w:bottom w:val="single" w:sz="4" w:space="0" w:color="auto"/>
              <w:right w:val="nil"/>
            </w:tcBorders>
            <w:shd w:val="clear" w:color="000000" w:fill="FFFFFF"/>
            <w:noWrap/>
            <w:vAlign w:val="bottom"/>
            <w:hideMark/>
          </w:tcPr>
          <w:p w14:paraId="03276522" w14:textId="77777777" w:rsidR="00181AD5" w:rsidRPr="00181AD5" w:rsidRDefault="00181AD5" w:rsidP="00181AD5">
            <w:pPr>
              <w:spacing w:after="0" w:line="240" w:lineRule="auto"/>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1349" w:type="dxa"/>
            <w:tcBorders>
              <w:top w:val="nil"/>
              <w:left w:val="nil"/>
              <w:bottom w:val="nil"/>
              <w:right w:val="nil"/>
            </w:tcBorders>
            <w:shd w:val="clear" w:color="000000" w:fill="FFFFFF"/>
            <w:noWrap/>
            <w:vAlign w:val="bottom"/>
            <w:hideMark/>
          </w:tcPr>
          <w:p w14:paraId="195F8E23"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S-CVI/Ave</w:t>
            </w:r>
          </w:p>
        </w:tc>
        <w:tc>
          <w:tcPr>
            <w:tcW w:w="685" w:type="dxa"/>
            <w:tcBorders>
              <w:top w:val="nil"/>
              <w:left w:val="nil"/>
              <w:bottom w:val="nil"/>
              <w:right w:val="nil"/>
            </w:tcBorders>
            <w:shd w:val="clear" w:color="000000" w:fill="FFFFFF"/>
            <w:noWrap/>
            <w:hideMark/>
          </w:tcPr>
          <w:p w14:paraId="01DCA4D2"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.94</w:t>
            </w:r>
          </w:p>
        </w:tc>
        <w:tc>
          <w:tcPr>
            <w:tcW w:w="563" w:type="dxa"/>
            <w:tcBorders>
              <w:top w:val="nil"/>
              <w:left w:val="nil"/>
              <w:bottom w:val="nil"/>
              <w:right w:val="nil"/>
            </w:tcBorders>
            <w:shd w:val="clear" w:color="000000" w:fill="FFFFFF"/>
            <w:noWrap/>
            <w:hideMark/>
          </w:tcPr>
          <w:p w14:paraId="08ABB714"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r>
      <w:tr w:rsidR="00181AD5" w:rsidRPr="00181AD5" w14:paraId="447422A3" w14:textId="77777777" w:rsidTr="00F649E4">
        <w:trPr>
          <w:trHeight w:val="620"/>
        </w:trPr>
        <w:tc>
          <w:tcPr>
            <w:tcW w:w="1350" w:type="dxa"/>
            <w:tcBorders>
              <w:top w:val="nil"/>
              <w:left w:val="nil"/>
              <w:bottom w:val="single" w:sz="4" w:space="0" w:color="auto"/>
              <w:right w:val="nil"/>
            </w:tcBorders>
            <w:shd w:val="clear" w:color="000000" w:fill="FFFFFF"/>
            <w:hideMark/>
          </w:tcPr>
          <w:p w14:paraId="6095ED71"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 xml:space="preserve">Proportion Relevance </w:t>
            </w:r>
          </w:p>
        </w:tc>
        <w:tc>
          <w:tcPr>
            <w:tcW w:w="923" w:type="dxa"/>
            <w:tcBorders>
              <w:top w:val="nil"/>
              <w:left w:val="nil"/>
              <w:bottom w:val="single" w:sz="4" w:space="0" w:color="auto"/>
              <w:right w:val="nil"/>
            </w:tcBorders>
            <w:shd w:val="clear" w:color="000000" w:fill="FFFFFF"/>
            <w:noWrap/>
            <w:vAlign w:val="center"/>
            <w:hideMark/>
          </w:tcPr>
          <w:p w14:paraId="72C2DF3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.81</w:t>
            </w:r>
          </w:p>
        </w:tc>
        <w:tc>
          <w:tcPr>
            <w:tcW w:w="923" w:type="dxa"/>
            <w:tcBorders>
              <w:top w:val="nil"/>
              <w:left w:val="nil"/>
              <w:bottom w:val="single" w:sz="4" w:space="0" w:color="auto"/>
              <w:right w:val="nil"/>
            </w:tcBorders>
            <w:shd w:val="clear" w:color="000000" w:fill="FFFFFF"/>
            <w:noWrap/>
            <w:vAlign w:val="center"/>
            <w:hideMark/>
          </w:tcPr>
          <w:p w14:paraId="38F93E28"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.91</w:t>
            </w:r>
          </w:p>
        </w:tc>
        <w:tc>
          <w:tcPr>
            <w:tcW w:w="923" w:type="dxa"/>
            <w:tcBorders>
              <w:top w:val="nil"/>
              <w:left w:val="nil"/>
              <w:bottom w:val="single" w:sz="4" w:space="0" w:color="auto"/>
              <w:right w:val="nil"/>
            </w:tcBorders>
            <w:shd w:val="clear" w:color="000000" w:fill="FFFFFF"/>
            <w:noWrap/>
            <w:vAlign w:val="center"/>
            <w:hideMark/>
          </w:tcPr>
          <w:p w14:paraId="4CD258F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.91</w:t>
            </w:r>
          </w:p>
        </w:tc>
        <w:tc>
          <w:tcPr>
            <w:tcW w:w="923" w:type="dxa"/>
            <w:tcBorders>
              <w:top w:val="nil"/>
              <w:left w:val="nil"/>
              <w:bottom w:val="single" w:sz="4" w:space="0" w:color="auto"/>
              <w:right w:val="nil"/>
            </w:tcBorders>
            <w:shd w:val="clear" w:color="000000" w:fill="FFFFFF"/>
            <w:noWrap/>
            <w:vAlign w:val="center"/>
            <w:hideMark/>
          </w:tcPr>
          <w:p w14:paraId="3CAC3D7F"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.91</w:t>
            </w:r>
          </w:p>
        </w:tc>
        <w:tc>
          <w:tcPr>
            <w:tcW w:w="923" w:type="dxa"/>
            <w:tcBorders>
              <w:top w:val="nil"/>
              <w:left w:val="nil"/>
              <w:bottom w:val="single" w:sz="4" w:space="0" w:color="auto"/>
              <w:right w:val="nil"/>
            </w:tcBorders>
            <w:shd w:val="clear" w:color="000000" w:fill="FFFFFF"/>
            <w:noWrap/>
            <w:vAlign w:val="center"/>
            <w:hideMark/>
          </w:tcPr>
          <w:p w14:paraId="36C00056"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100</w:t>
            </w:r>
          </w:p>
        </w:tc>
        <w:tc>
          <w:tcPr>
            <w:tcW w:w="923" w:type="dxa"/>
            <w:tcBorders>
              <w:top w:val="nil"/>
              <w:left w:val="nil"/>
              <w:bottom w:val="single" w:sz="4" w:space="0" w:color="auto"/>
              <w:right w:val="nil"/>
            </w:tcBorders>
            <w:shd w:val="clear" w:color="000000" w:fill="FFFFFF"/>
            <w:noWrap/>
            <w:vAlign w:val="center"/>
            <w:hideMark/>
          </w:tcPr>
          <w:p w14:paraId="7ED9BCD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100</w:t>
            </w:r>
          </w:p>
        </w:tc>
        <w:tc>
          <w:tcPr>
            <w:tcW w:w="923" w:type="dxa"/>
            <w:tcBorders>
              <w:top w:val="nil"/>
              <w:left w:val="nil"/>
              <w:bottom w:val="single" w:sz="4" w:space="0" w:color="auto"/>
              <w:right w:val="nil"/>
            </w:tcBorders>
            <w:shd w:val="clear" w:color="000000" w:fill="FFFFFF"/>
            <w:noWrap/>
            <w:vAlign w:val="center"/>
            <w:hideMark/>
          </w:tcPr>
          <w:p w14:paraId="022F00B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100</w:t>
            </w:r>
          </w:p>
        </w:tc>
        <w:tc>
          <w:tcPr>
            <w:tcW w:w="923" w:type="dxa"/>
            <w:tcBorders>
              <w:top w:val="nil"/>
              <w:left w:val="nil"/>
              <w:bottom w:val="single" w:sz="4" w:space="0" w:color="auto"/>
              <w:right w:val="nil"/>
            </w:tcBorders>
            <w:shd w:val="clear" w:color="000000" w:fill="FFFFFF"/>
            <w:noWrap/>
            <w:vAlign w:val="center"/>
            <w:hideMark/>
          </w:tcPr>
          <w:p w14:paraId="603A45C3"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100</w:t>
            </w:r>
          </w:p>
        </w:tc>
        <w:tc>
          <w:tcPr>
            <w:tcW w:w="1349" w:type="dxa"/>
            <w:tcBorders>
              <w:top w:val="nil"/>
              <w:left w:val="nil"/>
              <w:bottom w:val="single" w:sz="4" w:space="0" w:color="auto"/>
              <w:right w:val="nil"/>
            </w:tcBorders>
            <w:shd w:val="clear" w:color="000000" w:fill="FFFFFF"/>
            <w:noWrap/>
            <w:vAlign w:val="center"/>
            <w:hideMark/>
          </w:tcPr>
          <w:p w14:paraId="36934447" w14:textId="77777777" w:rsidR="00181AD5" w:rsidRPr="00181AD5" w:rsidRDefault="00181AD5" w:rsidP="00181AD5">
            <w:pPr>
              <w:spacing w:after="0" w:line="240" w:lineRule="auto"/>
              <w:rPr>
                <w:rFonts w:eastAsia="Times New Roman" w:cs="Times New Roman"/>
                <w:b/>
                <w:bCs/>
                <w:color w:val="000000"/>
                <w:kern w:val="0"/>
                <w:szCs w:val="24"/>
                <w14:ligatures w14:val="none"/>
              </w:rPr>
            </w:pPr>
            <w:r w:rsidRPr="00181AD5">
              <w:rPr>
                <w:rFonts w:eastAsia="Times New Roman" w:cs="Times New Roman"/>
                <w:b/>
                <w:bCs/>
                <w:color w:val="000000"/>
                <w:kern w:val="0"/>
                <w:szCs w:val="24"/>
                <w14:ligatures w14:val="none"/>
              </w:rPr>
              <w:t>S-CVI/UA</w:t>
            </w:r>
          </w:p>
        </w:tc>
        <w:tc>
          <w:tcPr>
            <w:tcW w:w="685" w:type="dxa"/>
            <w:tcBorders>
              <w:top w:val="nil"/>
              <w:left w:val="nil"/>
              <w:bottom w:val="single" w:sz="4" w:space="0" w:color="auto"/>
              <w:right w:val="nil"/>
            </w:tcBorders>
            <w:shd w:val="clear" w:color="000000" w:fill="FFFFFF"/>
            <w:noWrap/>
            <w:vAlign w:val="center"/>
            <w:hideMark/>
          </w:tcPr>
          <w:p w14:paraId="4AAF1AA1"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 </w:t>
            </w:r>
          </w:p>
        </w:tc>
        <w:tc>
          <w:tcPr>
            <w:tcW w:w="563" w:type="dxa"/>
            <w:tcBorders>
              <w:top w:val="nil"/>
              <w:left w:val="nil"/>
              <w:bottom w:val="single" w:sz="4" w:space="0" w:color="auto"/>
              <w:right w:val="nil"/>
            </w:tcBorders>
            <w:shd w:val="clear" w:color="000000" w:fill="FFFFFF"/>
            <w:noWrap/>
            <w:vAlign w:val="center"/>
            <w:hideMark/>
          </w:tcPr>
          <w:p w14:paraId="3A9D6D3A" w14:textId="77777777" w:rsidR="00181AD5" w:rsidRPr="00181AD5" w:rsidRDefault="00181AD5" w:rsidP="00181AD5">
            <w:pPr>
              <w:spacing w:after="0" w:line="240" w:lineRule="auto"/>
              <w:jc w:val="center"/>
              <w:rPr>
                <w:rFonts w:eastAsia="Times New Roman" w:cs="Times New Roman"/>
                <w:color w:val="000000"/>
                <w:kern w:val="0"/>
                <w:szCs w:val="24"/>
                <w14:ligatures w14:val="none"/>
              </w:rPr>
            </w:pPr>
            <w:r w:rsidRPr="00181AD5">
              <w:rPr>
                <w:rFonts w:eastAsia="Times New Roman" w:cs="Times New Roman"/>
                <w:color w:val="000000"/>
                <w:kern w:val="0"/>
                <w:szCs w:val="24"/>
                <w14:ligatures w14:val="none"/>
              </w:rPr>
              <w:t>.82</w:t>
            </w:r>
          </w:p>
        </w:tc>
      </w:tr>
    </w:tbl>
    <w:p w14:paraId="36619584" w14:textId="77777777" w:rsidR="00181AD5" w:rsidRPr="00181AD5" w:rsidRDefault="00181AD5" w:rsidP="00181AD5">
      <w:pPr>
        <w:rPr>
          <w:rFonts w:ascii="Calibri" w:eastAsia="Calibri" w:hAnsi="Calibri" w:cs="Times New Roman"/>
          <w:kern w:val="0"/>
          <w14:ligatures w14:val="none"/>
        </w:rPr>
      </w:pPr>
    </w:p>
    <w:p w14:paraId="58B1BBAC" w14:textId="77777777" w:rsidR="00181AD5" w:rsidRPr="00181AD5" w:rsidRDefault="00181AD5" w:rsidP="00181AD5">
      <w:pPr>
        <w:rPr>
          <w:rFonts w:ascii="Calibri" w:eastAsia="Calibri" w:hAnsi="Calibri" w:cs="Times New Roman"/>
          <w:kern w:val="0"/>
          <w14:ligatures w14:val="none"/>
        </w:rPr>
      </w:pPr>
    </w:p>
    <w:p w14:paraId="3579A3B4" w14:textId="77777777" w:rsidR="00181AD5" w:rsidRPr="00181AD5" w:rsidRDefault="00181AD5" w:rsidP="00181AD5">
      <w:pPr>
        <w:rPr>
          <w:rFonts w:ascii="Calibri" w:eastAsia="Calibri" w:hAnsi="Calibri" w:cs="Times New Roman"/>
          <w:kern w:val="0"/>
          <w14:ligatures w14:val="none"/>
        </w:rPr>
      </w:pPr>
    </w:p>
    <w:p w14:paraId="7D4D71B2" w14:textId="77777777" w:rsidR="002B564B" w:rsidRDefault="002B564B" w:rsidP="00773793">
      <w:pPr>
        <w:spacing w:line="240" w:lineRule="auto"/>
        <w:rPr>
          <w:rFonts w:eastAsia="Calibri" w:cs="Times New Roman"/>
          <w:b/>
          <w:bCs/>
        </w:rPr>
      </w:pPr>
    </w:p>
    <w:tbl>
      <w:tblPr>
        <w:tblW w:w="6523" w:type="dxa"/>
        <w:tblInd w:w="5" w:type="dxa"/>
        <w:tblLook w:val="04A0" w:firstRow="1" w:lastRow="0" w:firstColumn="1" w:lastColumn="0" w:noHBand="0" w:noVBand="1"/>
      </w:tblPr>
      <w:tblGrid>
        <w:gridCol w:w="2185"/>
        <w:gridCol w:w="1081"/>
        <w:gridCol w:w="1081"/>
        <w:gridCol w:w="1081"/>
        <w:gridCol w:w="1095"/>
      </w:tblGrid>
      <w:tr w:rsidR="00D229A2" w:rsidRPr="00D229A2" w14:paraId="38128B7F" w14:textId="77777777" w:rsidTr="004E47C0">
        <w:trPr>
          <w:trHeight w:val="252"/>
        </w:trPr>
        <w:tc>
          <w:tcPr>
            <w:tcW w:w="6523" w:type="dxa"/>
            <w:gridSpan w:val="5"/>
            <w:tcBorders>
              <w:top w:val="nil"/>
              <w:left w:val="nil"/>
              <w:bottom w:val="single" w:sz="4" w:space="0" w:color="auto"/>
              <w:right w:val="nil"/>
            </w:tcBorders>
            <w:shd w:val="clear" w:color="000000" w:fill="FFFFFF"/>
            <w:noWrap/>
            <w:vAlign w:val="bottom"/>
            <w:hideMark/>
          </w:tcPr>
          <w:p w14:paraId="38047998" w14:textId="77777777" w:rsidR="008D5509" w:rsidRDefault="008D5509" w:rsidP="00D229A2">
            <w:pPr>
              <w:spacing w:after="0" w:line="240" w:lineRule="auto"/>
              <w:rPr>
                <w:rFonts w:eastAsia="Calibri" w:cs="Times New Roman"/>
                <w:b/>
                <w:bCs/>
                <w:sz w:val="22"/>
              </w:rPr>
            </w:pPr>
          </w:p>
          <w:p w14:paraId="77B00DE9" w14:textId="4EA5074E" w:rsidR="00D229A2" w:rsidRPr="00D229A2" w:rsidRDefault="00D229A2" w:rsidP="00D229A2">
            <w:pPr>
              <w:spacing w:after="0" w:line="240" w:lineRule="auto"/>
              <w:rPr>
                <w:rFonts w:eastAsia="Calibri" w:cs="Times New Roman"/>
                <w:sz w:val="22"/>
              </w:rPr>
            </w:pPr>
            <w:r w:rsidRPr="00D229A2">
              <w:rPr>
                <w:rFonts w:eastAsia="Calibri" w:cs="Times New Roman"/>
                <w:b/>
                <w:bCs/>
                <w:sz w:val="22"/>
              </w:rPr>
              <w:t xml:space="preserve">Table. </w:t>
            </w:r>
            <w:r w:rsidR="008D5509">
              <w:rPr>
                <w:rFonts w:eastAsia="Calibri" w:cs="Times New Roman"/>
                <w:b/>
                <w:bCs/>
                <w:sz w:val="22"/>
              </w:rPr>
              <w:t>5</w:t>
            </w:r>
            <w:r w:rsidRPr="00D229A2">
              <w:rPr>
                <w:rFonts w:eastAsia="Calibri" w:cs="Times New Roman"/>
                <w:b/>
                <w:bCs/>
                <w:sz w:val="22"/>
              </w:rPr>
              <w:t>.</w:t>
            </w:r>
            <w:r w:rsidRPr="00D229A2">
              <w:rPr>
                <w:rFonts w:eastAsia="Calibri" w:cs="Times New Roman"/>
                <w:sz w:val="22"/>
              </w:rPr>
              <w:t xml:space="preserve"> Fornell-Larcker Criterion</w:t>
            </w:r>
          </w:p>
        </w:tc>
      </w:tr>
      <w:tr w:rsidR="00D229A2" w:rsidRPr="00D229A2" w14:paraId="25F6EC0E" w14:textId="77777777" w:rsidTr="004E47C0">
        <w:trPr>
          <w:trHeight w:val="252"/>
        </w:trPr>
        <w:tc>
          <w:tcPr>
            <w:tcW w:w="2185" w:type="dxa"/>
            <w:tcBorders>
              <w:top w:val="nil"/>
              <w:left w:val="nil"/>
              <w:bottom w:val="single" w:sz="4" w:space="0" w:color="auto"/>
              <w:right w:val="nil"/>
            </w:tcBorders>
            <w:shd w:val="clear" w:color="000000" w:fill="FFFFFF"/>
            <w:noWrap/>
            <w:vAlign w:val="bottom"/>
            <w:hideMark/>
          </w:tcPr>
          <w:p w14:paraId="3A7E57AF"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tc>
        <w:tc>
          <w:tcPr>
            <w:tcW w:w="1081" w:type="dxa"/>
            <w:tcBorders>
              <w:top w:val="nil"/>
              <w:left w:val="nil"/>
              <w:bottom w:val="single" w:sz="4" w:space="0" w:color="auto"/>
              <w:right w:val="nil"/>
            </w:tcBorders>
            <w:shd w:val="clear" w:color="000000" w:fill="FFFFFF"/>
            <w:noWrap/>
            <w:vAlign w:val="bottom"/>
            <w:hideMark/>
          </w:tcPr>
          <w:p w14:paraId="1BF6B888" w14:textId="77777777" w:rsidR="00D229A2" w:rsidRPr="00D229A2" w:rsidRDefault="00D229A2" w:rsidP="00D229A2">
            <w:pPr>
              <w:spacing w:after="0" w:line="240" w:lineRule="auto"/>
              <w:rPr>
                <w:rFonts w:eastAsia="Calibri" w:cs="Times New Roman"/>
                <w:b/>
                <w:bCs/>
                <w:sz w:val="22"/>
              </w:rPr>
            </w:pPr>
            <w:r w:rsidRPr="00D229A2">
              <w:rPr>
                <w:rFonts w:eastAsia="Calibri" w:cs="Times New Roman"/>
                <w:b/>
                <w:bCs/>
                <w:sz w:val="22"/>
              </w:rPr>
              <w:t>1</w:t>
            </w:r>
          </w:p>
        </w:tc>
        <w:tc>
          <w:tcPr>
            <w:tcW w:w="1081" w:type="dxa"/>
            <w:tcBorders>
              <w:top w:val="nil"/>
              <w:left w:val="nil"/>
              <w:bottom w:val="single" w:sz="4" w:space="0" w:color="auto"/>
              <w:right w:val="nil"/>
            </w:tcBorders>
            <w:shd w:val="clear" w:color="000000" w:fill="FFFFFF"/>
            <w:noWrap/>
            <w:vAlign w:val="bottom"/>
            <w:hideMark/>
          </w:tcPr>
          <w:p w14:paraId="6311F8B8" w14:textId="77777777" w:rsidR="00D229A2" w:rsidRPr="00D229A2" w:rsidRDefault="00D229A2" w:rsidP="00D229A2">
            <w:pPr>
              <w:spacing w:after="0" w:line="240" w:lineRule="auto"/>
              <w:rPr>
                <w:rFonts w:eastAsia="Calibri" w:cs="Times New Roman"/>
                <w:b/>
                <w:bCs/>
                <w:sz w:val="22"/>
              </w:rPr>
            </w:pPr>
            <w:r w:rsidRPr="00D229A2">
              <w:rPr>
                <w:rFonts w:eastAsia="Calibri" w:cs="Times New Roman"/>
                <w:b/>
                <w:bCs/>
                <w:sz w:val="22"/>
              </w:rPr>
              <w:t>2</w:t>
            </w:r>
          </w:p>
        </w:tc>
        <w:tc>
          <w:tcPr>
            <w:tcW w:w="1081" w:type="dxa"/>
            <w:tcBorders>
              <w:top w:val="nil"/>
              <w:left w:val="nil"/>
              <w:bottom w:val="single" w:sz="4" w:space="0" w:color="auto"/>
              <w:right w:val="nil"/>
            </w:tcBorders>
            <w:shd w:val="clear" w:color="000000" w:fill="FFFFFF"/>
            <w:noWrap/>
            <w:vAlign w:val="bottom"/>
            <w:hideMark/>
          </w:tcPr>
          <w:p w14:paraId="437F9757" w14:textId="77777777" w:rsidR="00D229A2" w:rsidRPr="00D229A2" w:rsidRDefault="00D229A2" w:rsidP="00D229A2">
            <w:pPr>
              <w:spacing w:after="0" w:line="240" w:lineRule="auto"/>
              <w:rPr>
                <w:rFonts w:eastAsia="Calibri" w:cs="Times New Roman"/>
                <w:b/>
                <w:bCs/>
                <w:sz w:val="22"/>
              </w:rPr>
            </w:pPr>
            <w:r w:rsidRPr="00D229A2">
              <w:rPr>
                <w:rFonts w:eastAsia="Calibri" w:cs="Times New Roman"/>
                <w:b/>
                <w:bCs/>
                <w:sz w:val="22"/>
              </w:rPr>
              <w:t>3</w:t>
            </w:r>
          </w:p>
        </w:tc>
        <w:tc>
          <w:tcPr>
            <w:tcW w:w="1095" w:type="dxa"/>
            <w:tcBorders>
              <w:top w:val="nil"/>
              <w:left w:val="nil"/>
              <w:bottom w:val="single" w:sz="4" w:space="0" w:color="auto"/>
              <w:right w:val="nil"/>
            </w:tcBorders>
            <w:shd w:val="clear" w:color="000000" w:fill="FFFFFF"/>
            <w:noWrap/>
            <w:vAlign w:val="bottom"/>
            <w:hideMark/>
          </w:tcPr>
          <w:p w14:paraId="10DDBF0C" w14:textId="77777777" w:rsidR="00D229A2" w:rsidRPr="00D229A2" w:rsidRDefault="00D229A2" w:rsidP="00D229A2">
            <w:pPr>
              <w:spacing w:after="0" w:line="240" w:lineRule="auto"/>
              <w:rPr>
                <w:rFonts w:eastAsia="Calibri" w:cs="Times New Roman"/>
                <w:b/>
                <w:bCs/>
                <w:sz w:val="22"/>
              </w:rPr>
            </w:pPr>
            <w:r w:rsidRPr="00D229A2">
              <w:rPr>
                <w:rFonts w:eastAsia="Calibri" w:cs="Times New Roman"/>
                <w:b/>
                <w:bCs/>
                <w:sz w:val="22"/>
              </w:rPr>
              <w:t>4</w:t>
            </w:r>
          </w:p>
        </w:tc>
      </w:tr>
      <w:tr w:rsidR="00D229A2" w:rsidRPr="00D229A2" w14:paraId="7D636237" w14:textId="77777777" w:rsidTr="004E47C0">
        <w:trPr>
          <w:trHeight w:val="252"/>
        </w:trPr>
        <w:tc>
          <w:tcPr>
            <w:tcW w:w="2185" w:type="dxa"/>
            <w:tcBorders>
              <w:top w:val="nil"/>
              <w:left w:val="nil"/>
              <w:bottom w:val="nil"/>
              <w:right w:val="nil"/>
            </w:tcBorders>
            <w:shd w:val="clear" w:color="000000" w:fill="FFFFFF"/>
            <w:hideMark/>
          </w:tcPr>
          <w:p w14:paraId="0CCA8D83"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DOL (1)</w:t>
            </w:r>
          </w:p>
        </w:tc>
        <w:tc>
          <w:tcPr>
            <w:tcW w:w="1081" w:type="dxa"/>
            <w:tcBorders>
              <w:top w:val="nil"/>
              <w:left w:val="nil"/>
              <w:bottom w:val="nil"/>
              <w:right w:val="nil"/>
            </w:tcBorders>
            <w:shd w:val="clear" w:color="000000" w:fill="FFFFFF"/>
            <w:noWrap/>
            <w:vAlign w:val="bottom"/>
            <w:hideMark/>
          </w:tcPr>
          <w:p w14:paraId="51A38573" w14:textId="77777777" w:rsidR="00D229A2" w:rsidRPr="00D229A2" w:rsidRDefault="00D229A2" w:rsidP="00D229A2">
            <w:pPr>
              <w:spacing w:after="0" w:line="240" w:lineRule="auto"/>
              <w:rPr>
                <w:rFonts w:eastAsia="Calibri" w:cs="Times New Roman"/>
                <w:b/>
                <w:bCs/>
                <w:sz w:val="22"/>
              </w:rPr>
            </w:pPr>
            <w:r w:rsidRPr="00D229A2">
              <w:rPr>
                <w:rFonts w:eastAsia="Calibri" w:cs="Times New Roman"/>
                <w:b/>
                <w:bCs/>
                <w:sz w:val="22"/>
              </w:rPr>
              <w:t>0.917</w:t>
            </w:r>
          </w:p>
        </w:tc>
        <w:tc>
          <w:tcPr>
            <w:tcW w:w="1081" w:type="dxa"/>
            <w:tcBorders>
              <w:top w:val="nil"/>
              <w:left w:val="nil"/>
              <w:bottom w:val="nil"/>
              <w:right w:val="nil"/>
            </w:tcBorders>
            <w:shd w:val="clear" w:color="000000" w:fill="FFFFFF"/>
            <w:noWrap/>
            <w:vAlign w:val="bottom"/>
            <w:hideMark/>
          </w:tcPr>
          <w:p w14:paraId="094362B9"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tc>
        <w:tc>
          <w:tcPr>
            <w:tcW w:w="1081" w:type="dxa"/>
            <w:tcBorders>
              <w:top w:val="nil"/>
              <w:left w:val="nil"/>
              <w:bottom w:val="nil"/>
              <w:right w:val="nil"/>
            </w:tcBorders>
            <w:shd w:val="clear" w:color="000000" w:fill="FFFFFF"/>
            <w:noWrap/>
            <w:vAlign w:val="bottom"/>
            <w:hideMark/>
          </w:tcPr>
          <w:p w14:paraId="792F13CB"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tc>
        <w:tc>
          <w:tcPr>
            <w:tcW w:w="1095" w:type="dxa"/>
            <w:tcBorders>
              <w:top w:val="nil"/>
              <w:left w:val="nil"/>
              <w:bottom w:val="nil"/>
              <w:right w:val="nil"/>
            </w:tcBorders>
            <w:shd w:val="clear" w:color="000000" w:fill="FFFFFF"/>
            <w:noWrap/>
            <w:vAlign w:val="bottom"/>
            <w:hideMark/>
          </w:tcPr>
          <w:p w14:paraId="1E17429E"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tc>
      </w:tr>
      <w:tr w:rsidR="00D229A2" w:rsidRPr="00D229A2" w14:paraId="78AE7741" w14:textId="77777777" w:rsidTr="004E47C0">
        <w:trPr>
          <w:trHeight w:val="252"/>
        </w:trPr>
        <w:tc>
          <w:tcPr>
            <w:tcW w:w="2185" w:type="dxa"/>
            <w:tcBorders>
              <w:top w:val="nil"/>
              <w:left w:val="nil"/>
              <w:bottom w:val="nil"/>
              <w:right w:val="nil"/>
            </w:tcBorders>
            <w:shd w:val="clear" w:color="000000" w:fill="FFFFFF"/>
            <w:vAlign w:val="bottom"/>
            <w:hideMark/>
          </w:tcPr>
          <w:p w14:paraId="68BBC85F"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IGC (2)</w:t>
            </w:r>
          </w:p>
        </w:tc>
        <w:tc>
          <w:tcPr>
            <w:tcW w:w="1081" w:type="dxa"/>
            <w:tcBorders>
              <w:top w:val="nil"/>
              <w:left w:val="nil"/>
              <w:bottom w:val="nil"/>
              <w:right w:val="nil"/>
            </w:tcBorders>
            <w:shd w:val="clear" w:color="000000" w:fill="FFFFFF"/>
            <w:noWrap/>
            <w:vAlign w:val="bottom"/>
            <w:hideMark/>
          </w:tcPr>
          <w:p w14:paraId="0702D00A"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0.595</w:t>
            </w:r>
          </w:p>
        </w:tc>
        <w:tc>
          <w:tcPr>
            <w:tcW w:w="1081" w:type="dxa"/>
            <w:tcBorders>
              <w:top w:val="nil"/>
              <w:left w:val="nil"/>
              <w:bottom w:val="nil"/>
              <w:right w:val="nil"/>
            </w:tcBorders>
            <w:shd w:val="clear" w:color="000000" w:fill="FFFFFF"/>
            <w:noWrap/>
            <w:vAlign w:val="bottom"/>
            <w:hideMark/>
          </w:tcPr>
          <w:p w14:paraId="11F3B5D9" w14:textId="77777777" w:rsidR="00D229A2" w:rsidRPr="00D229A2" w:rsidRDefault="00D229A2" w:rsidP="00D229A2">
            <w:pPr>
              <w:spacing w:after="0" w:line="240" w:lineRule="auto"/>
              <w:rPr>
                <w:rFonts w:eastAsia="Calibri" w:cs="Times New Roman"/>
                <w:b/>
                <w:bCs/>
                <w:sz w:val="22"/>
              </w:rPr>
            </w:pPr>
            <w:r w:rsidRPr="00D229A2">
              <w:rPr>
                <w:rFonts w:eastAsia="Calibri" w:cs="Times New Roman"/>
                <w:b/>
                <w:bCs/>
                <w:sz w:val="22"/>
              </w:rPr>
              <w:t>0.732</w:t>
            </w:r>
          </w:p>
        </w:tc>
        <w:tc>
          <w:tcPr>
            <w:tcW w:w="1081" w:type="dxa"/>
            <w:tcBorders>
              <w:top w:val="nil"/>
              <w:left w:val="nil"/>
              <w:bottom w:val="nil"/>
              <w:right w:val="nil"/>
            </w:tcBorders>
            <w:shd w:val="clear" w:color="000000" w:fill="FFFFFF"/>
            <w:noWrap/>
            <w:vAlign w:val="bottom"/>
            <w:hideMark/>
          </w:tcPr>
          <w:p w14:paraId="4D9411BC"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tc>
        <w:tc>
          <w:tcPr>
            <w:tcW w:w="1095" w:type="dxa"/>
            <w:tcBorders>
              <w:top w:val="nil"/>
              <w:left w:val="nil"/>
              <w:bottom w:val="nil"/>
              <w:right w:val="nil"/>
            </w:tcBorders>
            <w:shd w:val="clear" w:color="000000" w:fill="FFFFFF"/>
            <w:noWrap/>
            <w:vAlign w:val="bottom"/>
            <w:hideMark/>
          </w:tcPr>
          <w:p w14:paraId="44793336"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tc>
      </w:tr>
      <w:tr w:rsidR="00D229A2" w:rsidRPr="00D229A2" w14:paraId="637A87F0" w14:textId="77777777" w:rsidTr="004E47C0">
        <w:trPr>
          <w:trHeight w:val="252"/>
        </w:trPr>
        <w:tc>
          <w:tcPr>
            <w:tcW w:w="2185" w:type="dxa"/>
            <w:tcBorders>
              <w:top w:val="nil"/>
              <w:left w:val="nil"/>
              <w:bottom w:val="nil"/>
              <w:right w:val="nil"/>
            </w:tcBorders>
            <w:shd w:val="clear" w:color="000000" w:fill="FFFFFF"/>
            <w:vAlign w:val="bottom"/>
            <w:hideMark/>
          </w:tcPr>
          <w:p w14:paraId="5821F43E"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PICLD (3)</w:t>
            </w:r>
          </w:p>
        </w:tc>
        <w:tc>
          <w:tcPr>
            <w:tcW w:w="1081" w:type="dxa"/>
            <w:tcBorders>
              <w:top w:val="nil"/>
              <w:left w:val="nil"/>
              <w:bottom w:val="nil"/>
              <w:right w:val="nil"/>
            </w:tcBorders>
            <w:shd w:val="clear" w:color="000000" w:fill="FFFFFF"/>
            <w:noWrap/>
            <w:vAlign w:val="bottom"/>
            <w:hideMark/>
          </w:tcPr>
          <w:p w14:paraId="29A3E3A3"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0.495</w:t>
            </w:r>
          </w:p>
        </w:tc>
        <w:tc>
          <w:tcPr>
            <w:tcW w:w="1081" w:type="dxa"/>
            <w:tcBorders>
              <w:top w:val="nil"/>
              <w:left w:val="nil"/>
              <w:bottom w:val="nil"/>
              <w:right w:val="nil"/>
            </w:tcBorders>
            <w:shd w:val="clear" w:color="000000" w:fill="FFFFFF"/>
            <w:noWrap/>
            <w:vAlign w:val="bottom"/>
            <w:hideMark/>
          </w:tcPr>
          <w:p w14:paraId="0F60BA63"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0.664</w:t>
            </w:r>
          </w:p>
        </w:tc>
        <w:tc>
          <w:tcPr>
            <w:tcW w:w="1081" w:type="dxa"/>
            <w:tcBorders>
              <w:top w:val="nil"/>
              <w:left w:val="nil"/>
              <w:bottom w:val="nil"/>
              <w:right w:val="nil"/>
            </w:tcBorders>
            <w:shd w:val="clear" w:color="000000" w:fill="FFFFFF"/>
            <w:noWrap/>
            <w:vAlign w:val="bottom"/>
            <w:hideMark/>
          </w:tcPr>
          <w:p w14:paraId="0CDB1719" w14:textId="77777777" w:rsidR="00D229A2" w:rsidRPr="00D229A2" w:rsidRDefault="00D229A2" w:rsidP="00D229A2">
            <w:pPr>
              <w:spacing w:after="0" w:line="240" w:lineRule="auto"/>
              <w:rPr>
                <w:rFonts w:eastAsia="Calibri" w:cs="Times New Roman"/>
                <w:b/>
                <w:bCs/>
                <w:sz w:val="22"/>
              </w:rPr>
            </w:pPr>
            <w:r w:rsidRPr="00D229A2">
              <w:rPr>
                <w:rFonts w:eastAsia="Calibri" w:cs="Times New Roman"/>
                <w:b/>
                <w:bCs/>
                <w:sz w:val="22"/>
              </w:rPr>
              <w:t>0.738</w:t>
            </w:r>
          </w:p>
        </w:tc>
        <w:tc>
          <w:tcPr>
            <w:tcW w:w="1095" w:type="dxa"/>
            <w:tcBorders>
              <w:top w:val="nil"/>
              <w:left w:val="nil"/>
              <w:bottom w:val="nil"/>
              <w:right w:val="nil"/>
            </w:tcBorders>
            <w:shd w:val="clear" w:color="000000" w:fill="FFFFFF"/>
            <w:noWrap/>
            <w:vAlign w:val="bottom"/>
            <w:hideMark/>
          </w:tcPr>
          <w:p w14:paraId="4C11D739"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tc>
      </w:tr>
      <w:tr w:rsidR="00D229A2" w:rsidRPr="00D229A2" w14:paraId="1A879E6C" w14:textId="77777777" w:rsidTr="004E47C0">
        <w:trPr>
          <w:trHeight w:val="252"/>
        </w:trPr>
        <w:tc>
          <w:tcPr>
            <w:tcW w:w="2185" w:type="dxa"/>
            <w:tcBorders>
              <w:top w:val="nil"/>
              <w:left w:val="nil"/>
              <w:bottom w:val="single" w:sz="4" w:space="0" w:color="auto"/>
              <w:right w:val="nil"/>
            </w:tcBorders>
            <w:shd w:val="clear" w:color="000000" w:fill="FFFFFF"/>
            <w:vAlign w:val="bottom"/>
            <w:hideMark/>
          </w:tcPr>
          <w:p w14:paraId="6EBDE10B"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Satisfaction (4)</w:t>
            </w:r>
          </w:p>
        </w:tc>
        <w:tc>
          <w:tcPr>
            <w:tcW w:w="1081" w:type="dxa"/>
            <w:tcBorders>
              <w:top w:val="nil"/>
              <w:left w:val="nil"/>
              <w:bottom w:val="single" w:sz="4" w:space="0" w:color="auto"/>
              <w:right w:val="nil"/>
            </w:tcBorders>
            <w:shd w:val="clear" w:color="000000" w:fill="FFFFFF"/>
            <w:noWrap/>
            <w:vAlign w:val="bottom"/>
            <w:hideMark/>
          </w:tcPr>
          <w:p w14:paraId="056F618E"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0.698</w:t>
            </w:r>
          </w:p>
        </w:tc>
        <w:tc>
          <w:tcPr>
            <w:tcW w:w="1081" w:type="dxa"/>
            <w:tcBorders>
              <w:top w:val="nil"/>
              <w:left w:val="nil"/>
              <w:bottom w:val="single" w:sz="4" w:space="0" w:color="auto"/>
              <w:right w:val="nil"/>
            </w:tcBorders>
            <w:shd w:val="clear" w:color="000000" w:fill="FFFFFF"/>
            <w:noWrap/>
            <w:vAlign w:val="bottom"/>
            <w:hideMark/>
          </w:tcPr>
          <w:p w14:paraId="1CFE301F"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0.614</w:t>
            </w:r>
          </w:p>
        </w:tc>
        <w:tc>
          <w:tcPr>
            <w:tcW w:w="1081" w:type="dxa"/>
            <w:tcBorders>
              <w:top w:val="nil"/>
              <w:left w:val="nil"/>
              <w:bottom w:val="single" w:sz="4" w:space="0" w:color="auto"/>
              <w:right w:val="nil"/>
            </w:tcBorders>
            <w:shd w:val="clear" w:color="000000" w:fill="FFFFFF"/>
            <w:noWrap/>
            <w:vAlign w:val="bottom"/>
            <w:hideMark/>
          </w:tcPr>
          <w:p w14:paraId="5E88DD31"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0.549</w:t>
            </w:r>
          </w:p>
        </w:tc>
        <w:tc>
          <w:tcPr>
            <w:tcW w:w="1095" w:type="dxa"/>
            <w:tcBorders>
              <w:top w:val="nil"/>
              <w:left w:val="nil"/>
              <w:bottom w:val="single" w:sz="4" w:space="0" w:color="auto"/>
              <w:right w:val="nil"/>
            </w:tcBorders>
            <w:shd w:val="clear" w:color="000000" w:fill="FFFFFF"/>
            <w:noWrap/>
            <w:vAlign w:val="bottom"/>
            <w:hideMark/>
          </w:tcPr>
          <w:p w14:paraId="439A8907" w14:textId="77777777" w:rsidR="00D229A2" w:rsidRPr="00D229A2" w:rsidRDefault="00D229A2" w:rsidP="00D229A2">
            <w:pPr>
              <w:spacing w:after="0" w:line="240" w:lineRule="auto"/>
              <w:rPr>
                <w:rFonts w:eastAsia="Calibri" w:cs="Times New Roman"/>
                <w:b/>
                <w:bCs/>
                <w:sz w:val="22"/>
              </w:rPr>
            </w:pPr>
            <w:r w:rsidRPr="00D229A2">
              <w:rPr>
                <w:rFonts w:eastAsia="Calibri" w:cs="Times New Roman"/>
                <w:b/>
                <w:bCs/>
                <w:sz w:val="22"/>
              </w:rPr>
              <w:t>0.831</w:t>
            </w:r>
          </w:p>
        </w:tc>
      </w:tr>
      <w:tr w:rsidR="00D229A2" w:rsidRPr="00D229A2" w14:paraId="00526012" w14:textId="77777777" w:rsidTr="004E47C0">
        <w:trPr>
          <w:trHeight w:val="530"/>
        </w:trPr>
        <w:tc>
          <w:tcPr>
            <w:tcW w:w="6523" w:type="dxa"/>
            <w:gridSpan w:val="5"/>
            <w:tcBorders>
              <w:top w:val="single" w:sz="4" w:space="0" w:color="auto"/>
              <w:left w:val="nil"/>
              <w:bottom w:val="single" w:sz="4" w:space="0" w:color="auto"/>
              <w:right w:val="nil"/>
            </w:tcBorders>
            <w:shd w:val="clear" w:color="000000" w:fill="FFFFFF"/>
            <w:vAlign w:val="bottom"/>
            <w:hideMark/>
          </w:tcPr>
          <w:p w14:paraId="5FD556A5" w14:textId="77777777" w:rsidR="00D229A2" w:rsidRPr="00D229A2" w:rsidRDefault="00D229A2" w:rsidP="00D229A2">
            <w:pPr>
              <w:spacing w:after="0" w:line="240" w:lineRule="auto"/>
              <w:rPr>
                <w:rFonts w:eastAsia="Calibri" w:cs="Times New Roman"/>
                <w:sz w:val="22"/>
              </w:rPr>
            </w:pPr>
            <w:r w:rsidRPr="00D229A2">
              <w:rPr>
                <w:rFonts w:eastAsia="Calibri" w:cs="Times New Roman"/>
                <w:i/>
                <w:iCs/>
                <w:sz w:val="22"/>
              </w:rPr>
              <w:t>Notes:</w:t>
            </w:r>
            <w:r w:rsidRPr="00D229A2">
              <w:rPr>
                <w:rFonts w:eastAsia="Calibri" w:cs="Times New Roman"/>
                <w:sz w:val="22"/>
              </w:rPr>
              <w:t xml:space="preserve"> DOL= Diversity-oriented leadership, IGC= Intercultural group climate, PICLD= Perceived inclusion climate for leader diversity</w:t>
            </w:r>
          </w:p>
          <w:p w14:paraId="1669E7BD" w14:textId="77777777" w:rsidR="00D229A2" w:rsidRPr="00D229A2" w:rsidRDefault="00D229A2" w:rsidP="00D229A2">
            <w:pPr>
              <w:spacing w:after="0" w:line="240" w:lineRule="auto"/>
              <w:rPr>
                <w:rFonts w:eastAsia="Calibri" w:cs="Times New Roman"/>
                <w:b/>
                <w:bCs/>
                <w:sz w:val="22"/>
                <w:lang w:val="fr-FR"/>
              </w:rPr>
            </w:pPr>
          </w:p>
          <w:p w14:paraId="77EBF16F" w14:textId="77777777" w:rsidR="00D229A2" w:rsidRPr="00D229A2" w:rsidRDefault="00D229A2" w:rsidP="00D229A2">
            <w:pPr>
              <w:spacing w:after="0" w:line="240" w:lineRule="auto"/>
              <w:rPr>
                <w:rFonts w:eastAsia="Calibri" w:cs="Times New Roman"/>
                <w:b/>
                <w:bCs/>
                <w:sz w:val="22"/>
                <w:lang w:val="fr-FR"/>
              </w:rPr>
            </w:pPr>
          </w:p>
          <w:p w14:paraId="319A1CDF" w14:textId="66A74BF9" w:rsidR="00D229A2" w:rsidRPr="00D229A2" w:rsidRDefault="00D229A2" w:rsidP="00D229A2">
            <w:pPr>
              <w:spacing w:after="0" w:line="240" w:lineRule="auto"/>
              <w:rPr>
                <w:rFonts w:eastAsia="Calibri" w:cs="Times New Roman"/>
                <w:sz w:val="22"/>
                <w:lang w:val="fr-FR"/>
              </w:rPr>
            </w:pPr>
            <w:r w:rsidRPr="00D229A2">
              <w:rPr>
                <w:rFonts w:eastAsia="Calibri" w:cs="Times New Roman"/>
                <w:b/>
                <w:bCs/>
                <w:sz w:val="22"/>
                <w:lang w:val="fr-FR"/>
              </w:rPr>
              <w:t xml:space="preserve">Table. </w:t>
            </w:r>
            <w:r w:rsidR="008D5509">
              <w:rPr>
                <w:rFonts w:eastAsia="Calibri" w:cs="Times New Roman"/>
                <w:b/>
                <w:bCs/>
                <w:sz w:val="22"/>
                <w:lang w:val="fr-FR"/>
              </w:rPr>
              <w:t>6</w:t>
            </w:r>
            <w:r w:rsidRPr="00D229A2">
              <w:rPr>
                <w:rFonts w:eastAsia="Calibri" w:cs="Times New Roman"/>
                <w:b/>
                <w:bCs/>
                <w:sz w:val="22"/>
                <w:lang w:val="fr-FR"/>
              </w:rPr>
              <w:t>.</w:t>
            </w:r>
            <w:r w:rsidRPr="00D229A2">
              <w:rPr>
                <w:rFonts w:eastAsia="Calibri" w:cs="Times New Roman"/>
                <w:sz w:val="22"/>
                <w:lang w:val="fr-FR"/>
              </w:rPr>
              <w:t xml:space="preserve"> </w:t>
            </w:r>
            <w:proofErr w:type="spellStart"/>
            <w:r w:rsidRPr="00D229A2">
              <w:rPr>
                <w:rFonts w:eastAsia="Calibri" w:cs="Times New Roman"/>
                <w:sz w:val="22"/>
                <w:lang w:val="fr-FR"/>
              </w:rPr>
              <w:t>Heterotrait-Monotrait</w:t>
            </w:r>
            <w:proofErr w:type="spellEnd"/>
            <w:r w:rsidRPr="00D229A2">
              <w:rPr>
                <w:rFonts w:eastAsia="Calibri" w:cs="Times New Roman"/>
                <w:sz w:val="22"/>
                <w:lang w:val="fr-FR"/>
              </w:rPr>
              <w:t xml:space="preserve"> Ratio (HTMT)</w:t>
            </w:r>
          </w:p>
        </w:tc>
      </w:tr>
      <w:tr w:rsidR="00D229A2" w:rsidRPr="00D229A2" w14:paraId="4179EBF6" w14:textId="77777777" w:rsidTr="004E47C0">
        <w:trPr>
          <w:trHeight w:val="252"/>
        </w:trPr>
        <w:tc>
          <w:tcPr>
            <w:tcW w:w="2185" w:type="dxa"/>
            <w:tcBorders>
              <w:top w:val="nil"/>
              <w:left w:val="nil"/>
              <w:bottom w:val="single" w:sz="4" w:space="0" w:color="auto"/>
              <w:right w:val="nil"/>
            </w:tcBorders>
            <w:shd w:val="clear" w:color="000000" w:fill="FFFFFF"/>
            <w:noWrap/>
            <w:vAlign w:val="bottom"/>
            <w:hideMark/>
          </w:tcPr>
          <w:p w14:paraId="733C49D5" w14:textId="77777777" w:rsidR="00D229A2" w:rsidRPr="00D229A2" w:rsidRDefault="00D229A2" w:rsidP="00D229A2">
            <w:pPr>
              <w:spacing w:after="0" w:line="240" w:lineRule="auto"/>
              <w:rPr>
                <w:rFonts w:eastAsia="Calibri" w:cs="Times New Roman"/>
                <w:sz w:val="22"/>
                <w:lang w:val="fr-FR"/>
              </w:rPr>
            </w:pPr>
            <w:r w:rsidRPr="00D229A2">
              <w:rPr>
                <w:rFonts w:eastAsia="Calibri" w:cs="Times New Roman"/>
                <w:sz w:val="22"/>
                <w:lang w:val="fr-FR"/>
              </w:rPr>
              <w:t> </w:t>
            </w:r>
          </w:p>
        </w:tc>
        <w:tc>
          <w:tcPr>
            <w:tcW w:w="1081" w:type="dxa"/>
            <w:tcBorders>
              <w:top w:val="nil"/>
              <w:left w:val="nil"/>
              <w:bottom w:val="single" w:sz="4" w:space="0" w:color="auto"/>
              <w:right w:val="nil"/>
            </w:tcBorders>
            <w:shd w:val="clear" w:color="000000" w:fill="FFFFFF"/>
            <w:noWrap/>
            <w:vAlign w:val="bottom"/>
            <w:hideMark/>
          </w:tcPr>
          <w:p w14:paraId="6AE97287" w14:textId="77777777" w:rsidR="00D229A2" w:rsidRPr="00D229A2" w:rsidRDefault="00D229A2" w:rsidP="00D229A2">
            <w:pPr>
              <w:spacing w:after="0" w:line="240" w:lineRule="auto"/>
              <w:rPr>
                <w:rFonts w:eastAsia="Calibri" w:cs="Times New Roman"/>
                <w:b/>
                <w:bCs/>
                <w:sz w:val="22"/>
              </w:rPr>
            </w:pPr>
            <w:r w:rsidRPr="00D229A2">
              <w:rPr>
                <w:rFonts w:eastAsia="Calibri" w:cs="Times New Roman"/>
                <w:b/>
                <w:bCs/>
                <w:sz w:val="22"/>
              </w:rPr>
              <w:t>1</w:t>
            </w:r>
          </w:p>
        </w:tc>
        <w:tc>
          <w:tcPr>
            <w:tcW w:w="1081" w:type="dxa"/>
            <w:tcBorders>
              <w:top w:val="nil"/>
              <w:left w:val="nil"/>
              <w:bottom w:val="single" w:sz="4" w:space="0" w:color="auto"/>
              <w:right w:val="nil"/>
            </w:tcBorders>
            <w:shd w:val="clear" w:color="000000" w:fill="FFFFFF"/>
            <w:noWrap/>
            <w:vAlign w:val="bottom"/>
            <w:hideMark/>
          </w:tcPr>
          <w:p w14:paraId="18DBA0E7" w14:textId="77777777" w:rsidR="00D229A2" w:rsidRPr="00D229A2" w:rsidRDefault="00D229A2" w:rsidP="00D229A2">
            <w:pPr>
              <w:spacing w:after="0" w:line="240" w:lineRule="auto"/>
              <w:rPr>
                <w:rFonts w:eastAsia="Calibri" w:cs="Times New Roman"/>
                <w:b/>
                <w:bCs/>
                <w:sz w:val="22"/>
              </w:rPr>
            </w:pPr>
            <w:r w:rsidRPr="00D229A2">
              <w:rPr>
                <w:rFonts w:eastAsia="Calibri" w:cs="Times New Roman"/>
                <w:b/>
                <w:bCs/>
                <w:sz w:val="22"/>
              </w:rPr>
              <w:t>2</w:t>
            </w:r>
          </w:p>
        </w:tc>
        <w:tc>
          <w:tcPr>
            <w:tcW w:w="1081" w:type="dxa"/>
            <w:tcBorders>
              <w:top w:val="nil"/>
              <w:left w:val="nil"/>
              <w:bottom w:val="single" w:sz="4" w:space="0" w:color="auto"/>
              <w:right w:val="nil"/>
            </w:tcBorders>
            <w:shd w:val="clear" w:color="000000" w:fill="FFFFFF"/>
            <w:noWrap/>
            <w:vAlign w:val="bottom"/>
            <w:hideMark/>
          </w:tcPr>
          <w:p w14:paraId="3CB87B23" w14:textId="77777777" w:rsidR="00D229A2" w:rsidRPr="00D229A2" w:rsidRDefault="00D229A2" w:rsidP="00D229A2">
            <w:pPr>
              <w:spacing w:after="0" w:line="240" w:lineRule="auto"/>
              <w:rPr>
                <w:rFonts w:eastAsia="Calibri" w:cs="Times New Roman"/>
                <w:b/>
                <w:bCs/>
                <w:sz w:val="22"/>
              </w:rPr>
            </w:pPr>
            <w:r w:rsidRPr="00D229A2">
              <w:rPr>
                <w:rFonts w:eastAsia="Calibri" w:cs="Times New Roman"/>
                <w:b/>
                <w:bCs/>
                <w:sz w:val="22"/>
              </w:rPr>
              <w:t>3</w:t>
            </w:r>
          </w:p>
        </w:tc>
        <w:tc>
          <w:tcPr>
            <w:tcW w:w="1095" w:type="dxa"/>
            <w:tcBorders>
              <w:top w:val="nil"/>
              <w:left w:val="nil"/>
              <w:bottom w:val="single" w:sz="4" w:space="0" w:color="auto"/>
              <w:right w:val="nil"/>
            </w:tcBorders>
            <w:shd w:val="clear" w:color="000000" w:fill="FFFFFF"/>
            <w:noWrap/>
            <w:vAlign w:val="bottom"/>
            <w:hideMark/>
          </w:tcPr>
          <w:p w14:paraId="0C58B08E" w14:textId="77777777" w:rsidR="00D229A2" w:rsidRPr="00D229A2" w:rsidRDefault="00D229A2" w:rsidP="00D229A2">
            <w:pPr>
              <w:spacing w:after="0" w:line="240" w:lineRule="auto"/>
              <w:rPr>
                <w:rFonts w:eastAsia="Calibri" w:cs="Times New Roman"/>
                <w:b/>
                <w:bCs/>
                <w:sz w:val="22"/>
              </w:rPr>
            </w:pPr>
            <w:r w:rsidRPr="00D229A2">
              <w:rPr>
                <w:rFonts w:eastAsia="Calibri" w:cs="Times New Roman"/>
                <w:b/>
                <w:bCs/>
                <w:sz w:val="22"/>
              </w:rPr>
              <w:t>4</w:t>
            </w:r>
          </w:p>
        </w:tc>
      </w:tr>
      <w:tr w:rsidR="00D229A2" w:rsidRPr="00D229A2" w14:paraId="474D65DE" w14:textId="77777777" w:rsidTr="004E47C0">
        <w:trPr>
          <w:trHeight w:val="252"/>
        </w:trPr>
        <w:tc>
          <w:tcPr>
            <w:tcW w:w="2185" w:type="dxa"/>
            <w:tcBorders>
              <w:top w:val="nil"/>
              <w:left w:val="nil"/>
              <w:bottom w:val="nil"/>
              <w:right w:val="nil"/>
            </w:tcBorders>
            <w:shd w:val="clear" w:color="000000" w:fill="FFFFFF"/>
            <w:hideMark/>
          </w:tcPr>
          <w:p w14:paraId="7D5E14EE"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DOL (1)</w:t>
            </w:r>
          </w:p>
        </w:tc>
        <w:tc>
          <w:tcPr>
            <w:tcW w:w="1081" w:type="dxa"/>
            <w:tcBorders>
              <w:top w:val="nil"/>
              <w:left w:val="nil"/>
              <w:bottom w:val="nil"/>
              <w:right w:val="nil"/>
            </w:tcBorders>
            <w:shd w:val="clear" w:color="000000" w:fill="FFFFFF"/>
            <w:noWrap/>
            <w:vAlign w:val="bottom"/>
            <w:hideMark/>
          </w:tcPr>
          <w:p w14:paraId="1D55E320"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w:t>
            </w:r>
          </w:p>
        </w:tc>
        <w:tc>
          <w:tcPr>
            <w:tcW w:w="1081" w:type="dxa"/>
            <w:tcBorders>
              <w:top w:val="nil"/>
              <w:left w:val="nil"/>
              <w:bottom w:val="nil"/>
              <w:right w:val="nil"/>
            </w:tcBorders>
            <w:shd w:val="clear" w:color="000000" w:fill="FFFFFF"/>
            <w:noWrap/>
            <w:vAlign w:val="bottom"/>
            <w:hideMark/>
          </w:tcPr>
          <w:p w14:paraId="02F7156D"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tc>
        <w:tc>
          <w:tcPr>
            <w:tcW w:w="1081" w:type="dxa"/>
            <w:tcBorders>
              <w:top w:val="nil"/>
              <w:left w:val="nil"/>
              <w:bottom w:val="nil"/>
              <w:right w:val="nil"/>
            </w:tcBorders>
            <w:shd w:val="clear" w:color="000000" w:fill="FFFFFF"/>
            <w:noWrap/>
            <w:vAlign w:val="bottom"/>
            <w:hideMark/>
          </w:tcPr>
          <w:p w14:paraId="5BFD9F0F"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tc>
        <w:tc>
          <w:tcPr>
            <w:tcW w:w="1095" w:type="dxa"/>
            <w:tcBorders>
              <w:top w:val="nil"/>
              <w:left w:val="nil"/>
              <w:bottom w:val="nil"/>
              <w:right w:val="nil"/>
            </w:tcBorders>
            <w:shd w:val="clear" w:color="000000" w:fill="FFFFFF"/>
            <w:noWrap/>
            <w:vAlign w:val="bottom"/>
            <w:hideMark/>
          </w:tcPr>
          <w:p w14:paraId="2BCBDF97"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tc>
      </w:tr>
      <w:tr w:rsidR="00D229A2" w:rsidRPr="00D229A2" w14:paraId="5D848DB6" w14:textId="77777777" w:rsidTr="004E47C0">
        <w:trPr>
          <w:trHeight w:val="252"/>
        </w:trPr>
        <w:tc>
          <w:tcPr>
            <w:tcW w:w="2185" w:type="dxa"/>
            <w:tcBorders>
              <w:top w:val="nil"/>
              <w:left w:val="nil"/>
              <w:bottom w:val="nil"/>
              <w:right w:val="nil"/>
            </w:tcBorders>
            <w:shd w:val="clear" w:color="000000" w:fill="FFFFFF"/>
            <w:vAlign w:val="bottom"/>
            <w:hideMark/>
          </w:tcPr>
          <w:p w14:paraId="7F49D075"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IGC (2)</w:t>
            </w:r>
          </w:p>
        </w:tc>
        <w:tc>
          <w:tcPr>
            <w:tcW w:w="1081" w:type="dxa"/>
            <w:tcBorders>
              <w:top w:val="nil"/>
              <w:left w:val="nil"/>
              <w:bottom w:val="nil"/>
              <w:right w:val="nil"/>
            </w:tcBorders>
            <w:shd w:val="clear" w:color="000000" w:fill="FFFFFF"/>
            <w:noWrap/>
            <w:vAlign w:val="bottom"/>
            <w:hideMark/>
          </w:tcPr>
          <w:p w14:paraId="4DCF1E66"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0.667</w:t>
            </w:r>
          </w:p>
        </w:tc>
        <w:tc>
          <w:tcPr>
            <w:tcW w:w="1081" w:type="dxa"/>
            <w:tcBorders>
              <w:top w:val="nil"/>
              <w:left w:val="nil"/>
              <w:bottom w:val="nil"/>
              <w:right w:val="nil"/>
            </w:tcBorders>
            <w:shd w:val="clear" w:color="000000" w:fill="FFFFFF"/>
            <w:noWrap/>
            <w:vAlign w:val="bottom"/>
            <w:hideMark/>
          </w:tcPr>
          <w:p w14:paraId="1DCE1FAD"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w:t>
            </w:r>
          </w:p>
        </w:tc>
        <w:tc>
          <w:tcPr>
            <w:tcW w:w="1081" w:type="dxa"/>
            <w:tcBorders>
              <w:top w:val="nil"/>
              <w:left w:val="nil"/>
              <w:bottom w:val="nil"/>
              <w:right w:val="nil"/>
            </w:tcBorders>
            <w:shd w:val="clear" w:color="000000" w:fill="FFFFFF"/>
            <w:noWrap/>
            <w:vAlign w:val="bottom"/>
            <w:hideMark/>
          </w:tcPr>
          <w:p w14:paraId="07A1E38D"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tc>
        <w:tc>
          <w:tcPr>
            <w:tcW w:w="1095" w:type="dxa"/>
            <w:tcBorders>
              <w:top w:val="nil"/>
              <w:left w:val="nil"/>
              <w:bottom w:val="nil"/>
              <w:right w:val="nil"/>
            </w:tcBorders>
            <w:shd w:val="clear" w:color="000000" w:fill="FFFFFF"/>
            <w:noWrap/>
            <w:vAlign w:val="bottom"/>
            <w:hideMark/>
          </w:tcPr>
          <w:p w14:paraId="68A3586F"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tc>
      </w:tr>
      <w:tr w:rsidR="00D229A2" w:rsidRPr="00D229A2" w14:paraId="1EE0DEE9" w14:textId="77777777" w:rsidTr="004E47C0">
        <w:trPr>
          <w:trHeight w:val="252"/>
        </w:trPr>
        <w:tc>
          <w:tcPr>
            <w:tcW w:w="2185" w:type="dxa"/>
            <w:tcBorders>
              <w:top w:val="nil"/>
              <w:left w:val="nil"/>
              <w:bottom w:val="nil"/>
              <w:right w:val="nil"/>
            </w:tcBorders>
            <w:shd w:val="clear" w:color="000000" w:fill="FFFFFF"/>
            <w:vAlign w:val="bottom"/>
            <w:hideMark/>
          </w:tcPr>
          <w:p w14:paraId="413D74D4"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PICLD (3)</w:t>
            </w:r>
          </w:p>
        </w:tc>
        <w:tc>
          <w:tcPr>
            <w:tcW w:w="1081" w:type="dxa"/>
            <w:tcBorders>
              <w:top w:val="nil"/>
              <w:left w:val="nil"/>
              <w:bottom w:val="nil"/>
              <w:right w:val="nil"/>
            </w:tcBorders>
            <w:shd w:val="clear" w:color="000000" w:fill="FFFFFF"/>
            <w:noWrap/>
            <w:vAlign w:val="bottom"/>
            <w:hideMark/>
          </w:tcPr>
          <w:p w14:paraId="6DB7D090"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0.504</w:t>
            </w:r>
          </w:p>
        </w:tc>
        <w:tc>
          <w:tcPr>
            <w:tcW w:w="1081" w:type="dxa"/>
            <w:tcBorders>
              <w:top w:val="nil"/>
              <w:left w:val="nil"/>
              <w:bottom w:val="nil"/>
              <w:right w:val="nil"/>
            </w:tcBorders>
            <w:shd w:val="clear" w:color="000000" w:fill="FFFFFF"/>
            <w:noWrap/>
            <w:vAlign w:val="bottom"/>
            <w:hideMark/>
          </w:tcPr>
          <w:p w14:paraId="3FC92590"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0.729</w:t>
            </w:r>
          </w:p>
        </w:tc>
        <w:tc>
          <w:tcPr>
            <w:tcW w:w="1081" w:type="dxa"/>
            <w:tcBorders>
              <w:top w:val="nil"/>
              <w:left w:val="nil"/>
              <w:bottom w:val="nil"/>
              <w:right w:val="nil"/>
            </w:tcBorders>
            <w:shd w:val="clear" w:color="000000" w:fill="FFFFFF"/>
            <w:noWrap/>
            <w:vAlign w:val="bottom"/>
            <w:hideMark/>
          </w:tcPr>
          <w:p w14:paraId="22B2EBE4"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w:t>
            </w:r>
          </w:p>
        </w:tc>
        <w:tc>
          <w:tcPr>
            <w:tcW w:w="1095" w:type="dxa"/>
            <w:tcBorders>
              <w:top w:val="nil"/>
              <w:left w:val="nil"/>
              <w:bottom w:val="nil"/>
              <w:right w:val="nil"/>
            </w:tcBorders>
            <w:shd w:val="clear" w:color="000000" w:fill="FFFFFF"/>
            <w:noWrap/>
            <w:vAlign w:val="bottom"/>
            <w:hideMark/>
          </w:tcPr>
          <w:p w14:paraId="451056DB"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tc>
      </w:tr>
      <w:tr w:rsidR="00D229A2" w:rsidRPr="00D229A2" w14:paraId="2811ABF8" w14:textId="77777777" w:rsidTr="004E47C0">
        <w:trPr>
          <w:trHeight w:val="252"/>
        </w:trPr>
        <w:tc>
          <w:tcPr>
            <w:tcW w:w="2185" w:type="dxa"/>
            <w:tcBorders>
              <w:top w:val="nil"/>
              <w:left w:val="nil"/>
              <w:bottom w:val="single" w:sz="4" w:space="0" w:color="auto"/>
              <w:right w:val="nil"/>
            </w:tcBorders>
            <w:shd w:val="clear" w:color="000000" w:fill="FFFFFF"/>
            <w:vAlign w:val="bottom"/>
            <w:hideMark/>
          </w:tcPr>
          <w:p w14:paraId="33D451D5"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Satisfaction (4)</w:t>
            </w:r>
          </w:p>
        </w:tc>
        <w:tc>
          <w:tcPr>
            <w:tcW w:w="1081" w:type="dxa"/>
            <w:tcBorders>
              <w:top w:val="nil"/>
              <w:left w:val="nil"/>
              <w:bottom w:val="single" w:sz="4" w:space="0" w:color="auto"/>
              <w:right w:val="nil"/>
            </w:tcBorders>
            <w:shd w:val="clear" w:color="000000" w:fill="FFFFFF"/>
            <w:noWrap/>
            <w:vAlign w:val="bottom"/>
            <w:hideMark/>
          </w:tcPr>
          <w:p w14:paraId="73543344"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0.793</w:t>
            </w:r>
          </w:p>
        </w:tc>
        <w:tc>
          <w:tcPr>
            <w:tcW w:w="1081" w:type="dxa"/>
            <w:tcBorders>
              <w:top w:val="nil"/>
              <w:left w:val="nil"/>
              <w:bottom w:val="single" w:sz="4" w:space="0" w:color="auto"/>
              <w:right w:val="nil"/>
            </w:tcBorders>
            <w:shd w:val="clear" w:color="000000" w:fill="FFFFFF"/>
            <w:noWrap/>
            <w:vAlign w:val="bottom"/>
            <w:hideMark/>
          </w:tcPr>
          <w:p w14:paraId="003F9E36"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0.721</w:t>
            </w:r>
          </w:p>
        </w:tc>
        <w:tc>
          <w:tcPr>
            <w:tcW w:w="1081" w:type="dxa"/>
            <w:tcBorders>
              <w:top w:val="nil"/>
              <w:left w:val="nil"/>
              <w:bottom w:val="single" w:sz="4" w:space="0" w:color="auto"/>
              <w:right w:val="nil"/>
            </w:tcBorders>
            <w:shd w:val="clear" w:color="000000" w:fill="FFFFFF"/>
            <w:noWrap/>
            <w:vAlign w:val="bottom"/>
            <w:hideMark/>
          </w:tcPr>
          <w:p w14:paraId="23A51D50"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0.600</w:t>
            </w:r>
          </w:p>
        </w:tc>
        <w:tc>
          <w:tcPr>
            <w:tcW w:w="1095" w:type="dxa"/>
            <w:tcBorders>
              <w:top w:val="nil"/>
              <w:left w:val="nil"/>
              <w:bottom w:val="single" w:sz="4" w:space="0" w:color="auto"/>
              <w:right w:val="nil"/>
            </w:tcBorders>
            <w:shd w:val="clear" w:color="000000" w:fill="FFFFFF"/>
            <w:noWrap/>
            <w:vAlign w:val="bottom"/>
            <w:hideMark/>
          </w:tcPr>
          <w:p w14:paraId="1062598A"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w:t>
            </w:r>
          </w:p>
        </w:tc>
      </w:tr>
      <w:tr w:rsidR="00D229A2" w:rsidRPr="00D229A2" w14:paraId="0B8BB1D0" w14:textId="77777777" w:rsidTr="004E47C0">
        <w:trPr>
          <w:trHeight w:val="252"/>
        </w:trPr>
        <w:tc>
          <w:tcPr>
            <w:tcW w:w="6523" w:type="dxa"/>
            <w:gridSpan w:val="5"/>
            <w:tcBorders>
              <w:top w:val="nil"/>
              <w:left w:val="nil"/>
              <w:bottom w:val="nil"/>
              <w:right w:val="nil"/>
            </w:tcBorders>
            <w:shd w:val="clear" w:color="000000" w:fill="FFFFFF"/>
            <w:noWrap/>
            <w:vAlign w:val="bottom"/>
            <w:hideMark/>
          </w:tcPr>
          <w:p w14:paraId="48FF22B5" w14:textId="056DD8F2" w:rsidR="00D229A2" w:rsidRPr="00D229A2" w:rsidRDefault="00D229A2" w:rsidP="00D229A2">
            <w:pPr>
              <w:spacing w:after="0" w:line="240" w:lineRule="auto"/>
              <w:rPr>
                <w:rFonts w:eastAsia="Calibri" w:cs="Times New Roman"/>
                <w:sz w:val="22"/>
              </w:rPr>
            </w:pPr>
            <w:r w:rsidRPr="00D229A2">
              <w:rPr>
                <w:rFonts w:eastAsia="Calibri" w:cs="Times New Roman"/>
                <w:i/>
                <w:iCs/>
                <w:sz w:val="22"/>
              </w:rPr>
              <w:t>Notes:</w:t>
            </w:r>
            <w:r w:rsidRPr="00D229A2">
              <w:rPr>
                <w:rFonts w:eastAsia="Calibri" w:cs="Times New Roman"/>
                <w:sz w:val="22"/>
              </w:rPr>
              <w:t xml:space="preserve"> DOL= Diversity-oriented leadership</w:t>
            </w:r>
            <w:r w:rsidR="00830BB7">
              <w:rPr>
                <w:rFonts w:eastAsia="Calibri" w:cs="Times New Roman"/>
                <w:sz w:val="22"/>
              </w:rPr>
              <w:t xml:space="preserve">; </w:t>
            </w:r>
            <w:r w:rsidRPr="00D229A2">
              <w:rPr>
                <w:rFonts w:eastAsia="Calibri" w:cs="Times New Roman"/>
                <w:sz w:val="22"/>
              </w:rPr>
              <w:t>IGC= Intercultural group climate</w:t>
            </w:r>
            <w:r w:rsidR="00830BB7">
              <w:rPr>
                <w:rFonts w:eastAsia="Calibri" w:cs="Times New Roman"/>
                <w:sz w:val="22"/>
              </w:rPr>
              <w:t>;</w:t>
            </w:r>
            <w:r w:rsidRPr="00D229A2">
              <w:rPr>
                <w:rFonts w:eastAsia="Calibri" w:cs="Times New Roman"/>
                <w:sz w:val="22"/>
              </w:rPr>
              <w:t xml:space="preserve"> PICLD= Perceived inclusion climate for leader diversity</w:t>
            </w:r>
          </w:p>
          <w:p w14:paraId="7EE35CE1" w14:textId="77777777" w:rsidR="00D229A2" w:rsidRPr="00D229A2" w:rsidRDefault="00D229A2" w:rsidP="00D229A2">
            <w:pPr>
              <w:spacing w:after="0" w:line="240" w:lineRule="auto"/>
              <w:rPr>
                <w:rFonts w:eastAsia="Calibri" w:cs="Times New Roman"/>
                <w:sz w:val="22"/>
              </w:rPr>
            </w:pPr>
            <w:r w:rsidRPr="00D229A2">
              <w:rPr>
                <w:rFonts w:eastAsia="Calibri" w:cs="Times New Roman"/>
                <w:sz w:val="22"/>
              </w:rPr>
              <w:t> </w:t>
            </w:r>
          </w:p>
          <w:p w14:paraId="736F2FDA" w14:textId="77777777" w:rsidR="00D229A2" w:rsidRPr="00D229A2" w:rsidRDefault="00D229A2" w:rsidP="00D229A2">
            <w:pPr>
              <w:spacing w:after="0" w:line="240" w:lineRule="auto"/>
              <w:rPr>
                <w:rFonts w:eastAsia="Calibri" w:cs="Times New Roman"/>
                <w:sz w:val="22"/>
              </w:rPr>
            </w:pPr>
          </w:p>
        </w:tc>
      </w:tr>
    </w:tbl>
    <w:tbl>
      <w:tblPr>
        <w:tblpPr w:leftFromText="180" w:rightFromText="180" w:vertAnchor="text" w:horzAnchor="margin" w:tblpY="65"/>
        <w:tblW w:w="8245" w:type="dxa"/>
        <w:tblLook w:val="04A0" w:firstRow="1" w:lastRow="0" w:firstColumn="1" w:lastColumn="0" w:noHBand="0" w:noVBand="1"/>
      </w:tblPr>
      <w:tblGrid>
        <w:gridCol w:w="3949"/>
        <w:gridCol w:w="1064"/>
        <w:gridCol w:w="1097"/>
        <w:gridCol w:w="1064"/>
        <w:gridCol w:w="1071"/>
      </w:tblGrid>
      <w:tr w:rsidR="00D229A2" w:rsidRPr="00D229A2" w14:paraId="04BACF85" w14:textId="77777777" w:rsidTr="00A8082E">
        <w:trPr>
          <w:trHeight w:val="151"/>
        </w:trPr>
        <w:tc>
          <w:tcPr>
            <w:tcW w:w="3949" w:type="dxa"/>
            <w:tcBorders>
              <w:top w:val="nil"/>
              <w:left w:val="nil"/>
              <w:bottom w:val="nil"/>
              <w:right w:val="nil"/>
            </w:tcBorders>
            <w:shd w:val="clear" w:color="000000" w:fill="FFFFFF"/>
            <w:noWrap/>
            <w:vAlign w:val="bottom"/>
            <w:hideMark/>
          </w:tcPr>
          <w:p w14:paraId="3FC2BE55" w14:textId="03DE0564" w:rsidR="00D229A2" w:rsidRPr="00D229A2" w:rsidRDefault="00D229A2" w:rsidP="00D229A2">
            <w:pPr>
              <w:spacing w:after="0" w:line="240" w:lineRule="auto"/>
              <w:rPr>
                <w:rFonts w:eastAsia="Times New Roman" w:cs="Times New Roman"/>
                <w:sz w:val="22"/>
                <w:szCs w:val="24"/>
              </w:rPr>
            </w:pPr>
            <w:r w:rsidRPr="00D229A2">
              <w:rPr>
                <w:rFonts w:eastAsia="Times New Roman" w:cs="Times New Roman"/>
                <w:b/>
                <w:bCs/>
                <w:sz w:val="22"/>
                <w:szCs w:val="24"/>
              </w:rPr>
              <w:t xml:space="preserve">Table. </w:t>
            </w:r>
            <w:r w:rsidR="008D5509">
              <w:rPr>
                <w:rFonts w:eastAsia="Times New Roman" w:cs="Times New Roman"/>
                <w:b/>
                <w:bCs/>
                <w:sz w:val="22"/>
                <w:szCs w:val="24"/>
              </w:rPr>
              <w:t>7</w:t>
            </w:r>
            <w:r w:rsidRPr="00D229A2">
              <w:rPr>
                <w:rFonts w:eastAsia="Times New Roman" w:cs="Times New Roman"/>
                <w:b/>
                <w:bCs/>
                <w:sz w:val="22"/>
                <w:szCs w:val="24"/>
              </w:rPr>
              <w:t>.</w:t>
            </w:r>
            <w:r w:rsidRPr="00D229A2">
              <w:rPr>
                <w:rFonts w:eastAsia="Times New Roman" w:cs="Times New Roman"/>
                <w:sz w:val="22"/>
                <w:szCs w:val="24"/>
              </w:rPr>
              <w:t xml:space="preserve"> Structural </w:t>
            </w:r>
            <w:r w:rsidR="00A8082E">
              <w:rPr>
                <w:rFonts w:eastAsia="Times New Roman" w:cs="Times New Roman"/>
                <w:sz w:val="22"/>
                <w:szCs w:val="24"/>
              </w:rPr>
              <w:t>M</w:t>
            </w:r>
            <w:r w:rsidRPr="00D229A2">
              <w:rPr>
                <w:rFonts w:eastAsia="Times New Roman" w:cs="Times New Roman"/>
                <w:sz w:val="22"/>
                <w:szCs w:val="24"/>
              </w:rPr>
              <w:t xml:space="preserve">odel </w:t>
            </w:r>
            <w:r w:rsidR="00A8082E">
              <w:rPr>
                <w:rFonts w:eastAsia="Times New Roman" w:cs="Times New Roman"/>
                <w:sz w:val="22"/>
                <w:szCs w:val="24"/>
              </w:rPr>
              <w:t>R</w:t>
            </w:r>
            <w:r w:rsidRPr="00D229A2">
              <w:rPr>
                <w:rFonts w:eastAsia="Times New Roman" w:cs="Times New Roman"/>
                <w:sz w:val="22"/>
                <w:szCs w:val="24"/>
              </w:rPr>
              <w:t>esults</w:t>
            </w:r>
          </w:p>
        </w:tc>
        <w:tc>
          <w:tcPr>
            <w:tcW w:w="1064" w:type="dxa"/>
            <w:tcBorders>
              <w:top w:val="nil"/>
              <w:left w:val="nil"/>
              <w:bottom w:val="nil"/>
              <w:right w:val="nil"/>
            </w:tcBorders>
            <w:shd w:val="clear" w:color="000000" w:fill="FFFFFF"/>
            <w:noWrap/>
            <w:vAlign w:val="bottom"/>
            <w:hideMark/>
          </w:tcPr>
          <w:p w14:paraId="2D0CA663" w14:textId="77777777" w:rsidR="00D229A2" w:rsidRPr="00D229A2" w:rsidRDefault="00D229A2" w:rsidP="00D229A2">
            <w:pPr>
              <w:spacing w:after="0" w:line="240" w:lineRule="auto"/>
              <w:rPr>
                <w:rFonts w:eastAsia="Times New Roman" w:cs="Times New Roman"/>
                <w:sz w:val="22"/>
                <w:szCs w:val="24"/>
              </w:rPr>
            </w:pPr>
            <w:r w:rsidRPr="00D229A2">
              <w:rPr>
                <w:rFonts w:eastAsia="Times New Roman" w:cs="Times New Roman"/>
                <w:sz w:val="22"/>
                <w:szCs w:val="24"/>
              </w:rPr>
              <w:t> </w:t>
            </w:r>
          </w:p>
        </w:tc>
        <w:tc>
          <w:tcPr>
            <w:tcW w:w="1097" w:type="dxa"/>
            <w:tcBorders>
              <w:top w:val="nil"/>
              <w:left w:val="nil"/>
              <w:bottom w:val="nil"/>
              <w:right w:val="nil"/>
            </w:tcBorders>
            <w:shd w:val="clear" w:color="000000" w:fill="FFFFFF"/>
            <w:noWrap/>
            <w:vAlign w:val="bottom"/>
            <w:hideMark/>
          </w:tcPr>
          <w:p w14:paraId="5957DFD5" w14:textId="77777777" w:rsidR="00D229A2" w:rsidRPr="00D229A2" w:rsidRDefault="00D229A2" w:rsidP="00D229A2">
            <w:pPr>
              <w:spacing w:after="0" w:line="240" w:lineRule="auto"/>
              <w:rPr>
                <w:rFonts w:eastAsia="Times New Roman" w:cs="Times New Roman"/>
                <w:sz w:val="22"/>
                <w:szCs w:val="24"/>
              </w:rPr>
            </w:pPr>
            <w:r w:rsidRPr="00D229A2">
              <w:rPr>
                <w:rFonts w:eastAsia="Times New Roman" w:cs="Times New Roman"/>
                <w:sz w:val="22"/>
                <w:szCs w:val="24"/>
              </w:rPr>
              <w:t> </w:t>
            </w:r>
          </w:p>
        </w:tc>
        <w:tc>
          <w:tcPr>
            <w:tcW w:w="1064" w:type="dxa"/>
            <w:tcBorders>
              <w:top w:val="nil"/>
              <w:left w:val="nil"/>
              <w:bottom w:val="nil"/>
              <w:right w:val="nil"/>
            </w:tcBorders>
            <w:shd w:val="clear" w:color="000000" w:fill="FFFFFF"/>
            <w:noWrap/>
            <w:vAlign w:val="bottom"/>
            <w:hideMark/>
          </w:tcPr>
          <w:p w14:paraId="1B32CD3E" w14:textId="77777777" w:rsidR="00D229A2" w:rsidRPr="00D229A2" w:rsidRDefault="00D229A2" w:rsidP="00D229A2">
            <w:pPr>
              <w:spacing w:after="0" w:line="240" w:lineRule="auto"/>
              <w:rPr>
                <w:rFonts w:eastAsia="Times New Roman" w:cs="Times New Roman"/>
                <w:sz w:val="22"/>
                <w:szCs w:val="24"/>
              </w:rPr>
            </w:pPr>
            <w:r w:rsidRPr="00D229A2">
              <w:rPr>
                <w:rFonts w:eastAsia="Times New Roman" w:cs="Times New Roman"/>
                <w:sz w:val="22"/>
                <w:szCs w:val="24"/>
              </w:rPr>
              <w:t> </w:t>
            </w:r>
          </w:p>
        </w:tc>
        <w:tc>
          <w:tcPr>
            <w:tcW w:w="1071" w:type="dxa"/>
            <w:tcBorders>
              <w:top w:val="nil"/>
              <w:left w:val="nil"/>
              <w:bottom w:val="nil"/>
              <w:right w:val="nil"/>
            </w:tcBorders>
            <w:shd w:val="clear" w:color="000000" w:fill="FFFFFF"/>
            <w:noWrap/>
            <w:vAlign w:val="bottom"/>
            <w:hideMark/>
          </w:tcPr>
          <w:p w14:paraId="06F8755B" w14:textId="77777777" w:rsidR="00D229A2" w:rsidRPr="00D229A2" w:rsidRDefault="00D229A2" w:rsidP="00D229A2">
            <w:pPr>
              <w:spacing w:after="0" w:line="240" w:lineRule="auto"/>
              <w:rPr>
                <w:rFonts w:eastAsia="Times New Roman" w:cs="Times New Roman"/>
                <w:sz w:val="22"/>
                <w:szCs w:val="24"/>
              </w:rPr>
            </w:pPr>
            <w:r w:rsidRPr="00D229A2">
              <w:rPr>
                <w:rFonts w:eastAsia="Times New Roman" w:cs="Times New Roman"/>
                <w:sz w:val="22"/>
                <w:szCs w:val="24"/>
              </w:rPr>
              <w:t> </w:t>
            </w:r>
          </w:p>
        </w:tc>
      </w:tr>
      <w:tr w:rsidR="00D229A2" w:rsidRPr="00D229A2" w14:paraId="25B2142D" w14:textId="77777777" w:rsidTr="00A8082E">
        <w:trPr>
          <w:trHeight w:val="151"/>
        </w:trPr>
        <w:tc>
          <w:tcPr>
            <w:tcW w:w="3949" w:type="dxa"/>
            <w:tcBorders>
              <w:top w:val="single" w:sz="4" w:space="0" w:color="auto"/>
              <w:left w:val="nil"/>
              <w:bottom w:val="single" w:sz="4" w:space="0" w:color="auto"/>
              <w:right w:val="nil"/>
            </w:tcBorders>
            <w:shd w:val="clear" w:color="000000" w:fill="FFFFFF"/>
            <w:noWrap/>
            <w:vAlign w:val="bottom"/>
            <w:hideMark/>
          </w:tcPr>
          <w:p w14:paraId="0DB7E248" w14:textId="77777777" w:rsidR="00D229A2" w:rsidRPr="00D229A2" w:rsidRDefault="00D229A2" w:rsidP="00D229A2">
            <w:pPr>
              <w:spacing w:after="0" w:line="240" w:lineRule="auto"/>
              <w:rPr>
                <w:rFonts w:eastAsia="Times New Roman" w:cs="Times New Roman"/>
                <w:b/>
                <w:bCs/>
                <w:sz w:val="22"/>
                <w:szCs w:val="24"/>
              </w:rPr>
            </w:pPr>
            <w:r w:rsidRPr="00D229A2">
              <w:rPr>
                <w:rFonts w:eastAsia="Times New Roman" w:cs="Times New Roman"/>
                <w:b/>
                <w:bCs/>
                <w:sz w:val="22"/>
                <w:szCs w:val="24"/>
              </w:rPr>
              <w:t>Relationships</w:t>
            </w:r>
          </w:p>
        </w:tc>
        <w:tc>
          <w:tcPr>
            <w:tcW w:w="1064" w:type="dxa"/>
            <w:tcBorders>
              <w:top w:val="single" w:sz="4" w:space="0" w:color="auto"/>
              <w:left w:val="nil"/>
              <w:bottom w:val="single" w:sz="4" w:space="0" w:color="auto"/>
              <w:right w:val="nil"/>
            </w:tcBorders>
            <w:shd w:val="clear" w:color="000000" w:fill="FFFFFF"/>
            <w:noWrap/>
            <w:hideMark/>
          </w:tcPr>
          <w:p w14:paraId="6270AA23" w14:textId="77777777" w:rsidR="00D229A2" w:rsidRPr="00D229A2" w:rsidRDefault="00D229A2" w:rsidP="00D229A2">
            <w:pPr>
              <w:spacing w:after="0" w:line="240" w:lineRule="auto"/>
              <w:jc w:val="center"/>
              <w:rPr>
                <w:rFonts w:eastAsia="Times New Roman" w:cs="Times New Roman"/>
                <w:b/>
                <w:bCs/>
                <w:sz w:val="22"/>
                <w:szCs w:val="24"/>
              </w:rPr>
            </w:pPr>
            <w:r w:rsidRPr="00D229A2">
              <w:rPr>
                <w:rFonts w:eastAsia="Times New Roman" w:cs="Times New Roman"/>
                <w:b/>
                <w:bCs/>
                <w:sz w:val="22"/>
                <w:szCs w:val="24"/>
              </w:rPr>
              <w:t>β</w:t>
            </w:r>
          </w:p>
        </w:tc>
        <w:tc>
          <w:tcPr>
            <w:tcW w:w="1097" w:type="dxa"/>
            <w:tcBorders>
              <w:top w:val="single" w:sz="4" w:space="0" w:color="auto"/>
              <w:left w:val="nil"/>
              <w:bottom w:val="single" w:sz="4" w:space="0" w:color="auto"/>
              <w:right w:val="nil"/>
            </w:tcBorders>
            <w:shd w:val="clear" w:color="000000" w:fill="FFFFFF"/>
            <w:noWrap/>
            <w:hideMark/>
          </w:tcPr>
          <w:p w14:paraId="173BF395" w14:textId="77777777" w:rsidR="00D229A2" w:rsidRPr="00D229A2" w:rsidRDefault="00D229A2" w:rsidP="00D229A2">
            <w:pPr>
              <w:spacing w:after="0" w:line="240" w:lineRule="auto"/>
              <w:jc w:val="center"/>
              <w:rPr>
                <w:rFonts w:eastAsia="Times New Roman" w:cs="Times New Roman"/>
                <w:b/>
                <w:bCs/>
                <w:sz w:val="22"/>
                <w:szCs w:val="24"/>
              </w:rPr>
            </w:pPr>
            <w:r w:rsidRPr="00D229A2">
              <w:rPr>
                <w:rFonts w:eastAsia="Times New Roman" w:cs="Times New Roman"/>
                <w:b/>
                <w:bCs/>
                <w:sz w:val="22"/>
                <w:szCs w:val="24"/>
              </w:rPr>
              <w:t>STDEV</w:t>
            </w:r>
          </w:p>
        </w:tc>
        <w:tc>
          <w:tcPr>
            <w:tcW w:w="1064" w:type="dxa"/>
            <w:tcBorders>
              <w:top w:val="single" w:sz="4" w:space="0" w:color="auto"/>
              <w:left w:val="nil"/>
              <w:bottom w:val="single" w:sz="4" w:space="0" w:color="auto"/>
              <w:right w:val="nil"/>
            </w:tcBorders>
            <w:shd w:val="clear" w:color="000000" w:fill="FFFFFF"/>
            <w:noWrap/>
            <w:hideMark/>
          </w:tcPr>
          <w:p w14:paraId="71FC600F" w14:textId="77777777" w:rsidR="00D229A2" w:rsidRPr="00D229A2" w:rsidRDefault="00D229A2" w:rsidP="00D229A2">
            <w:pPr>
              <w:spacing w:after="0" w:line="240" w:lineRule="auto"/>
              <w:jc w:val="center"/>
              <w:rPr>
                <w:rFonts w:eastAsia="Times New Roman" w:cs="Times New Roman"/>
                <w:b/>
                <w:bCs/>
                <w:sz w:val="22"/>
                <w:szCs w:val="24"/>
              </w:rPr>
            </w:pPr>
            <w:r w:rsidRPr="00D229A2">
              <w:rPr>
                <w:rFonts w:eastAsia="Times New Roman" w:cs="Times New Roman"/>
                <w:b/>
                <w:bCs/>
                <w:sz w:val="22"/>
                <w:szCs w:val="24"/>
              </w:rPr>
              <w:t>t-value</w:t>
            </w:r>
          </w:p>
        </w:tc>
        <w:tc>
          <w:tcPr>
            <w:tcW w:w="1071" w:type="dxa"/>
            <w:tcBorders>
              <w:top w:val="single" w:sz="4" w:space="0" w:color="auto"/>
              <w:left w:val="nil"/>
              <w:bottom w:val="single" w:sz="4" w:space="0" w:color="auto"/>
              <w:right w:val="nil"/>
            </w:tcBorders>
            <w:shd w:val="clear" w:color="000000" w:fill="FFFFFF"/>
            <w:noWrap/>
            <w:hideMark/>
          </w:tcPr>
          <w:p w14:paraId="79FE23D8" w14:textId="77777777" w:rsidR="00D229A2" w:rsidRPr="00D229A2" w:rsidRDefault="00D229A2" w:rsidP="00D229A2">
            <w:pPr>
              <w:spacing w:after="0" w:line="240" w:lineRule="auto"/>
              <w:jc w:val="center"/>
              <w:rPr>
                <w:rFonts w:eastAsia="Times New Roman" w:cs="Times New Roman"/>
                <w:b/>
                <w:bCs/>
                <w:sz w:val="22"/>
                <w:szCs w:val="24"/>
              </w:rPr>
            </w:pPr>
            <w:r w:rsidRPr="00D229A2">
              <w:rPr>
                <w:rFonts w:eastAsia="Times New Roman" w:cs="Times New Roman"/>
                <w:b/>
                <w:bCs/>
                <w:sz w:val="22"/>
                <w:szCs w:val="24"/>
              </w:rPr>
              <w:t xml:space="preserve">P </w:t>
            </w:r>
          </w:p>
        </w:tc>
      </w:tr>
      <w:tr w:rsidR="00D229A2" w:rsidRPr="00D229A2" w14:paraId="08F625DD" w14:textId="77777777" w:rsidTr="00A8082E">
        <w:trPr>
          <w:trHeight w:val="151"/>
        </w:trPr>
        <w:tc>
          <w:tcPr>
            <w:tcW w:w="3949" w:type="dxa"/>
            <w:tcBorders>
              <w:top w:val="nil"/>
              <w:left w:val="nil"/>
              <w:bottom w:val="nil"/>
              <w:right w:val="nil"/>
            </w:tcBorders>
            <w:shd w:val="clear" w:color="000000" w:fill="FFFFFF"/>
            <w:noWrap/>
            <w:vAlign w:val="bottom"/>
            <w:hideMark/>
          </w:tcPr>
          <w:p w14:paraId="3BBCBBD1" w14:textId="77777777" w:rsidR="00D229A2" w:rsidRPr="00D229A2" w:rsidRDefault="00D229A2" w:rsidP="00D229A2">
            <w:pPr>
              <w:spacing w:after="0" w:line="240" w:lineRule="auto"/>
              <w:rPr>
                <w:rFonts w:eastAsia="Times New Roman" w:cs="Times New Roman"/>
                <w:sz w:val="22"/>
                <w:szCs w:val="24"/>
              </w:rPr>
            </w:pPr>
            <w:r w:rsidRPr="00D229A2">
              <w:rPr>
                <w:rFonts w:eastAsia="Times New Roman" w:cs="Times New Roman"/>
                <w:sz w:val="22"/>
                <w:szCs w:val="24"/>
              </w:rPr>
              <w:t>DOL → Satisfaction</w:t>
            </w:r>
          </w:p>
        </w:tc>
        <w:tc>
          <w:tcPr>
            <w:tcW w:w="1064" w:type="dxa"/>
            <w:tcBorders>
              <w:top w:val="nil"/>
              <w:left w:val="nil"/>
              <w:bottom w:val="nil"/>
              <w:right w:val="nil"/>
            </w:tcBorders>
            <w:shd w:val="clear" w:color="000000" w:fill="FFFFFF"/>
            <w:noWrap/>
            <w:hideMark/>
          </w:tcPr>
          <w:p w14:paraId="527E26FA" w14:textId="77777777" w:rsidR="00D229A2" w:rsidRPr="00D229A2" w:rsidRDefault="00D229A2" w:rsidP="00D229A2">
            <w:pPr>
              <w:spacing w:after="0" w:line="240" w:lineRule="auto"/>
              <w:jc w:val="center"/>
              <w:rPr>
                <w:rFonts w:eastAsia="Times New Roman" w:cs="Times New Roman"/>
                <w:sz w:val="22"/>
                <w:szCs w:val="24"/>
              </w:rPr>
            </w:pPr>
            <w:r w:rsidRPr="00D229A2">
              <w:rPr>
                <w:rFonts w:eastAsia="Times New Roman" w:cs="Times New Roman"/>
                <w:sz w:val="22"/>
                <w:szCs w:val="24"/>
              </w:rPr>
              <w:t>0.490</w:t>
            </w:r>
          </w:p>
        </w:tc>
        <w:tc>
          <w:tcPr>
            <w:tcW w:w="1097" w:type="dxa"/>
            <w:tcBorders>
              <w:top w:val="nil"/>
              <w:left w:val="nil"/>
              <w:bottom w:val="nil"/>
              <w:right w:val="nil"/>
            </w:tcBorders>
            <w:shd w:val="clear" w:color="000000" w:fill="FFFFFF"/>
            <w:noWrap/>
            <w:hideMark/>
          </w:tcPr>
          <w:p w14:paraId="4CAA2DCB" w14:textId="77777777" w:rsidR="00D229A2" w:rsidRPr="00D229A2" w:rsidRDefault="00D229A2" w:rsidP="00D229A2">
            <w:pPr>
              <w:spacing w:after="0" w:line="240" w:lineRule="auto"/>
              <w:jc w:val="center"/>
              <w:rPr>
                <w:rFonts w:eastAsia="Times New Roman" w:cs="Times New Roman"/>
                <w:sz w:val="22"/>
                <w:szCs w:val="24"/>
              </w:rPr>
            </w:pPr>
            <w:r w:rsidRPr="00D229A2">
              <w:rPr>
                <w:rFonts w:eastAsia="Times New Roman" w:cs="Times New Roman"/>
                <w:sz w:val="22"/>
                <w:szCs w:val="24"/>
              </w:rPr>
              <w:t>0.082</w:t>
            </w:r>
          </w:p>
        </w:tc>
        <w:tc>
          <w:tcPr>
            <w:tcW w:w="1064" w:type="dxa"/>
            <w:tcBorders>
              <w:top w:val="nil"/>
              <w:left w:val="nil"/>
              <w:bottom w:val="nil"/>
              <w:right w:val="nil"/>
            </w:tcBorders>
            <w:shd w:val="clear" w:color="000000" w:fill="FFFFFF"/>
            <w:noWrap/>
            <w:hideMark/>
          </w:tcPr>
          <w:p w14:paraId="37ABB0F2" w14:textId="77777777" w:rsidR="00D229A2" w:rsidRPr="00D229A2" w:rsidRDefault="00D229A2" w:rsidP="00D229A2">
            <w:pPr>
              <w:spacing w:after="0" w:line="240" w:lineRule="auto"/>
              <w:jc w:val="center"/>
              <w:rPr>
                <w:rFonts w:eastAsia="Times New Roman" w:cs="Times New Roman"/>
                <w:sz w:val="22"/>
                <w:szCs w:val="24"/>
              </w:rPr>
            </w:pPr>
            <w:r w:rsidRPr="00D229A2">
              <w:rPr>
                <w:rFonts w:eastAsia="Times New Roman" w:cs="Times New Roman"/>
                <w:sz w:val="22"/>
                <w:szCs w:val="24"/>
              </w:rPr>
              <w:t>6.000</w:t>
            </w:r>
          </w:p>
        </w:tc>
        <w:tc>
          <w:tcPr>
            <w:tcW w:w="1071" w:type="dxa"/>
            <w:tcBorders>
              <w:top w:val="nil"/>
              <w:left w:val="nil"/>
              <w:bottom w:val="nil"/>
              <w:right w:val="nil"/>
            </w:tcBorders>
            <w:shd w:val="clear" w:color="000000" w:fill="FFFFFF"/>
            <w:noWrap/>
            <w:hideMark/>
          </w:tcPr>
          <w:p w14:paraId="50AFF27A" w14:textId="77777777" w:rsidR="00D229A2" w:rsidRPr="00D229A2" w:rsidRDefault="00D229A2" w:rsidP="00D229A2">
            <w:pPr>
              <w:spacing w:after="0" w:line="240" w:lineRule="auto"/>
              <w:jc w:val="center"/>
              <w:rPr>
                <w:rFonts w:eastAsia="Times New Roman" w:cs="Times New Roman"/>
                <w:sz w:val="22"/>
                <w:szCs w:val="24"/>
              </w:rPr>
            </w:pPr>
            <w:r w:rsidRPr="00D229A2">
              <w:rPr>
                <w:rFonts w:eastAsia="Times New Roman" w:cs="Times New Roman"/>
                <w:sz w:val="22"/>
                <w:szCs w:val="24"/>
              </w:rPr>
              <w:t>0.000</w:t>
            </w:r>
          </w:p>
        </w:tc>
      </w:tr>
      <w:tr w:rsidR="00D229A2" w:rsidRPr="00D229A2" w14:paraId="5BD5FD3A" w14:textId="77777777" w:rsidTr="00A8082E">
        <w:trPr>
          <w:trHeight w:val="151"/>
        </w:trPr>
        <w:tc>
          <w:tcPr>
            <w:tcW w:w="3949" w:type="dxa"/>
            <w:tcBorders>
              <w:top w:val="nil"/>
              <w:left w:val="nil"/>
              <w:bottom w:val="nil"/>
              <w:right w:val="nil"/>
            </w:tcBorders>
            <w:shd w:val="clear" w:color="000000" w:fill="FFFFFF"/>
            <w:noWrap/>
            <w:vAlign w:val="bottom"/>
            <w:hideMark/>
          </w:tcPr>
          <w:p w14:paraId="66174635" w14:textId="77777777" w:rsidR="00D229A2" w:rsidRPr="00D229A2" w:rsidRDefault="00D229A2" w:rsidP="00D229A2">
            <w:pPr>
              <w:spacing w:after="0" w:line="240" w:lineRule="auto"/>
              <w:rPr>
                <w:rFonts w:eastAsia="Times New Roman" w:cs="Times New Roman"/>
                <w:sz w:val="22"/>
                <w:szCs w:val="24"/>
              </w:rPr>
            </w:pPr>
            <w:r w:rsidRPr="00D229A2">
              <w:rPr>
                <w:rFonts w:eastAsia="Times New Roman" w:cs="Times New Roman"/>
                <w:sz w:val="22"/>
                <w:szCs w:val="24"/>
              </w:rPr>
              <w:t>Intercultural → Satisfaction</w:t>
            </w:r>
          </w:p>
        </w:tc>
        <w:tc>
          <w:tcPr>
            <w:tcW w:w="1064" w:type="dxa"/>
            <w:tcBorders>
              <w:top w:val="nil"/>
              <w:left w:val="nil"/>
              <w:bottom w:val="nil"/>
              <w:right w:val="nil"/>
            </w:tcBorders>
            <w:shd w:val="clear" w:color="000000" w:fill="FFFFFF"/>
            <w:noWrap/>
            <w:hideMark/>
          </w:tcPr>
          <w:p w14:paraId="25ED3E91" w14:textId="77777777" w:rsidR="00D229A2" w:rsidRPr="00D229A2" w:rsidRDefault="00D229A2" w:rsidP="00D229A2">
            <w:pPr>
              <w:spacing w:after="0" w:line="240" w:lineRule="auto"/>
              <w:jc w:val="center"/>
              <w:rPr>
                <w:rFonts w:eastAsia="Times New Roman" w:cs="Times New Roman"/>
                <w:sz w:val="22"/>
                <w:szCs w:val="24"/>
              </w:rPr>
            </w:pPr>
            <w:r w:rsidRPr="00D229A2">
              <w:rPr>
                <w:rFonts w:eastAsia="Times New Roman" w:cs="Times New Roman"/>
                <w:sz w:val="22"/>
                <w:szCs w:val="24"/>
              </w:rPr>
              <w:t>0.213</w:t>
            </w:r>
          </w:p>
        </w:tc>
        <w:tc>
          <w:tcPr>
            <w:tcW w:w="1097" w:type="dxa"/>
            <w:tcBorders>
              <w:top w:val="nil"/>
              <w:left w:val="nil"/>
              <w:bottom w:val="nil"/>
              <w:right w:val="nil"/>
            </w:tcBorders>
            <w:shd w:val="clear" w:color="000000" w:fill="FFFFFF"/>
            <w:noWrap/>
            <w:hideMark/>
          </w:tcPr>
          <w:p w14:paraId="1985F5F4" w14:textId="77777777" w:rsidR="00D229A2" w:rsidRPr="00D229A2" w:rsidRDefault="00D229A2" w:rsidP="00D229A2">
            <w:pPr>
              <w:spacing w:after="0" w:line="240" w:lineRule="auto"/>
              <w:jc w:val="center"/>
              <w:rPr>
                <w:rFonts w:eastAsia="Times New Roman" w:cs="Times New Roman"/>
                <w:sz w:val="22"/>
                <w:szCs w:val="24"/>
              </w:rPr>
            </w:pPr>
            <w:r w:rsidRPr="00D229A2">
              <w:rPr>
                <w:rFonts w:eastAsia="Times New Roman" w:cs="Times New Roman"/>
                <w:sz w:val="22"/>
                <w:szCs w:val="24"/>
              </w:rPr>
              <w:t>0.093</w:t>
            </w:r>
          </w:p>
        </w:tc>
        <w:tc>
          <w:tcPr>
            <w:tcW w:w="1064" w:type="dxa"/>
            <w:tcBorders>
              <w:top w:val="nil"/>
              <w:left w:val="nil"/>
              <w:bottom w:val="nil"/>
              <w:right w:val="nil"/>
            </w:tcBorders>
            <w:shd w:val="clear" w:color="000000" w:fill="FFFFFF"/>
            <w:noWrap/>
            <w:hideMark/>
          </w:tcPr>
          <w:p w14:paraId="43394ABC" w14:textId="77777777" w:rsidR="00D229A2" w:rsidRPr="00D229A2" w:rsidRDefault="00D229A2" w:rsidP="00D229A2">
            <w:pPr>
              <w:spacing w:after="0" w:line="240" w:lineRule="auto"/>
              <w:jc w:val="center"/>
              <w:rPr>
                <w:rFonts w:eastAsia="Times New Roman" w:cs="Times New Roman"/>
                <w:sz w:val="22"/>
                <w:szCs w:val="24"/>
              </w:rPr>
            </w:pPr>
            <w:r w:rsidRPr="00D229A2">
              <w:rPr>
                <w:rFonts w:eastAsia="Times New Roman" w:cs="Times New Roman"/>
                <w:sz w:val="22"/>
                <w:szCs w:val="24"/>
              </w:rPr>
              <w:t>2.283</w:t>
            </w:r>
          </w:p>
        </w:tc>
        <w:tc>
          <w:tcPr>
            <w:tcW w:w="1071" w:type="dxa"/>
            <w:tcBorders>
              <w:top w:val="nil"/>
              <w:left w:val="nil"/>
              <w:bottom w:val="nil"/>
              <w:right w:val="nil"/>
            </w:tcBorders>
            <w:shd w:val="clear" w:color="000000" w:fill="FFFFFF"/>
            <w:noWrap/>
            <w:hideMark/>
          </w:tcPr>
          <w:p w14:paraId="07F4F7E0" w14:textId="77777777" w:rsidR="00D229A2" w:rsidRPr="00D229A2" w:rsidRDefault="00D229A2" w:rsidP="00D229A2">
            <w:pPr>
              <w:spacing w:after="0" w:line="240" w:lineRule="auto"/>
              <w:jc w:val="center"/>
              <w:rPr>
                <w:rFonts w:eastAsia="Times New Roman" w:cs="Times New Roman"/>
                <w:sz w:val="22"/>
                <w:szCs w:val="24"/>
              </w:rPr>
            </w:pPr>
            <w:r w:rsidRPr="00D229A2">
              <w:rPr>
                <w:rFonts w:eastAsia="Times New Roman" w:cs="Times New Roman"/>
                <w:sz w:val="22"/>
                <w:szCs w:val="24"/>
              </w:rPr>
              <w:t>0.011</w:t>
            </w:r>
          </w:p>
        </w:tc>
      </w:tr>
      <w:tr w:rsidR="00D229A2" w:rsidRPr="00D229A2" w14:paraId="55C08B36" w14:textId="77777777" w:rsidTr="00A8082E">
        <w:trPr>
          <w:trHeight w:val="151"/>
        </w:trPr>
        <w:tc>
          <w:tcPr>
            <w:tcW w:w="3949" w:type="dxa"/>
            <w:tcBorders>
              <w:top w:val="nil"/>
              <w:left w:val="nil"/>
              <w:bottom w:val="nil"/>
              <w:right w:val="nil"/>
            </w:tcBorders>
            <w:shd w:val="clear" w:color="000000" w:fill="FFFFFF"/>
            <w:noWrap/>
            <w:vAlign w:val="bottom"/>
            <w:hideMark/>
          </w:tcPr>
          <w:p w14:paraId="3B608465" w14:textId="77777777" w:rsidR="00D229A2" w:rsidRPr="00D229A2" w:rsidRDefault="00D229A2" w:rsidP="00D229A2">
            <w:pPr>
              <w:spacing w:after="0" w:line="240" w:lineRule="auto"/>
              <w:rPr>
                <w:rFonts w:eastAsia="Times New Roman" w:cs="Times New Roman"/>
                <w:sz w:val="22"/>
                <w:szCs w:val="24"/>
              </w:rPr>
            </w:pPr>
            <w:r w:rsidRPr="00D229A2">
              <w:rPr>
                <w:rFonts w:eastAsia="Times New Roman" w:cs="Times New Roman"/>
                <w:i/>
                <w:iCs/>
                <w:sz w:val="22"/>
                <w:szCs w:val="24"/>
              </w:rPr>
              <w:lastRenderedPageBreak/>
              <w:t>PICLD →</w:t>
            </w:r>
            <w:r w:rsidRPr="00D229A2">
              <w:rPr>
                <w:rFonts w:eastAsia="Times New Roman" w:cs="Times New Roman"/>
                <w:sz w:val="22"/>
                <w:szCs w:val="24"/>
              </w:rPr>
              <w:t xml:space="preserve"> Satisfaction</w:t>
            </w:r>
          </w:p>
        </w:tc>
        <w:tc>
          <w:tcPr>
            <w:tcW w:w="1064" w:type="dxa"/>
            <w:tcBorders>
              <w:top w:val="nil"/>
              <w:left w:val="nil"/>
              <w:bottom w:val="nil"/>
              <w:right w:val="nil"/>
            </w:tcBorders>
            <w:shd w:val="clear" w:color="000000" w:fill="FFFFFF"/>
            <w:noWrap/>
            <w:hideMark/>
          </w:tcPr>
          <w:p w14:paraId="00C3E6DE" w14:textId="77777777" w:rsidR="00D229A2" w:rsidRPr="00D229A2" w:rsidRDefault="00D229A2" w:rsidP="00D229A2">
            <w:pPr>
              <w:spacing w:after="0" w:line="240" w:lineRule="auto"/>
              <w:jc w:val="center"/>
              <w:rPr>
                <w:rFonts w:eastAsia="Times New Roman" w:cs="Times New Roman"/>
                <w:sz w:val="22"/>
                <w:szCs w:val="24"/>
              </w:rPr>
            </w:pPr>
            <w:r w:rsidRPr="00D229A2">
              <w:rPr>
                <w:rFonts w:eastAsia="Times New Roman" w:cs="Times New Roman"/>
                <w:sz w:val="22"/>
                <w:szCs w:val="24"/>
              </w:rPr>
              <w:t>0.166</w:t>
            </w:r>
          </w:p>
        </w:tc>
        <w:tc>
          <w:tcPr>
            <w:tcW w:w="1097" w:type="dxa"/>
            <w:tcBorders>
              <w:top w:val="nil"/>
              <w:left w:val="nil"/>
              <w:bottom w:val="nil"/>
              <w:right w:val="nil"/>
            </w:tcBorders>
            <w:shd w:val="clear" w:color="000000" w:fill="FFFFFF"/>
            <w:noWrap/>
            <w:hideMark/>
          </w:tcPr>
          <w:p w14:paraId="767C93C2" w14:textId="77777777" w:rsidR="00D229A2" w:rsidRPr="00D229A2" w:rsidRDefault="00D229A2" w:rsidP="00D229A2">
            <w:pPr>
              <w:spacing w:after="0" w:line="240" w:lineRule="auto"/>
              <w:jc w:val="center"/>
              <w:rPr>
                <w:rFonts w:eastAsia="Times New Roman" w:cs="Times New Roman"/>
                <w:sz w:val="22"/>
                <w:szCs w:val="24"/>
              </w:rPr>
            </w:pPr>
            <w:r w:rsidRPr="00D229A2">
              <w:rPr>
                <w:rFonts w:eastAsia="Times New Roman" w:cs="Times New Roman"/>
                <w:sz w:val="22"/>
                <w:szCs w:val="24"/>
              </w:rPr>
              <w:t>0.098</w:t>
            </w:r>
          </w:p>
        </w:tc>
        <w:tc>
          <w:tcPr>
            <w:tcW w:w="1064" w:type="dxa"/>
            <w:tcBorders>
              <w:top w:val="nil"/>
              <w:left w:val="nil"/>
              <w:bottom w:val="nil"/>
              <w:right w:val="nil"/>
            </w:tcBorders>
            <w:shd w:val="clear" w:color="000000" w:fill="FFFFFF"/>
            <w:noWrap/>
            <w:hideMark/>
          </w:tcPr>
          <w:p w14:paraId="243D73C3" w14:textId="77777777" w:rsidR="00D229A2" w:rsidRPr="00D229A2" w:rsidRDefault="00D229A2" w:rsidP="00D229A2">
            <w:pPr>
              <w:spacing w:after="0" w:line="240" w:lineRule="auto"/>
              <w:jc w:val="center"/>
              <w:rPr>
                <w:rFonts w:eastAsia="Times New Roman" w:cs="Times New Roman"/>
                <w:sz w:val="22"/>
                <w:szCs w:val="24"/>
              </w:rPr>
            </w:pPr>
            <w:r w:rsidRPr="00D229A2">
              <w:rPr>
                <w:rFonts w:eastAsia="Times New Roman" w:cs="Times New Roman"/>
                <w:sz w:val="22"/>
                <w:szCs w:val="24"/>
              </w:rPr>
              <w:t>1.687</w:t>
            </w:r>
          </w:p>
        </w:tc>
        <w:tc>
          <w:tcPr>
            <w:tcW w:w="1071" w:type="dxa"/>
            <w:tcBorders>
              <w:top w:val="nil"/>
              <w:left w:val="nil"/>
              <w:bottom w:val="nil"/>
              <w:right w:val="nil"/>
            </w:tcBorders>
            <w:shd w:val="clear" w:color="000000" w:fill="FFFFFF"/>
            <w:noWrap/>
            <w:hideMark/>
          </w:tcPr>
          <w:p w14:paraId="648ECFA3" w14:textId="77777777" w:rsidR="00D229A2" w:rsidRPr="00D229A2" w:rsidRDefault="00D229A2" w:rsidP="00D229A2">
            <w:pPr>
              <w:spacing w:after="0" w:line="240" w:lineRule="auto"/>
              <w:jc w:val="center"/>
              <w:rPr>
                <w:rFonts w:eastAsia="Times New Roman" w:cs="Times New Roman"/>
                <w:sz w:val="22"/>
                <w:szCs w:val="24"/>
              </w:rPr>
            </w:pPr>
            <w:r w:rsidRPr="00D229A2">
              <w:rPr>
                <w:rFonts w:eastAsia="Times New Roman" w:cs="Times New Roman"/>
                <w:sz w:val="22"/>
                <w:szCs w:val="24"/>
              </w:rPr>
              <w:t>0.046</w:t>
            </w:r>
          </w:p>
        </w:tc>
      </w:tr>
      <w:tr w:rsidR="00D229A2" w:rsidRPr="00D229A2" w14:paraId="3F7F70D4" w14:textId="77777777" w:rsidTr="00D229A2">
        <w:trPr>
          <w:trHeight w:val="261"/>
        </w:trPr>
        <w:tc>
          <w:tcPr>
            <w:tcW w:w="8245" w:type="dxa"/>
            <w:gridSpan w:val="5"/>
            <w:tcBorders>
              <w:top w:val="single" w:sz="4" w:space="0" w:color="auto"/>
              <w:left w:val="nil"/>
              <w:bottom w:val="nil"/>
              <w:right w:val="nil"/>
            </w:tcBorders>
            <w:shd w:val="clear" w:color="000000" w:fill="FFFFFF"/>
            <w:hideMark/>
          </w:tcPr>
          <w:p w14:paraId="1A343DA1" w14:textId="596D0696" w:rsidR="00D229A2" w:rsidRDefault="00D229A2" w:rsidP="00D229A2">
            <w:pPr>
              <w:spacing w:after="0" w:line="240" w:lineRule="auto"/>
              <w:rPr>
                <w:rFonts w:eastAsia="Calibri" w:cs="Times New Roman"/>
              </w:rPr>
            </w:pPr>
            <w:r w:rsidRPr="00D229A2">
              <w:rPr>
                <w:rFonts w:eastAsia="Calibri" w:cs="Times New Roman"/>
                <w:i/>
                <w:iCs/>
              </w:rPr>
              <w:t xml:space="preserve">Notes: </w:t>
            </w:r>
            <w:r w:rsidRPr="00D229A2">
              <w:rPr>
                <w:rFonts w:eastAsia="Calibri" w:cs="Times New Roman"/>
              </w:rPr>
              <w:t>β</w:t>
            </w:r>
            <w:r w:rsidR="00876F59">
              <w:rPr>
                <w:rFonts w:eastAsia="Calibri" w:cs="Times New Roman"/>
              </w:rPr>
              <w:t>=</w:t>
            </w:r>
            <w:r w:rsidRPr="00D229A2">
              <w:rPr>
                <w:rFonts w:eastAsia="Calibri" w:cs="Times New Roman"/>
              </w:rPr>
              <w:t xml:space="preserve"> beta</w:t>
            </w:r>
            <w:r w:rsidR="00876F59">
              <w:rPr>
                <w:rFonts w:eastAsia="Calibri" w:cs="Times New Roman"/>
              </w:rPr>
              <w:t>;</w:t>
            </w:r>
            <w:r w:rsidRPr="00D229A2">
              <w:rPr>
                <w:rFonts w:eastAsia="Calibri" w:cs="Times New Roman"/>
              </w:rPr>
              <w:t xml:space="preserve"> STDEV= Standard deviation</w:t>
            </w:r>
            <w:r w:rsidR="00876F59">
              <w:rPr>
                <w:rFonts w:eastAsia="Calibri" w:cs="Times New Roman"/>
              </w:rPr>
              <w:t xml:space="preserve">; </w:t>
            </w:r>
            <w:r w:rsidRPr="00D229A2">
              <w:rPr>
                <w:rFonts w:eastAsia="Calibri" w:cs="Times New Roman"/>
              </w:rPr>
              <w:t>P= p-value</w:t>
            </w:r>
            <w:r w:rsidR="00876F59">
              <w:rPr>
                <w:rFonts w:eastAsia="Calibri" w:cs="Times New Roman"/>
              </w:rPr>
              <w:t xml:space="preserve">; </w:t>
            </w:r>
            <w:r w:rsidRPr="00D229A2">
              <w:rPr>
                <w:rFonts w:eastAsia="Calibri" w:cs="Times New Roman"/>
              </w:rPr>
              <w:t>DOL= Diversity-oriented leadership</w:t>
            </w:r>
            <w:r w:rsidR="00876F59">
              <w:rPr>
                <w:rFonts w:eastAsia="Calibri" w:cs="Times New Roman"/>
              </w:rPr>
              <w:t>;</w:t>
            </w:r>
            <w:r w:rsidRPr="00D229A2">
              <w:rPr>
                <w:rFonts w:eastAsia="Calibri" w:cs="Times New Roman"/>
              </w:rPr>
              <w:t xml:space="preserve"> </w:t>
            </w:r>
            <w:r w:rsidRPr="00876F59">
              <w:rPr>
                <w:rFonts w:eastAsia="Calibri" w:cs="Times New Roman"/>
                <w:i/>
                <w:iCs/>
              </w:rPr>
              <w:t>PICLD</w:t>
            </w:r>
            <w:r w:rsidRPr="00D229A2">
              <w:rPr>
                <w:rFonts w:eastAsia="Calibri" w:cs="Times New Roman"/>
              </w:rPr>
              <w:t>= Perceived inclusion climate for leader diversity</w:t>
            </w:r>
          </w:p>
          <w:p w14:paraId="56A97F24" w14:textId="77777777" w:rsidR="00D229A2" w:rsidRPr="00D229A2" w:rsidRDefault="00D229A2" w:rsidP="00876F59">
            <w:pPr>
              <w:spacing w:after="0" w:line="240" w:lineRule="auto"/>
              <w:rPr>
                <w:rFonts w:eastAsia="Calibri" w:cs="Times New Roman"/>
              </w:rPr>
            </w:pPr>
          </w:p>
        </w:tc>
      </w:tr>
    </w:tbl>
    <w:p w14:paraId="36F363CB" w14:textId="77777777" w:rsidR="00D229A2" w:rsidRPr="00D229A2" w:rsidRDefault="00D229A2" w:rsidP="00D229A2">
      <w:pPr>
        <w:spacing w:after="0" w:line="240" w:lineRule="auto"/>
        <w:rPr>
          <w:rFonts w:eastAsia="Calibri" w:cs="Times New Roman"/>
        </w:rPr>
      </w:pPr>
    </w:p>
    <w:p w14:paraId="32482D73" w14:textId="77777777" w:rsidR="00D229A2" w:rsidRPr="00D229A2" w:rsidRDefault="00D229A2" w:rsidP="00D229A2">
      <w:pPr>
        <w:spacing w:after="0" w:line="240" w:lineRule="auto"/>
        <w:rPr>
          <w:rFonts w:eastAsia="Calibri" w:cs="Times New Roman"/>
        </w:rPr>
      </w:pPr>
    </w:p>
    <w:p w14:paraId="1604724A" w14:textId="77777777" w:rsidR="00D229A2" w:rsidRPr="00D229A2" w:rsidRDefault="00D229A2" w:rsidP="00D229A2">
      <w:pPr>
        <w:spacing w:after="0" w:line="240" w:lineRule="auto"/>
        <w:rPr>
          <w:rFonts w:eastAsia="Calibri" w:cs="Times New Roman"/>
        </w:rPr>
      </w:pPr>
    </w:p>
    <w:tbl>
      <w:tblPr>
        <w:tblpPr w:leftFromText="180" w:rightFromText="180" w:vertAnchor="page" w:horzAnchor="margin" w:tblpY="2193"/>
        <w:tblOverlap w:val="never"/>
        <w:tblW w:w="5610" w:type="dxa"/>
        <w:tblCellMar>
          <w:left w:w="0" w:type="dxa"/>
          <w:right w:w="0" w:type="dxa"/>
        </w:tblCellMar>
        <w:tblLook w:val="0600" w:firstRow="0" w:lastRow="0" w:firstColumn="0" w:lastColumn="0" w:noHBand="1" w:noVBand="1"/>
      </w:tblPr>
      <w:tblGrid>
        <w:gridCol w:w="4258"/>
        <w:gridCol w:w="911"/>
        <w:gridCol w:w="441"/>
      </w:tblGrid>
      <w:tr w:rsidR="00A8082E" w:rsidRPr="00D229A2" w14:paraId="49AF155A" w14:textId="77777777" w:rsidTr="00A8082E">
        <w:trPr>
          <w:trHeight w:val="621"/>
        </w:trPr>
        <w:tc>
          <w:tcPr>
            <w:tcW w:w="5169" w:type="dxa"/>
            <w:gridSpan w:val="2"/>
            <w:tcBorders>
              <w:top w:val="nil"/>
              <w:left w:val="nil"/>
              <w:bottom w:val="single" w:sz="4" w:space="0" w:color="000000"/>
              <w:right w:val="nil"/>
            </w:tcBorders>
            <w:shd w:val="clear" w:color="auto" w:fill="auto"/>
            <w:tcMar>
              <w:top w:w="9" w:type="dxa"/>
              <w:left w:w="9" w:type="dxa"/>
              <w:bottom w:w="0" w:type="dxa"/>
              <w:right w:w="9" w:type="dxa"/>
            </w:tcMar>
            <w:vAlign w:val="bottom"/>
            <w:hideMark/>
          </w:tcPr>
          <w:p w14:paraId="5675E577" w14:textId="77777777" w:rsidR="00A8082E" w:rsidRDefault="00A8082E" w:rsidP="00A8082E">
            <w:pPr>
              <w:spacing w:after="0" w:line="240" w:lineRule="auto"/>
              <w:rPr>
                <w:rFonts w:eastAsia="Calibri" w:cs="Times New Roman"/>
                <w:b/>
                <w:bCs/>
              </w:rPr>
            </w:pPr>
          </w:p>
          <w:p w14:paraId="03F0FB33" w14:textId="77777777" w:rsidR="00A8082E" w:rsidRPr="00D229A2" w:rsidRDefault="00A8082E" w:rsidP="00A8082E">
            <w:pPr>
              <w:spacing w:after="0" w:line="240" w:lineRule="auto"/>
              <w:rPr>
                <w:rFonts w:eastAsia="Calibri" w:cs="Times New Roman"/>
                <w:b/>
                <w:bCs/>
              </w:rPr>
            </w:pPr>
          </w:p>
          <w:p w14:paraId="4EE17565" w14:textId="3E84CD04" w:rsidR="00A8082E" w:rsidRPr="00D229A2" w:rsidRDefault="00A8082E" w:rsidP="00A8082E">
            <w:pPr>
              <w:spacing w:after="0" w:line="240" w:lineRule="auto"/>
              <w:rPr>
                <w:rFonts w:eastAsia="Calibri" w:cs="Times New Roman"/>
              </w:rPr>
            </w:pPr>
            <w:r w:rsidRPr="00D229A2">
              <w:rPr>
                <w:rFonts w:eastAsia="Calibri" w:cs="Times New Roman"/>
                <w:b/>
                <w:bCs/>
              </w:rPr>
              <w:t xml:space="preserve">Table. </w:t>
            </w:r>
            <w:r w:rsidR="008D5509">
              <w:rPr>
                <w:rFonts w:eastAsia="Calibri" w:cs="Times New Roman"/>
                <w:b/>
                <w:bCs/>
              </w:rPr>
              <w:t>8</w:t>
            </w:r>
            <w:r w:rsidRPr="00D229A2">
              <w:rPr>
                <w:rFonts w:eastAsia="Calibri" w:cs="Times New Roman"/>
                <w:b/>
                <w:bCs/>
              </w:rPr>
              <w:t>.</w:t>
            </w:r>
            <w:r w:rsidRPr="00D229A2">
              <w:rPr>
                <w:rFonts w:eastAsia="Calibri" w:cs="Times New Roman"/>
              </w:rPr>
              <w:t xml:space="preserve"> Respondent </w:t>
            </w:r>
            <w:r>
              <w:rPr>
                <w:rFonts w:eastAsia="Calibri" w:cs="Times New Roman"/>
              </w:rPr>
              <w:t>D</w:t>
            </w:r>
            <w:r w:rsidRPr="00D229A2">
              <w:rPr>
                <w:rFonts w:eastAsia="Calibri" w:cs="Times New Roman"/>
              </w:rPr>
              <w:t xml:space="preserve">emographics  </w:t>
            </w:r>
          </w:p>
        </w:tc>
        <w:tc>
          <w:tcPr>
            <w:tcW w:w="441" w:type="dxa"/>
            <w:tcBorders>
              <w:top w:val="nil"/>
              <w:left w:val="nil"/>
              <w:bottom w:val="single" w:sz="4" w:space="0" w:color="000000"/>
              <w:right w:val="nil"/>
            </w:tcBorders>
            <w:shd w:val="clear" w:color="auto" w:fill="auto"/>
            <w:tcMar>
              <w:top w:w="9" w:type="dxa"/>
              <w:left w:w="9" w:type="dxa"/>
              <w:bottom w:w="0" w:type="dxa"/>
              <w:right w:w="9" w:type="dxa"/>
            </w:tcMar>
            <w:vAlign w:val="bottom"/>
            <w:hideMark/>
          </w:tcPr>
          <w:p w14:paraId="3A61816D" w14:textId="77777777" w:rsidR="00A8082E" w:rsidRPr="00D229A2" w:rsidRDefault="00A8082E" w:rsidP="00A8082E">
            <w:pPr>
              <w:spacing w:after="0" w:line="240" w:lineRule="auto"/>
              <w:rPr>
                <w:rFonts w:eastAsia="Calibri" w:cs="Times New Roman"/>
              </w:rPr>
            </w:pPr>
            <w:r w:rsidRPr="00D229A2">
              <w:rPr>
                <w:rFonts w:eastAsia="Calibri" w:cs="Times New Roman"/>
              </w:rPr>
              <w:t> </w:t>
            </w:r>
          </w:p>
        </w:tc>
      </w:tr>
      <w:tr w:rsidR="00A8082E" w:rsidRPr="00D229A2" w14:paraId="04DB9191" w14:textId="77777777" w:rsidTr="00A8082E">
        <w:trPr>
          <w:trHeight w:val="251"/>
        </w:trPr>
        <w:tc>
          <w:tcPr>
            <w:tcW w:w="4258"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bottom"/>
            <w:hideMark/>
          </w:tcPr>
          <w:p w14:paraId="5CD306F8" w14:textId="77777777" w:rsidR="00A8082E" w:rsidRPr="00D229A2" w:rsidRDefault="00A8082E" w:rsidP="00A8082E">
            <w:pPr>
              <w:spacing w:after="0" w:line="240" w:lineRule="auto"/>
              <w:rPr>
                <w:rFonts w:eastAsia="Calibri" w:cs="Times New Roman"/>
                <w:b/>
                <w:bCs/>
              </w:rPr>
            </w:pPr>
          </w:p>
        </w:tc>
        <w:tc>
          <w:tcPr>
            <w:tcW w:w="91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bottom"/>
            <w:hideMark/>
          </w:tcPr>
          <w:p w14:paraId="26BF39CD" w14:textId="77777777" w:rsidR="00A8082E" w:rsidRPr="00D229A2" w:rsidRDefault="00A8082E" w:rsidP="00A8082E">
            <w:pPr>
              <w:spacing w:after="0" w:line="240" w:lineRule="auto"/>
              <w:rPr>
                <w:rFonts w:eastAsia="Calibri" w:cs="Times New Roman"/>
                <w:b/>
                <w:bCs/>
                <w:i/>
                <w:iCs/>
              </w:rPr>
            </w:pPr>
            <w:r w:rsidRPr="00D229A2">
              <w:rPr>
                <w:rFonts w:eastAsia="Calibri" w:cs="Times New Roman"/>
                <w:b/>
                <w:bCs/>
                <w:i/>
                <w:iCs/>
              </w:rPr>
              <w:t xml:space="preserve"> N</w:t>
            </w:r>
          </w:p>
          <w:p w14:paraId="111941EC" w14:textId="77777777" w:rsidR="00A8082E" w:rsidRPr="00D229A2" w:rsidRDefault="00A8082E" w:rsidP="00A8082E">
            <w:pPr>
              <w:spacing w:after="0" w:line="240" w:lineRule="auto"/>
              <w:rPr>
                <w:rFonts w:eastAsia="Calibri" w:cs="Times New Roman"/>
                <w:b/>
                <w:bCs/>
              </w:rPr>
            </w:pPr>
          </w:p>
        </w:tc>
        <w:tc>
          <w:tcPr>
            <w:tcW w:w="44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bottom"/>
            <w:hideMark/>
          </w:tcPr>
          <w:p w14:paraId="1102A30D" w14:textId="77777777" w:rsidR="00A8082E" w:rsidRPr="00D229A2" w:rsidRDefault="00A8082E" w:rsidP="00A8082E">
            <w:pPr>
              <w:spacing w:after="0" w:line="240" w:lineRule="auto"/>
              <w:rPr>
                <w:rFonts w:eastAsia="Calibri" w:cs="Times New Roman"/>
                <w:b/>
                <w:bCs/>
              </w:rPr>
            </w:pPr>
            <w:r w:rsidRPr="00D229A2">
              <w:rPr>
                <w:rFonts w:eastAsia="Calibri" w:cs="Times New Roman"/>
                <w:b/>
                <w:bCs/>
              </w:rPr>
              <w:t>%</w:t>
            </w:r>
          </w:p>
          <w:p w14:paraId="2D35D28F" w14:textId="77777777" w:rsidR="00A8082E" w:rsidRPr="00D229A2" w:rsidRDefault="00A8082E" w:rsidP="00A8082E">
            <w:pPr>
              <w:spacing w:after="0" w:line="240" w:lineRule="auto"/>
              <w:rPr>
                <w:rFonts w:eastAsia="Calibri" w:cs="Times New Roman"/>
                <w:b/>
                <w:bCs/>
              </w:rPr>
            </w:pPr>
          </w:p>
        </w:tc>
      </w:tr>
      <w:tr w:rsidR="00A8082E" w:rsidRPr="00D229A2" w14:paraId="69A1D43E" w14:textId="77777777" w:rsidTr="00A8082E">
        <w:trPr>
          <w:trHeight w:val="137"/>
        </w:trPr>
        <w:tc>
          <w:tcPr>
            <w:tcW w:w="4258" w:type="dxa"/>
            <w:tcBorders>
              <w:top w:val="single" w:sz="4" w:space="0" w:color="000000"/>
              <w:left w:val="nil"/>
              <w:bottom w:val="nil"/>
              <w:right w:val="nil"/>
            </w:tcBorders>
            <w:shd w:val="clear" w:color="auto" w:fill="auto"/>
            <w:tcMar>
              <w:top w:w="9" w:type="dxa"/>
              <w:left w:w="9" w:type="dxa"/>
              <w:bottom w:w="0" w:type="dxa"/>
              <w:right w:w="9" w:type="dxa"/>
            </w:tcMar>
            <w:vAlign w:val="bottom"/>
            <w:hideMark/>
          </w:tcPr>
          <w:p w14:paraId="766C2471" w14:textId="77777777" w:rsidR="00A8082E" w:rsidRPr="00D229A2" w:rsidRDefault="00A8082E" w:rsidP="00A8082E">
            <w:pPr>
              <w:spacing w:after="0" w:line="240" w:lineRule="auto"/>
              <w:rPr>
                <w:rFonts w:eastAsia="Calibri" w:cs="Times New Roman"/>
              </w:rPr>
            </w:pPr>
            <w:r w:rsidRPr="00D229A2">
              <w:rPr>
                <w:rFonts w:eastAsia="Calibri" w:cs="Times New Roman"/>
                <w:i/>
                <w:iCs/>
              </w:rPr>
              <w:t>Gender</w:t>
            </w:r>
          </w:p>
        </w:tc>
        <w:tc>
          <w:tcPr>
            <w:tcW w:w="911" w:type="dxa"/>
            <w:tcBorders>
              <w:top w:val="single" w:sz="4" w:space="0" w:color="000000"/>
              <w:left w:val="nil"/>
              <w:bottom w:val="nil"/>
              <w:right w:val="nil"/>
            </w:tcBorders>
            <w:shd w:val="clear" w:color="auto" w:fill="auto"/>
            <w:tcMar>
              <w:top w:w="9" w:type="dxa"/>
              <w:left w:w="9" w:type="dxa"/>
              <w:bottom w:w="0" w:type="dxa"/>
              <w:right w:w="9" w:type="dxa"/>
            </w:tcMar>
            <w:vAlign w:val="bottom"/>
            <w:hideMark/>
          </w:tcPr>
          <w:p w14:paraId="2DBEE8CE" w14:textId="77777777" w:rsidR="00A8082E" w:rsidRPr="00D229A2" w:rsidRDefault="00A8082E" w:rsidP="00A8082E">
            <w:pPr>
              <w:spacing w:after="0" w:line="240" w:lineRule="auto"/>
              <w:rPr>
                <w:rFonts w:eastAsia="Calibri" w:cs="Times New Roman"/>
              </w:rPr>
            </w:pPr>
          </w:p>
        </w:tc>
        <w:tc>
          <w:tcPr>
            <w:tcW w:w="441" w:type="dxa"/>
            <w:tcBorders>
              <w:top w:val="single" w:sz="4" w:space="0" w:color="000000"/>
              <w:left w:val="nil"/>
              <w:bottom w:val="nil"/>
              <w:right w:val="nil"/>
            </w:tcBorders>
            <w:shd w:val="clear" w:color="auto" w:fill="auto"/>
            <w:tcMar>
              <w:top w:w="9" w:type="dxa"/>
              <w:left w:w="9" w:type="dxa"/>
              <w:bottom w:w="0" w:type="dxa"/>
              <w:right w:w="9" w:type="dxa"/>
            </w:tcMar>
            <w:vAlign w:val="bottom"/>
            <w:hideMark/>
          </w:tcPr>
          <w:p w14:paraId="0FF5F417" w14:textId="77777777" w:rsidR="00A8082E" w:rsidRPr="00D229A2" w:rsidRDefault="00A8082E" w:rsidP="00A8082E">
            <w:pPr>
              <w:spacing w:after="0" w:line="240" w:lineRule="auto"/>
              <w:rPr>
                <w:rFonts w:eastAsia="Calibri" w:cs="Times New Roman"/>
              </w:rPr>
            </w:pPr>
          </w:p>
        </w:tc>
      </w:tr>
      <w:tr w:rsidR="00A8082E" w:rsidRPr="00D229A2" w14:paraId="2C13C745"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00585014" w14:textId="77777777" w:rsidR="00A8082E" w:rsidRPr="00D229A2" w:rsidRDefault="00A8082E" w:rsidP="00A8082E">
            <w:pPr>
              <w:spacing w:after="0" w:line="240" w:lineRule="auto"/>
              <w:rPr>
                <w:rFonts w:eastAsia="Calibri" w:cs="Times New Roman"/>
              </w:rPr>
            </w:pPr>
            <w:r w:rsidRPr="00D229A2">
              <w:rPr>
                <w:rFonts w:eastAsia="Calibri" w:cs="Times New Roman"/>
              </w:rPr>
              <w:t>Male</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5704C4EA" w14:textId="77777777" w:rsidR="00A8082E" w:rsidRPr="00D229A2" w:rsidRDefault="00A8082E" w:rsidP="00A8082E">
            <w:pPr>
              <w:spacing w:after="0" w:line="240" w:lineRule="auto"/>
              <w:rPr>
                <w:rFonts w:eastAsia="Calibri" w:cs="Times New Roman"/>
              </w:rPr>
            </w:pPr>
            <w:r w:rsidRPr="00D229A2">
              <w:rPr>
                <w:rFonts w:eastAsia="Calibri" w:cs="Times New Roman"/>
              </w:rPr>
              <w:t>80</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6D0320F2" w14:textId="77777777" w:rsidR="00A8082E" w:rsidRPr="00D229A2" w:rsidRDefault="00A8082E" w:rsidP="00A8082E">
            <w:pPr>
              <w:spacing w:after="0" w:line="240" w:lineRule="auto"/>
              <w:rPr>
                <w:rFonts w:eastAsia="Calibri" w:cs="Times New Roman"/>
              </w:rPr>
            </w:pPr>
            <w:r w:rsidRPr="00D229A2">
              <w:rPr>
                <w:rFonts w:eastAsia="Calibri" w:cs="Times New Roman"/>
              </w:rPr>
              <w:t>43.7</w:t>
            </w:r>
          </w:p>
        </w:tc>
      </w:tr>
      <w:tr w:rsidR="00A8082E" w:rsidRPr="00D229A2" w14:paraId="0ECE5889"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0DD07684" w14:textId="77777777" w:rsidR="00A8082E" w:rsidRPr="00D229A2" w:rsidRDefault="00A8082E" w:rsidP="00A8082E">
            <w:pPr>
              <w:spacing w:after="0" w:line="240" w:lineRule="auto"/>
              <w:rPr>
                <w:rFonts w:eastAsia="Calibri" w:cs="Times New Roman"/>
              </w:rPr>
            </w:pPr>
            <w:r w:rsidRPr="00D229A2">
              <w:rPr>
                <w:rFonts w:eastAsia="Calibri" w:cs="Times New Roman"/>
              </w:rPr>
              <w:t>Female</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115F4E45" w14:textId="77777777" w:rsidR="00A8082E" w:rsidRPr="00D229A2" w:rsidRDefault="00A8082E" w:rsidP="00A8082E">
            <w:pPr>
              <w:spacing w:after="0" w:line="240" w:lineRule="auto"/>
              <w:rPr>
                <w:rFonts w:eastAsia="Calibri" w:cs="Times New Roman"/>
              </w:rPr>
            </w:pPr>
            <w:r w:rsidRPr="00D229A2">
              <w:rPr>
                <w:rFonts w:eastAsia="Calibri" w:cs="Times New Roman"/>
              </w:rPr>
              <w:t>97</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104A55E8" w14:textId="77777777" w:rsidR="00A8082E" w:rsidRPr="00D229A2" w:rsidRDefault="00A8082E" w:rsidP="00A8082E">
            <w:pPr>
              <w:spacing w:after="0" w:line="240" w:lineRule="auto"/>
              <w:rPr>
                <w:rFonts w:eastAsia="Calibri" w:cs="Times New Roman"/>
              </w:rPr>
            </w:pPr>
            <w:r w:rsidRPr="00D229A2">
              <w:rPr>
                <w:rFonts w:eastAsia="Calibri" w:cs="Times New Roman"/>
              </w:rPr>
              <w:t>53.0</w:t>
            </w:r>
          </w:p>
        </w:tc>
      </w:tr>
      <w:tr w:rsidR="00A8082E" w:rsidRPr="00D229A2" w14:paraId="51DE4CF9"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1D273C8A" w14:textId="77777777" w:rsidR="00A8082E" w:rsidRPr="00D229A2" w:rsidRDefault="00A8082E" w:rsidP="00A8082E">
            <w:pPr>
              <w:spacing w:after="0" w:line="240" w:lineRule="auto"/>
              <w:rPr>
                <w:rFonts w:eastAsia="Calibri" w:cs="Times New Roman"/>
              </w:rPr>
            </w:pPr>
            <w:r w:rsidRPr="00D229A2">
              <w:rPr>
                <w:rFonts w:eastAsia="Calibri" w:cs="Times New Roman"/>
              </w:rPr>
              <w:t>Other</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054A3987" w14:textId="77777777" w:rsidR="00A8082E" w:rsidRPr="00D229A2" w:rsidRDefault="00A8082E" w:rsidP="00A8082E">
            <w:pPr>
              <w:spacing w:after="0" w:line="240" w:lineRule="auto"/>
              <w:rPr>
                <w:rFonts w:eastAsia="Calibri" w:cs="Times New Roman"/>
              </w:rPr>
            </w:pPr>
            <w:r w:rsidRPr="00D229A2">
              <w:rPr>
                <w:rFonts w:eastAsia="Calibri" w:cs="Times New Roman"/>
              </w:rPr>
              <w:t>6</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0B8D96C9" w14:textId="77777777" w:rsidR="00A8082E" w:rsidRPr="00D229A2" w:rsidRDefault="00A8082E" w:rsidP="00A8082E">
            <w:pPr>
              <w:spacing w:after="0" w:line="240" w:lineRule="auto"/>
              <w:rPr>
                <w:rFonts w:eastAsia="Calibri" w:cs="Times New Roman"/>
              </w:rPr>
            </w:pPr>
            <w:r w:rsidRPr="00D229A2">
              <w:rPr>
                <w:rFonts w:eastAsia="Calibri" w:cs="Times New Roman"/>
              </w:rPr>
              <w:t>3.3</w:t>
            </w:r>
          </w:p>
        </w:tc>
      </w:tr>
      <w:tr w:rsidR="00A8082E" w:rsidRPr="00D229A2" w14:paraId="690F9509"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583BCFE3" w14:textId="77777777" w:rsidR="00A8082E" w:rsidRPr="00D229A2" w:rsidRDefault="00A8082E" w:rsidP="00A8082E">
            <w:pPr>
              <w:spacing w:after="0" w:line="240" w:lineRule="auto"/>
              <w:rPr>
                <w:rFonts w:eastAsia="Calibri" w:cs="Times New Roman"/>
              </w:rPr>
            </w:pPr>
            <w:r w:rsidRPr="00D229A2">
              <w:rPr>
                <w:rFonts w:eastAsia="Calibri" w:cs="Times New Roman"/>
                <w:i/>
                <w:iCs/>
              </w:rPr>
              <w:t>Age</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09A312BB" w14:textId="77777777" w:rsidR="00A8082E" w:rsidRPr="00D229A2" w:rsidRDefault="00A8082E" w:rsidP="00A8082E">
            <w:pPr>
              <w:spacing w:after="0" w:line="240" w:lineRule="auto"/>
              <w:rPr>
                <w:rFonts w:eastAsia="Calibri" w:cs="Times New Roman"/>
              </w:rPr>
            </w:pP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50124C8D" w14:textId="77777777" w:rsidR="00A8082E" w:rsidRPr="00D229A2" w:rsidRDefault="00A8082E" w:rsidP="00A8082E">
            <w:pPr>
              <w:spacing w:after="0" w:line="240" w:lineRule="auto"/>
              <w:rPr>
                <w:rFonts w:eastAsia="Calibri" w:cs="Times New Roman"/>
              </w:rPr>
            </w:pPr>
          </w:p>
        </w:tc>
      </w:tr>
      <w:tr w:rsidR="00A8082E" w:rsidRPr="00D229A2" w14:paraId="62DF5BCC"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15D575FB" w14:textId="77777777" w:rsidR="00A8082E" w:rsidRPr="00D229A2" w:rsidRDefault="00A8082E" w:rsidP="00A8082E">
            <w:pPr>
              <w:spacing w:after="0" w:line="240" w:lineRule="auto"/>
              <w:rPr>
                <w:rFonts w:eastAsia="Calibri" w:cs="Times New Roman"/>
              </w:rPr>
            </w:pPr>
            <w:r w:rsidRPr="00D229A2">
              <w:rPr>
                <w:rFonts w:eastAsia="Calibri" w:cs="Times New Roman"/>
              </w:rPr>
              <w:t>18—29 years</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391BCD64" w14:textId="77777777" w:rsidR="00A8082E" w:rsidRPr="00D229A2" w:rsidRDefault="00A8082E" w:rsidP="00A8082E">
            <w:pPr>
              <w:spacing w:after="0" w:line="240" w:lineRule="auto"/>
              <w:rPr>
                <w:rFonts w:eastAsia="Calibri" w:cs="Times New Roman"/>
              </w:rPr>
            </w:pPr>
            <w:r w:rsidRPr="00D229A2">
              <w:rPr>
                <w:rFonts w:eastAsia="Calibri" w:cs="Times New Roman"/>
              </w:rPr>
              <w:t>57</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7AA3396F" w14:textId="77777777" w:rsidR="00A8082E" w:rsidRPr="00D229A2" w:rsidRDefault="00A8082E" w:rsidP="00A8082E">
            <w:pPr>
              <w:spacing w:after="0" w:line="240" w:lineRule="auto"/>
              <w:rPr>
                <w:rFonts w:eastAsia="Calibri" w:cs="Times New Roman"/>
              </w:rPr>
            </w:pPr>
            <w:r w:rsidRPr="00D229A2">
              <w:rPr>
                <w:rFonts w:eastAsia="Calibri" w:cs="Times New Roman"/>
              </w:rPr>
              <w:t>31.1</w:t>
            </w:r>
          </w:p>
        </w:tc>
      </w:tr>
      <w:tr w:rsidR="00A8082E" w:rsidRPr="00D229A2" w14:paraId="0B1208F3"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2DD18058" w14:textId="77777777" w:rsidR="00A8082E" w:rsidRPr="00D229A2" w:rsidRDefault="00A8082E" w:rsidP="00A8082E">
            <w:pPr>
              <w:spacing w:after="0" w:line="240" w:lineRule="auto"/>
              <w:rPr>
                <w:rFonts w:eastAsia="Calibri" w:cs="Times New Roman"/>
              </w:rPr>
            </w:pPr>
            <w:r w:rsidRPr="00D229A2">
              <w:rPr>
                <w:rFonts w:eastAsia="Calibri" w:cs="Times New Roman"/>
              </w:rPr>
              <w:t>30—39 years</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593584A3" w14:textId="77777777" w:rsidR="00A8082E" w:rsidRPr="00D229A2" w:rsidRDefault="00A8082E" w:rsidP="00A8082E">
            <w:pPr>
              <w:spacing w:after="0" w:line="240" w:lineRule="auto"/>
              <w:rPr>
                <w:rFonts w:eastAsia="Calibri" w:cs="Times New Roman"/>
              </w:rPr>
            </w:pPr>
            <w:r w:rsidRPr="00D229A2">
              <w:rPr>
                <w:rFonts w:eastAsia="Calibri" w:cs="Times New Roman"/>
              </w:rPr>
              <w:t>66</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752E44CB" w14:textId="77777777" w:rsidR="00A8082E" w:rsidRPr="00D229A2" w:rsidRDefault="00A8082E" w:rsidP="00A8082E">
            <w:pPr>
              <w:spacing w:after="0" w:line="240" w:lineRule="auto"/>
              <w:rPr>
                <w:rFonts w:eastAsia="Calibri" w:cs="Times New Roman"/>
              </w:rPr>
            </w:pPr>
            <w:r w:rsidRPr="00D229A2">
              <w:rPr>
                <w:rFonts w:eastAsia="Calibri" w:cs="Times New Roman"/>
              </w:rPr>
              <w:t>36.1</w:t>
            </w:r>
          </w:p>
        </w:tc>
      </w:tr>
      <w:tr w:rsidR="00A8082E" w:rsidRPr="00D229A2" w14:paraId="41F8E2CE"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4DEE06A7" w14:textId="77777777" w:rsidR="00A8082E" w:rsidRPr="00D229A2" w:rsidRDefault="00A8082E" w:rsidP="00A8082E">
            <w:pPr>
              <w:spacing w:after="0" w:line="240" w:lineRule="auto"/>
              <w:rPr>
                <w:rFonts w:eastAsia="Calibri" w:cs="Times New Roman"/>
              </w:rPr>
            </w:pPr>
            <w:r w:rsidRPr="00D229A2">
              <w:rPr>
                <w:rFonts w:eastAsia="Calibri" w:cs="Times New Roman"/>
              </w:rPr>
              <w:t>40—49 years</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3F820D3C" w14:textId="77777777" w:rsidR="00A8082E" w:rsidRPr="00D229A2" w:rsidRDefault="00A8082E" w:rsidP="00A8082E">
            <w:pPr>
              <w:spacing w:after="0" w:line="240" w:lineRule="auto"/>
              <w:rPr>
                <w:rFonts w:eastAsia="Calibri" w:cs="Times New Roman"/>
              </w:rPr>
            </w:pPr>
            <w:r w:rsidRPr="00D229A2">
              <w:rPr>
                <w:rFonts w:eastAsia="Calibri" w:cs="Times New Roman"/>
              </w:rPr>
              <w:t>35</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7B428518" w14:textId="77777777" w:rsidR="00A8082E" w:rsidRPr="00D229A2" w:rsidRDefault="00A8082E" w:rsidP="00A8082E">
            <w:pPr>
              <w:spacing w:after="0" w:line="240" w:lineRule="auto"/>
              <w:rPr>
                <w:rFonts w:eastAsia="Calibri" w:cs="Times New Roman"/>
              </w:rPr>
            </w:pPr>
            <w:r w:rsidRPr="00D229A2">
              <w:rPr>
                <w:rFonts w:eastAsia="Calibri" w:cs="Times New Roman"/>
              </w:rPr>
              <w:t>19.1</w:t>
            </w:r>
          </w:p>
        </w:tc>
      </w:tr>
      <w:tr w:rsidR="00A8082E" w:rsidRPr="00D229A2" w14:paraId="00795052"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0421C0B2" w14:textId="77777777" w:rsidR="00A8082E" w:rsidRPr="00D229A2" w:rsidRDefault="00A8082E" w:rsidP="00A8082E">
            <w:pPr>
              <w:spacing w:after="0" w:line="240" w:lineRule="auto"/>
              <w:rPr>
                <w:rFonts w:eastAsia="Calibri" w:cs="Times New Roman"/>
              </w:rPr>
            </w:pPr>
            <w:r w:rsidRPr="00D229A2">
              <w:rPr>
                <w:rFonts w:eastAsia="Calibri" w:cs="Times New Roman"/>
              </w:rPr>
              <w:t>50—59 years</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1DEA278F" w14:textId="77777777" w:rsidR="00A8082E" w:rsidRPr="00D229A2" w:rsidRDefault="00A8082E" w:rsidP="00A8082E">
            <w:pPr>
              <w:spacing w:after="0" w:line="240" w:lineRule="auto"/>
              <w:rPr>
                <w:rFonts w:eastAsia="Calibri" w:cs="Times New Roman"/>
              </w:rPr>
            </w:pPr>
            <w:r w:rsidRPr="00D229A2">
              <w:rPr>
                <w:rFonts w:eastAsia="Calibri" w:cs="Times New Roman"/>
              </w:rPr>
              <w:t>13</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3AFC69F3" w14:textId="77777777" w:rsidR="00A8082E" w:rsidRPr="00D229A2" w:rsidRDefault="00A8082E" w:rsidP="00A8082E">
            <w:pPr>
              <w:spacing w:after="0" w:line="240" w:lineRule="auto"/>
              <w:rPr>
                <w:rFonts w:eastAsia="Calibri" w:cs="Times New Roman"/>
              </w:rPr>
            </w:pPr>
            <w:r w:rsidRPr="00D229A2">
              <w:rPr>
                <w:rFonts w:eastAsia="Calibri" w:cs="Times New Roman"/>
              </w:rPr>
              <w:t>7.1</w:t>
            </w:r>
          </w:p>
        </w:tc>
      </w:tr>
      <w:tr w:rsidR="00A8082E" w:rsidRPr="00D229A2" w14:paraId="4F3F8744"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490B0060" w14:textId="77777777" w:rsidR="00A8082E" w:rsidRPr="00D229A2" w:rsidRDefault="00A8082E" w:rsidP="00A8082E">
            <w:pPr>
              <w:spacing w:after="0" w:line="240" w:lineRule="auto"/>
              <w:rPr>
                <w:rFonts w:eastAsia="Calibri" w:cs="Times New Roman"/>
              </w:rPr>
            </w:pPr>
            <w:r w:rsidRPr="00D229A2">
              <w:rPr>
                <w:rFonts w:eastAsia="Calibri" w:cs="Times New Roman"/>
              </w:rPr>
              <w:t>60+</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461A519F" w14:textId="77777777" w:rsidR="00A8082E" w:rsidRPr="00D229A2" w:rsidRDefault="00A8082E" w:rsidP="00A8082E">
            <w:pPr>
              <w:spacing w:after="0" w:line="240" w:lineRule="auto"/>
              <w:rPr>
                <w:rFonts w:eastAsia="Calibri" w:cs="Times New Roman"/>
              </w:rPr>
            </w:pPr>
            <w:r w:rsidRPr="00D229A2">
              <w:rPr>
                <w:rFonts w:eastAsia="Calibri" w:cs="Times New Roman"/>
              </w:rPr>
              <w:t>12</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7ABA1188" w14:textId="77777777" w:rsidR="00A8082E" w:rsidRPr="00D229A2" w:rsidRDefault="00A8082E" w:rsidP="00A8082E">
            <w:pPr>
              <w:spacing w:after="0" w:line="240" w:lineRule="auto"/>
              <w:rPr>
                <w:rFonts w:eastAsia="Calibri" w:cs="Times New Roman"/>
              </w:rPr>
            </w:pPr>
            <w:r w:rsidRPr="00D229A2">
              <w:rPr>
                <w:rFonts w:eastAsia="Calibri" w:cs="Times New Roman"/>
              </w:rPr>
              <w:t>6.6</w:t>
            </w:r>
          </w:p>
        </w:tc>
      </w:tr>
      <w:tr w:rsidR="00A8082E" w:rsidRPr="00D229A2" w14:paraId="20D25E1A"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53351517" w14:textId="77777777" w:rsidR="00A8082E" w:rsidRPr="00D229A2" w:rsidRDefault="00A8082E" w:rsidP="00A8082E">
            <w:pPr>
              <w:spacing w:after="0" w:line="240" w:lineRule="auto"/>
              <w:rPr>
                <w:rFonts w:eastAsia="Calibri" w:cs="Times New Roman"/>
              </w:rPr>
            </w:pPr>
            <w:r w:rsidRPr="00D229A2">
              <w:rPr>
                <w:rFonts w:eastAsia="Calibri" w:cs="Times New Roman"/>
                <w:i/>
                <w:iCs/>
              </w:rPr>
              <w:t>Education</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367707F2" w14:textId="77777777" w:rsidR="00A8082E" w:rsidRPr="00D229A2" w:rsidRDefault="00A8082E" w:rsidP="00A8082E">
            <w:pPr>
              <w:spacing w:after="0" w:line="240" w:lineRule="auto"/>
              <w:rPr>
                <w:rFonts w:eastAsia="Calibri" w:cs="Times New Roman"/>
              </w:rPr>
            </w:pP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0F789AAB" w14:textId="77777777" w:rsidR="00A8082E" w:rsidRPr="00D229A2" w:rsidRDefault="00A8082E" w:rsidP="00A8082E">
            <w:pPr>
              <w:spacing w:after="0" w:line="240" w:lineRule="auto"/>
              <w:rPr>
                <w:rFonts w:eastAsia="Calibri" w:cs="Times New Roman"/>
              </w:rPr>
            </w:pPr>
          </w:p>
        </w:tc>
      </w:tr>
      <w:tr w:rsidR="00A8082E" w:rsidRPr="00D229A2" w14:paraId="5512C945"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4170C5F7" w14:textId="77777777" w:rsidR="00A8082E" w:rsidRPr="00D229A2" w:rsidRDefault="00A8082E" w:rsidP="00A8082E">
            <w:pPr>
              <w:spacing w:after="0" w:line="240" w:lineRule="auto"/>
              <w:rPr>
                <w:rFonts w:eastAsia="Calibri" w:cs="Times New Roman"/>
              </w:rPr>
            </w:pPr>
            <w:r w:rsidRPr="00D229A2">
              <w:rPr>
                <w:rFonts w:eastAsia="Calibri" w:cs="Times New Roman"/>
              </w:rPr>
              <w:t>High school</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1E676941" w14:textId="77777777" w:rsidR="00A8082E" w:rsidRPr="00D229A2" w:rsidRDefault="00A8082E" w:rsidP="00A8082E">
            <w:pPr>
              <w:spacing w:after="0" w:line="240" w:lineRule="auto"/>
              <w:rPr>
                <w:rFonts w:eastAsia="Calibri" w:cs="Times New Roman"/>
              </w:rPr>
            </w:pPr>
            <w:r w:rsidRPr="00D229A2">
              <w:rPr>
                <w:rFonts w:eastAsia="Calibri" w:cs="Times New Roman"/>
              </w:rPr>
              <w:t>28</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003D91E6" w14:textId="77777777" w:rsidR="00A8082E" w:rsidRPr="00D229A2" w:rsidRDefault="00A8082E" w:rsidP="00A8082E">
            <w:pPr>
              <w:spacing w:after="0" w:line="240" w:lineRule="auto"/>
              <w:rPr>
                <w:rFonts w:eastAsia="Calibri" w:cs="Times New Roman"/>
              </w:rPr>
            </w:pPr>
            <w:r w:rsidRPr="00D229A2">
              <w:rPr>
                <w:rFonts w:eastAsia="Calibri" w:cs="Times New Roman"/>
              </w:rPr>
              <w:t>15.3</w:t>
            </w:r>
          </w:p>
        </w:tc>
      </w:tr>
      <w:tr w:rsidR="00A8082E" w:rsidRPr="00D229A2" w14:paraId="09AB948C"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4CC0360E" w14:textId="77777777" w:rsidR="00A8082E" w:rsidRPr="00D229A2" w:rsidRDefault="00A8082E" w:rsidP="00A8082E">
            <w:pPr>
              <w:spacing w:after="0" w:line="240" w:lineRule="auto"/>
              <w:rPr>
                <w:rFonts w:eastAsia="Calibri" w:cs="Times New Roman"/>
              </w:rPr>
            </w:pPr>
            <w:r w:rsidRPr="00D229A2">
              <w:rPr>
                <w:rFonts w:eastAsia="Calibri" w:cs="Times New Roman"/>
              </w:rPr>
              <w:t>Some college (no degree)</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04E6A516" w14:textId="77777777" w:rsidR="00A8082E" w:rsidRPr="00D229A2" w:rsidRDefault="00A8082E" w:rsidP="00A8082E">
            <w:pPr>
              <w:spacing w:after="0" w:line="240" w:lineRule="auto"/>
              <w:rPr>
                <w:rFonts w:eastAsia="Calibri" w:cs="Times New Roman"/>
              </w:rPr>
            </w:pPr>
            <w:r w:rsidRPr="00D229A2">
              <w:rPr>
                <w:rFonts w:eastAsia="Calibri" w:cs="Times New Roman"/>
              </w:rPr>
              <w:t>63</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1F57E2FC" w14:textId="77777777" w:rsidR="00A8082E" w:rsidRPr="00D229A2" w:rsidRDefault="00A8082E" w:rsidP="00A8082E">
            <w:pPr>
              <w:spacing w:after="0" w:line="240" w:lineRule="auto"/>
              <w:rPr>
                <w:rFonts w:eastAsia="Calibri" w:cs="Times New Roman"/>
              </w:rPr>
            </w:pPr>
            <w:r w:rsidRPr="00D229A2">
              <w:rPr>
                <w:rFonts w:eastAsia="Calibri" w:cs="Times New Roman"/>
              </w:rPr>
              <w:t>34.4</w:t>
            </w:r>
          </w:p>
        </w:tc>
      </w:tr>
      <w:tr w:rsidR="00A8082E" w:rsidRPr="00D229A2" w14:paraId="7806A8F0"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166E7EC7" w14:textId="77777777" w:rsidR="00A8082E" w:rsidRPr="00D229A2" w:rsidRDefault="00A8082E" w:rsidP="00A8082E">
            <w:pPr>
              <w:spacing w:after="0" w:line="240" w:lineRule="auto"/>
              <w:rPr>
                <w:rFonts w:eastAsia="Calibri" w:cs="Times New Roman"/>
              </w:rPr>
            </w:pPr>
            <w:proofErr w:type="gramStart"/>
            <w:r w:rsidRPr="00D229A2">
              <w:rPr>
                <w:rFonts w:eastAsia="Calibri" w:cs="Times New Roman"/>
              </w:rPr>
              <w:t>Associates</w:t>
            </w:r>
            <w:proofErr w:type="gramEnd"/>
            <w:r w:rsidRPr="00D229A2">
              <w:rPr>
                <w:rFonts w:eastAsia="Calibri" w:cs="Times New Roman"/>
              </w:rPr>
              <w:t xml:space="preserve"> degree</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28024973" w14:textId="77777777" w:rsidR="00A8082E" w:rsidRPr="00D229A2" w:rsidRDefault="00A8082E" w:rsidP="00A8082E">
            <w:pPr>
              <w:spacing w:after="0" w:line="240" w:lineRule="auto"/>
              <w:rPr>
                <w:rFonts w:eastAsia="Calibri" w:cs="Times New Roman"/>
              </w:rPr>
            </w:pPr>
            <w:r w:rsidRPr="00D229A2">
              <w:rPr>
                <w:rFonts w:eastAsia="Calibri" w:cs="Times New Roman"/>
              </w:rPr>
              <w:t>21</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7AC87A3E" w14:textId="77777777" w:rsidR="00A8082E" w:rsidRPr="00D229A2" w:rsidRDefault="00A8082E" w:rsidP="00A8082E">
            <w:pPr>
              <w:spacing w:after="0" w:line="240" w:lineRule="auto"/>
              <w:rPr>
                <w:rFonts w:eastAsia="Calibri" w:cs="Times New Roman"/>
              </w:rPr>
            </w:pPr>
            <w:r w:rsidRPr="00D229A2">
              <w:rPr>
                <w:rFonts w:eastAsia="Calibri" w:cs="Times New Roman"/>
              </w:rPr>
              <w:t>11.5</w:t>
            </w:r>
          </w:p>
        </w:tc>
      </w:tr>
      <w:tr w:rsidR="00A8082E" w:rsidRPr="00D229A2" w14:paraId="585143FE"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328BE850" w14:textId="77777777" w:rsidR="00A8082E" w:rsidRPr="00D229A2" w:rsidRDefault="00A8082E" w:rsidP="00A8082E">
            <w:pPr>
              <w:spacing w:after="0" w:line="240" w:lineRule="auto"/>
              <w:rPr>
                <w:rFonts w:eastAsia="Calibri" w:cs="Times New Roman"/>
              </w:rPr>
            </w:pPr>
            <w:proofErr w:type="spellStart"/>
            <w:proofErr w:type="gramStart"/>
            <w:r w:rsidRPr="00D229A2">
              <w:rPr>
                <w:rFonts w:eastAsia="Calibri" w:cs="Times New Roman"/>
              </w:rPr>
              <w:t>Bachelors</w:t>
            </w:r>
            <w:proofErr w:type="spellEnd"/>
            <w:proofErr w:type="gramEnd"/>
            <w:r w:rsidRPr="00D229A2">
              <w:rPr>
                <w:rFonts w:eastAsia="Calibri" w:cs="Times New Roman"/>
              </w:rPr>
              <w:t xml:space="preserve"> degree</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3C5C18E8" w14:textId="77777777" w:rsidR="00A8082E" w:rsidRPr="00D229A2" w:rsidRDefault="00A8082E" w:rsidP="00A8082E">
            <w:pPr>
              <w:spacing w:after="0" w:line="240" w:lineRule="auto"/>
              <w:rPr>
                <w:rFonts w:eastAsia="Calibri" w:cs="Times New Roman"/>
              </w:rPr>
            </w:pPr>
            <w:r w:rsidRPr="00D229A2">
              <w:rPr>
                <w:rFonts w:eastAsia="Calibri" w:cs="Times New Roman"/>
              </w:rPr>
              <w:t>62</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34345FF0" w14:textId="77777777" w:rsidR="00A8082E" w:rsidRPr="00D229A2" w:rsidRDefault="00A8082E" w:rsidP="00A8082E">
            <w:pPr>
              <w:spacing w:after="0" w:line="240" w:lineRule="auto"/>
              <w:rPr>
                <w:rFonts w:eastAsia="Calibri" w:cs="Times New Roman"/>
              </w:rPr>
            </w:pPr>
            <w:r w:rsidRPr="00D229A2">
              <w:rPr>
                <w:rFonts w:eastAsia="Calibri" w:cs="Times New Roman"/>
              </w:rPr>
              <w:t>33.9</w:t>
            </w:r>
          </w:p>
        </w:tc>
      </w:tr>
      <w:tr w:rsidR="00A8082E" w:rsidRPr="00D229A2" w14:paraId="1574B073"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40AA3DE4" w14:textId="77777777" w:rsidR="00A8082E" w:rsidRPr="00D229A2" w:rsidRDefault="00A8082E" w:rsidP="00A8082E">
            <w:pPr>
              <w:spacing w:after="0" w:line="240" w:lineRule="auto"/>
              <w:rPr>
                <w:rFonts w:eastAsia="Calibri" w:cs="Times New Roman"/>
              </w:rPr>
            </w:pPr>
            <w:r w:rsidRPr="00D229A2">
              <w:rPr>
                <w:rFonts w:eastAsia="Calibri" w:cs="Times New Roman"/>
              </w:rPr>
              <w:t>Graduate degree</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5E152CC4" w14:textId="77777777" w:rsidR="00A8082E" w:rsidRPr="00D229A2" w:rsidRDefault="00A8082E" w:rsidP="00A8082E">
            <w:pPr>
              <w:spacing w:after="0" w:line="240" w:lineRule="auto"/>
              <w:rPr>
                <w:rFonts w:eastAsia="Calibri" w:cs="Times New Roman"/>
              </w:rPr>
            </w:pPr>
            <w:r w:rsidRPr="00D229A2">
              <w:rPr>
                <w:rFonts w:eastAsia="Calibri" w:cs="Times New Roman"/>
              </w:rPr>
              <w:t>9</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6D634C58" w14:textId="77777777" w:rsidR="00A8082E" w:rsidRPr="00D229A2" w:rsidRDefault="00A8082E" w:rsidP="00A8082E">
            <w:pPr>
              <w:spacing w:after="0" w:line="240" w:lineRule="auto"/>
              <w:rPr>
                <w:rFonts w:eastAsia="Calibri" w:cs="Times New Roman"/>
              </w:rPr>
            </w:pPr>
            <w:r w:rsidRPr="00D229A2">
              <w:rPr>
                <w:rFonts w:eastAsia="Calibri" w:cs="Times New Roman"/>
              </w:rPr>
              <w:t>4.9</w:t>
            </w:r>
          </w:p>
        </w:tc>
      </w:tr>
      <w:tr w:rsidR="00A8082E" w:rsidRPr="00D229A2" w14:paraId="4D29BC4B"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38A1F595" w14:textId="77777777" w:rsidR="00A8082E" w:rsidRPr="00D229A2" w:rsidRDefault="00A8082E" w:rsidP="00A8082E">
            <w:pPr>
              <w:spacing w:after="0" w:line="240" w:lineRule="auto"/>
              <w:rPr>
                <w:rFonts w:eastAsia="Calibri" w:cs="Times New Roman"/>
              </w:rPr>
            </w:pPr>
            <w:r w:rsidRPr="00D229A2">
              <w:rPr>
                <w:rFonts w:eastAsia="Calibri" w:cs="Times New Roman"/>
                <w:i/>
                <w:iCs/>
              </w:rPr>
              <w:t>Occupations</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38572BBF" w14:textId="77777777" w:rsidR="00A8082E" w:rsidRPr="00D229A2" w:rsidRDefault="00A8082E" w:rsidP="00A8082E">
            <w:pPr>
              <w:spacing w:after="0" w:line="240" w:lineRule="auto"/>
              <w:rPr>
                <w:rFonts w:eastAsia="Calibri" w:cs="Times New Roman"/>
              </w:rPr>
            </w:pP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03361755" w14:textId="77777777" w:rsidR="00A8082E" w:rsidRPr="00D229A2" w:rsidRDefault="00A8082E" w:rsidP="00A8082E">
            <w:pPr>
              <w:spacing w:after="0" w:line="240" w:lineRule="auto"/>
              <w:rPr>
                <w:rFonts w:eastAsia="Calibri" w:cs="Times New Roman"/>
              </w:rPr>
            </w:pPr>
          </w:p>
        </w:tc>
      </w:tr>
      <w:tr w:rsidR="00A8082E" w:rsidRPr="00D229A2" w14:paraId="1B4CD442"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55296DBA" w14:textId="77777777" w:rsidR="00A8082E" w:rsidRPr="00D229A2" w:rsidRDefault="00A8082E" w:rsidP="00A8082E">
            <w:pPr>
              <w:spacing w:after="0" w:line="240" w:lineRule="auto"/>
              <w:rPr>
                <w:rFonts w:eastAsia="Calibri" w:cs="Times New Roman"/>
              </w:rPr>
            </w:pPr>
            <w:r w:rsidRPr="00D229A2">
              <w:rPr>
                <w:rFonts w:eastAsia="Calibri" w:cs="Times New Roman"/>
              </w:rPr>
              <w:t>Hotel</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3163594E" w14:textId="77777777" w:rsidR="00A8082E" w:rsidRPr="00D229A2" w:rsidRDefault="00A8082E" w:rsidP="00A8082E">
            <w:pPr>
              <w:spacing w:after="0" w:line="240" w:lineRule="auto"/>
              <w:rPr>
                <w:rFonts w:eastAsia="Calibri" w:cs="Times New Roman"/>
              </w:rPr>
            </w:pPr>
            <w:r w:rsidRPr="00D229A2">
              <w:rPr>
                <w:rFonts w:eastAsia="Calibri" w:cs="Times New Roman"/>
              </w:rPr>
              <w:t>52</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4B65CBEB" w14:textId="77777777" w:rsidR="00A8082E" w:rsidRPr="00D229A2" w:rsidRDefault="00A8082E" w:rsidP="00A8082E">
            <w:pPr>
              <w:spacing w:after="0" w:line="240" w:lineRule="auto"/>
              <w:rPr>
                <w:rFonts w:eastAsia="Calibri" w:cs="Times New Roman"/>
              </w:rPr>
            </w:pPr>
            <w:r w:rsidRPr="00D229A2">
              <w:rPr>
                <w:rFonts w:eastAsia="Calibri" w:cs="Times New Roman"/>
              </w:rPr>
              <w:t>28.4</w:t>
            </w:r>
          </w:p>
        </w:tc>
      </w:tr>
      <w:tr w:rsidR="00A8082E" w:rsidRPr="00D229A2" w14:paraId="69805294"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6D77B24E" w14:textId="77777777" w:rsidR="00A8082E" w:rsidRPr="00D229A2" w:rsidRDefault="00A8082E" w:rsidP="00A8082E">
            <w:pPr>
              <w:spacing w:after="0" w:line="240" w:lineRule="auto"/>
              <w:rPr>
                <w:rFonts w:eastAsia="Calibri" w:cs="Times New Roman"/>
              </w:rPr>
            </w:pPr>
            <w:r w:rsidRPr="00D229A2">
              <w:rPr>
                <w:rFonts w:eastAsia="Calibri" w:cs="Times New Roman"/>
              </w:rPr>
              <w:t>Restaurant</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24003B5F" w14:textId="77777777" w:rsidR="00A8082E" w:rsidRPr="00D229A2" w:rsidRDefault="00A8082E" w:rsidP="00A8082E">
            <w:pPr>
              <w:spacing w:after="0" w:line="240" w:lineRule="auto"/>
              <w:rPr>
                <w:rFonts w:eastAsia="Calibri" w:cs="Times New Roman"/>
              </w:rPr>
            </w:pPr>
            <w:r w:rsidRPr="00D229A2">
              <w:rPr>
                <w:rFonts w:eastAsia="Calibri" w:cs="Times New Roman"/>
              </w:rPr>
              <w:t>61</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37F267AE" w14:textId="77777777" w:rsidR="00A8082E" w:rsidRPr="00D229A2" w:rsidRDefault="00A8082E" w:rsidP="00A8082E">
            <w:pPr>
              <w:spacing w:after="0" w:line="240" w:lineRule="auto"/>
              <w:rPr>
                <w:rFonts w:eastAsia="Calibri" w:cs="Times New Roman"/>
              </w:rPr>
            </w:pPr>
            <w:r w:rsidRPr="00D229A2">
              <w:rPr>
                <w:rFonts w:eastAsia="Calibri" w:cs="Times New Roman"/>
              </w:rPr>
              <w:t>33.3</w:t>
            </w:r>
          </w:p>
        </w:tc>
      </w:tr>
      <w:tr w:rsidR="00A8082E" w:rsidRPr="00D229A2" w14:paraId="41CC0273"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7AECE5D5" w14:textId="77777777" w:rsidR="00A8082E" w:rsidRPr="00D229A2" w:rsidRDefault="00A8082E" w:rsidP="00A8082E">
            <w:pPr>
              <w:spacing w:after="0" w:line="240" w:lineRule="auto"/>
              <w:rPr>
                <w:rFonts w:eastAsia="Calibri" w:cs="Times New Roman"/>
              </w:rPr>
            </w:pPr>
            <w:r w:rsidRPr="00D229A2">
              <w:rPr>
                <w:rFonts w:eastAsia="Calibri" w:cs="Times New Roman"/>
              </w:rPr>
              <w:t>Bar/Club</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6D3A160F" w14:textId="77777777" w:rsidR="00A8082E" w:rsidRPr="00D229A2" w:rsidRDefault="00A8082E" w:rsidP="00A8082E">
            <w:pPr>
              <w:spacing w:after="0" w:line="240" w:lineRule="auto"/>
              <w:rPr>
                <w:rFonts w:eastAsia="Calibri" w:cs="Times New Roman"/>
              </w:rPr>
            </w:pPr>
            <w:r w:rsidRPr="00D229A2">
              <w:rPr>
                <w:rFonts w:eastAsia="Calibri" w:cs="Times New Roman"/>
              </w:rPr>
              <w:t>5</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686D3D0D" w14:textId="77777777" w:rsidR="00A8082E" w:rsidRPr="00D229A2" w:rsidRDefault="00A8082E" w:rsidP="00A8082E">
            <w:pPr>
              <w:spacing w:after="0" w:line="240" w:lineRule="auto"/>
              <w:rPr>
                <w:rFonts w:eastAsia="Calibri" w:cs="Times New Roman"/>
              </w:rPr>
            </w:pPr>
            <w:r w:rsidRPr="00D229A2">
              <w:rPr>
                <w:rFonts w:eastAsia="Calibri" w:cs="Times New Roman"/>
              </w:rPr>
              <w:t>2.7</w:t>
            </w:r>
          </w:p>
        </w:tc>
      </w:tr>
      <w:tr w:rsidR="00A8082E" w:rsidRPr="00D229A2" w14:paraId="55B56CBA"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4A86D0BD" w14:textId="77777777" w:rsidR="00A8082E" w:rsidRPr="00D229A2" w:rsidRDefault="00A8082E" w:rsidP="00A8082E">
            <w:pPr>
              <w:spacing w:after="0" w:line="240" w:lineRule="auto"/>
              <w:rPr>
                <w:rFonts w:eastAsia="Calibri" w:cs="Times New Roman"/>
              </w:rPr>
            </w:pPr>
            <w:r w:rsidRPr="00D229A2">
              <w:rPr>
                <w:rFonts w:eastAsia="Calibri" w:cs="Times New Roman"/>
              </w:rPr>
              <w:t>Café/Bakery</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3102D022" w14:textId="77777777" w:rsidR="00A8082E" w:rsidRPr="00D229A2" w:rsidRDefault="00A8082E" w:rsidP="00A8082E">
            <w:pPr>
              <w:spacing w:after="0" w:line="240" w:lineRule="auto"/>
              <w:rPr>
                <w:rFonts w:eastAsia="Calibri" w:cs="Times New Roman"/>
              </w:rPr>
            </w:pPr>
            <w:r w:rsidRPr="00D229A2">
              <w:rPr>
                <w:rFonts w:eastAsia="Calibri" w:cs="Times New Roman"/>
              </w:rPr>
              <w:t>10</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53F76A4A" w14:textId="77777777" w:rsidR="00A8082E" w:rsidRPr="00D229A2" w:rsidRDefault="00A8082E" w:rsidP="00A8082E">
            <w:pPr>
              <w:spacing w:after="0" w:line="240" w:lineRule="auto"/>
              <w:rPr>
                <w:rFonts w:eastAsia="Calibri" w:cs="Times New Roman"/>
              </w:rPr>
            </w:pPr>
            <w:r w:rsidRPr="00D229A2">
              <w:rPr>
                <w:rFonts w:eastAsia="Calibri" w:cs="Times New Roman"/>
              </w:rPr>
              <w:t>5.5</w:t>
            </w:r>
          </w:p>
        </w:tc>
      </w:tr>
      <w:tr w:rsidR="00A8082E" w:rsidRPr="00D229A2" w14:paraId="13FC1937"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2C18FF3A" w14:textId="77777777" w:rsidR="00A8082E" w:rsidRPr="00D229A2" w:rsidRDefault="00A8082E" w:rsidP="00A8082E">
            <w:pPr>
              <w:spacing w:after="0" w:line="240" w:lineRule="auto"/>
              <w:rPr>
                <w:rFonts w:eastAsia="Calibri" w:cs="Times New Roman"/>
              </w:rPr>
            </w:pPr>
            <w:r w:rsidRPr="00D229A2">
              <w:rPr>
                <w:rFonts w:eastAsia="Calibri" w:cs="Times New Roman"/>
              </w:rPr>
              <w:t>Catering/Food Service</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56041DE0" w14:textId="77777777" w:rsidR="00A8082E" w:rsidRPr="00D229A2" w:rsidRDefault="00A8082E" w:rsidP="00A8082E">
            <w:pPr>
              <w:spacing w:after="0" w:line="240" w:lineRule="auto"/>
              <w:rPr>
                <w:rFonts w:eastAsia="Calibri" w:cs="Times New Roman"/>
              </w:rPr>
            </w:pPr>
            <w:r w:rsidRPr="00D229A2">
              <w:rPr>
                <w:rFonts w:eastAsia="Calibri" w:cs="Times New Roman"/>
              </w:rPr>
              <w:t>12</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76FAF0FD" w14:textId="77777777" w:rsidR="00A8082E" w:rsidRPr="00D229A2" w:rsidRDefault="00A8082E" w:rsidP="00A8082E">
            <w:pPr>
              <w:spacing w:after="0" w:line="240" w:lineRule="auto"/>
              <w:rPr>
                <w:rFonts w:eastAsia="Calibri" w:cs="Times New Roman"/>
              </w:rPr>
            </w:pPr>
            <w:r w:rsidRPr="00D229A2">
              <w:rPr>
                <w:rFonts w:eastAsia="Calibri" w:cs="Times New Roman"/>
              </w:rPr>
              <w:t>6.6</w:t>
            </w:r>
          </w:p>
        </w:tc>
      </w:tr>
      <w:tr w:rsidR="00A8082E" w:rsidRPr="00D229A2" w14:paraId="1D898327"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49601DD5" w14:textId="77777777" w:rsidR="00A8082E" w:rsidRPr="00D229A2" w:rsidRDefault="00A8082E" w:rsidP="00A8082E">
            <w:pPr>
              <w:spacing w:after="0" w:line="240" w:lineRule="auto"/>
              <w:rPr>
                <w:rFonts w:eastAsia="Calibri" w:cs="Times New Roman"/>
              </w:rPr>
            </w:pPr>
            <w:r w:rsidRPr="00D229A2">
              <w:rPr>
                <w:rFonts w:eastAsia="Calibri" w:cs="Times New Roman"/>
              </w:rPr>
              <w:t>Tourism</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07655FD4" w14:textId="77777777" w:rsidR="00A8082E" w:rsidRPr="00D229A2" w:rsidRDefault="00A8082E" w:rsidP="00A8082E">
            <w:pPr>
              <w:spacing w:after="0" w:line="240" w:lineRule="auto"/>
              <w:rPr>
                <w:rFonts w:eastAsia="Calibri" w:cs="Times New Roman"/>
              </w:rPr>
            </w:pPr>
            <w:r w:rsidRPr="00D229A2">
              <w:rPr>
                <w:rFonts w:eastAsia="Calibri" w:cs="Times New Roman"/>
              </w:rPr>
              <w:t>21</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571A0D9F" w14:textId="77777777" w:rsidR="00A8082E" w:rsidRPr="00D229A2" w:rsidRDefault="00A8082E" w:rsidP="00A8082E">
            <w:pPr>
              <w:spacing w:after="0" w:line="240" w:lineRule="auto"/>
              <w:rPr>
                <w:rFonts w:eastAsia="Calibri" w:cs="Times New Roman"/>
              </w:rPr>
            </w:pPr>
            <w:r w:rsidRPr="00D229A2">
              <w:rPr>
                <w:rFonts w:eastAsia="Calibri" w:cs="Times New Roman"/>
              </w:rPr>
              <w:t>11.5</w:t>
            </w:r>
          </w:p>
        </w:tc>
      </w:tr>
      <w:tr w:rsidR="00A8082E" w:rsidRPr="00D229A2" w14:paraId="73699002" w14:textId="77777777" w:rsidTr="00A8082E">
        <w:trPr>
          <w:trHeight w:val="137"/>
        </w:trPr>
        <w:tc>
          <w:tcPr>
            <w:tcW w:w="4258" w:type="dxa"/>
            <w:tcBorders>
              <w:top w:val="nil"/>
              <w:left w:val="nil"/>
              <w:bottom w:val="nil"/>
              <w:right w:val="nil"/>
            </w:tcBorders>
            <w:shd w:val="clear" w:color="auto" w:fill="auto"/>
            <w:tcMar>
              <w:top w:w="9" w:type="dxa"/>
              <w:left w:w="9" w:type="dxa"/>
              <w:bottom w:w="0" w:type="dxa"/>
              <w:right w:w="9" w:type="dxa"/>
            </w:tcMar>
            <w:vAlign w:val="bottom"/>
            <w:hideMark/>
          </w:tcPr>
          <w:p w14:paraId="3F792258" w14:textId="77777777" w:rsidR="00A8082E" w:rsidRPr="00D229A2" w:rsidRDefault="00A8082E" w:rsidP="00A8082E">
            <w:pPr>
              <w:spacing w:after="0" w:line="240" w:lineRule="auto"/>
              <w:rPr>
                <w:rFonts w:eastAsia="Calibri" w:cs="Times New Roman"/>
              </w:rPr>
            </w:pPr>
            <w:r w:rsidRPr="00D229A2">
              <w:rPr>
                <w:rFonts w:eastAsia="Calibri" w:cs="Times New Roman"/>
              </w:rPr>
              <w:t>Events</w:t>
            </w:r>
          </w:p>
        </w:tc>
        <w:tc>
          <w:tcPr>
            <w:tcW w:w="911" w:type="dxa"/>
            <w:tcBorders>
              <w:top w:val="nil"/>
              <w:left w:val="nil"/>
              <w:bottom w:val="nil"/>
              <w:right w:val="nil"/>
            </w:tcBorders>
            <w:shd w:val="clear" w:color="auto" w:fill="auto"/>
            <w:tcMar>
              <w:top w:w="9" w:type="dxa"/>
              <w:left w:w="9" w:type="dxa"/>
              <w:bottom w:w="0" w:type="dxa"/>
              <w:right w:w="9" w:type="dxa"/>
            </w:tcMar>
            <w:vAlign w:val="bottom"/>
            <w:hideMark/>
          </w:tcPr>
          <w:p w14:paraId="25276622" w14:textId="77777777" w:rsidR="00A8082E" w:rsidRPr="00D229A2" w:rsidRDefault="00A8082E" w:rsidP="00A8082E">
            <w:pPr>
              <w:spacing w:after="0" w:line="240" w:lineRule="auto"/>
              <w:rPr>
                <w:rFonts w:eastAsia="Calibri" w:cs="Times New Roman"/>
              </w:rPr>
            </w:pPr>
            <w:r w:rsidRPr="00D229A2">
              <w:rPr>
                <w:rFonts w:eastAsia="Calibri" w:cs="Times New Roman"/>
              </w:rPr>
              <w:t>7</w:t>
            </w:r>
          </w:p>
        </w:tc>
        <w:tc>
          <w:tcPr>
            <w:tcW w:w="441" w:type="dxa"/>
            <w:tcBorders>
              <w:top w:val="nil"/>
              <w:left w:val="nil"/>
              <w:bottom w:val="nil"/>
              <w:right w:val="nil"/>
            </w:tcBorders>
            <w:shd w:val="clear" w:color="auto" w:fill="auto"/>
            <w:tcMar>
              <w:top w:w="9" w:type="dxa"/>
              <w:left w:w="9" w:type="dxa"/>
              <w:bottom w:w="0" w:type="dxa"/>
              <w:right w:w="9" w:type="dxa"/>
            </w:tcMar>
            <w:vAlign w:val="bottom"/>
            <w:hideMark/>
          </w:tcPr>
          <w:p w14:paraId="7385E9DC" w14:textId="77777777" w:rsidR="00A8082E" w:rsidRPr="00D229A2" w:rsidRDefault="00A8082E" w:rsidP="00A8082E">
            <w:pPr>
              <w:spacing w:after="0" w:line="240" w:lineRule="auto"/>
              <w:rPr>
                <w:rFonts w:eastAsia="Calibri" w:cs="Times New Roman"/>
              </w:rPr>
            </w:pPr>
            <w:r w:rsidRPr="00D229A2">
              <w:rPr>
                <w:rFonts w:eastAsia="Calibri" w:cs="Times New Roman"/>
              </w:rPr>
              <w:t>3.8</w:t>
            </w:r>
          </w:p>
        </w:tc>
      </w:tr>
      <w:tr w:rsidR="00A8082E" w:rsidRPr="00D229A2" w14:paraId="7218A623" w14:textId="77777777" w:rsidTr="00A8082E">
        <w:trPr>
          <w:trHeight w:val="137"/>
        </w:trPr>
        <w:tc>
          <w:tcPr>
            <w:tcW w:w="4258" w:type="dxa"/>
            <w:tcBorders>
              <w:top w:val="nil"/>
              <w:left w:val="nil"/>
              <w:bottom w:val="single" w:sz="4" w:space="0" w:color="000000"/>
              <w:right w:val="nil"/>
            </w:tcBorders>
            <w:shd w:val="clear" w:color="auto" w:fill="auto"/>
            <w:tcMar>
              <w:top w:w="9" w:type="dxa"/>
              <w:left w:w="9" w:type="dxa"/>
              <w:bottom w:w="0" w:type="dxa"/>
              <w:right w:w="9" w:type="dxa"/>
            </w:tcMar>
            <w:vAlign w:val="bottom"/>
            <w:hideMark/>
          </w:tcPr>
          <w:p w14:paraId="33C69CEE" w14:textId="77777777" w:rsidR="00A8082E" w:rsidRPr="00D229A2" w:rsidRDefault="00A8082E" w:rsidP="00A8082E">
            <w:pPr>
              <w:spacing w:after="0" w:line="240" w:lineRule="auto"/>
              <w:rPr>
                <w:rFonts w:eastAsia="Calibri" w:cs="Times New Roman"/>
              </w:rPr>
            </w:pPr>
            <w:r w:rsidRPr="00D229A2">
              <w:rPr>
                <w:rFonts w:eastAsia="Calibri" w:cs="Times New Roman"/>
              </w:rPr>
              <w:t>Cruising</w:t>
            </w:r>
          </w:p>
        </w:tc>
        <w:tc>
          <w:tcPr>
            <w:tcW w:w="911" w:type="dxa"/>
            <w:tcBorders>
              <w:top w:val="nil"/>
              <w:left w:val="nil"/>
              <w:bottom w:val="single" w:sz="4" w:space="0" w:color="000000"/>
              <w:right w:val="nil"/>
            </w:tcBorders>
            <w:shd w:val="clear" w:color="auto" w:fill="auto"/>
            <w:tcMar>
              <w:top w:w="9" w:type="dxa"/>
              <w:left w:w="9" w:type="dxa"/>
              <w:bottom w:w="0" w:type="dxa"/>
              <w:right w:w="9" w:type="dxa"/>
            </w:tcMar>
            <w:vAlign w:val="bottom"/>
            <w:hideMark/>
          </w:tcPr>
          <w:p w14:paraId="657F2835" w14:textId="77777777" w:rsidR="00A8082E" w:rsidRPr="00D229A2" w:rsidRDefault="00A8082E" w:rsidP="00A8082E">
            <w:pPr>
              <w:spacing w:after="0" w:line="240" w:lineRule="auto"/>
              <w:rPr>
                <w:rFonts w:eastAsia="Calibri" w:cs="Times New Roman"/>
              </w:rPr>
            </w:pPr>
            <w:r w:rsidRPr="00D229A2">
              <w:rPr>
                <w:rFonts w:eastAsia="Calibri" w:cs="Times New Roman"/>
              </w:rPr>
              <w:t>15</w:t>
            </w:r>
          </w:p>
        </w:tc>
        <w:tc>
          <w:tcPr>
            <w:tcW w:w="441" w:type="dxa"/>
            <w:tcBorders>
              <w:top w:val="nil"/>
              <w:left w:val="nil"/>
              <w:bottom w:val="single" w:sz="4" w:space="0" w:color="000000"/>
              <w:right w:val="nil"/>
            </w:tcBorders>
            <w:shd w:val="clear" w:color="auto" w:fill="auto"/>
            <w:tcMar>
              <w:top w:w="9" w:type="dxa"/>
              <w:left w:w="9" w:type="dxa"/>
              <w:bottom w:w="0" w:type="dxa"/>
              <w:right w:w="9" w:type="dxa"/>
            </w:tcMar>
            <w:vAlign w:val="bottom"/>
            <w:hideMark/>
          </w:tcPr>
          <w:p w14:paraId="5A36599C" w14:textId="77777777" w:rsidR="00A8082E" w:rsidRPr="00D229A2" w:rsidRDefault="00A8082E" w:rsidP="00A8082E">
            <w:pPr>
              <w:spacing w:after="0" w:line="240" w:lineRule="auto"/>
              <w:rPr>
                <w:rFonts w:eastAsia="Calibri" w:cs="Times New Roman"/>
              </w:rPr>
            </w:pPr>
            <w:r w:rsidRPr="00D229A2">
              <w:rPr>
                <w:rFonts w:eastAsia="Calibri" w:cs="Times New Roman"/>
              </w:rPr>
              <w:t>8.2</w:t>
            </w:r>
          </w:p>
        </w:tc>
      </w:tr>
    </w:tbl>
    <w:p w14:paraId="4D98DF38" w14:textId="77777777" w:rsidR="00072FC8" w:rsidRDefault="00072FC8"/>
    <w:p w14:paraId="7CBDA2B2" w14:textId="77777777" w:rsidR="00D229A2" w:rsidRPr="00D229A2" w:rsidRDefault="00D229A2" w:rsidP="00D229A2"/>
    <w:p w14:paraId="2C55BC1F" w14:textId="77777777" w:rsidR="00D229A2" w:rsidRPr="00D229A2" w:rsidRDefault="00D229A2" w:rsidP="00D229A2"/>
    <w:p w14:paraId="6454C4CD" w14:textId="77777777" w:rsidR="00D229A2" w:rsidRPr="00D229A2" w:rsidRDefault="00D229A2" w:rsidP="00D229A2"/>
    <w:p w14:paraId="0D4749C9" w14:textId="77777777" w:rsidR="00D229A2" w:rsidRPr="00D229A2" w:rsidRDefault="00D229A2" w:rsidP="00D229A2"/>
    <w:p w14:paraId="57C90B0D" w14:textId="77777777" w:rsidR="00D229A2" w:rsidRPr="00D229A2" w:rsidRDefault="00D229A2" w:rsidP="00D229A2"/>
    <w:p w14:paraId="336F5D35" w14:textId="77777777" w:rsidR="00D229A2" w:rsidRPr="00D229A2" w:rsidRDefault="00D229A2" w:rsidP="00D229A2"/>
    <w:p w14:paraId="05EA421C" w14:textId="77777777" w:rsidR="00D229A2" w:rsidRDefault="00D229A2" w:rsidP="00D229A2"/>
    <w:tbl>
      <w:tblPr>
        <w:tblW w:w="10640" w:type="dxa"/>
        <w:tblInd w:w="-108" w:type="dxa"/>
        <w:tblLook w:val="04A0" w:firstRow="1" w:lastRow="0" w:firstColumn="1" w:lastColumn="0" w:noHBand="0" w:noVBand="1"/>
      </w:tblPr>
      <w:tblGrid>
        <w:gridCol w:w="115"/>
        <w:gridCol w:w="2020"/>
        <w:gridCol w:w="10"/>
        <w:gridCol w:w="742"/>
        <w:gridCol w:w="216"/>
        <w:gridCol w:w="15"/>
        <w:gridCol w:w="448"/>
        <w:gridCol w:w="309"/>
        <w:gridCol w:w="196"/>
        <w:gridCol w:w="20"/>
        <w:gridCol w:w="338"/>
        <w:gridCol w:w="383"/>
        <w:gridCol w:w="186"/>
        <w:gridCol w:w="41"/>
        <w:gridCol w:w="25"/>
        <w:gridCol w:w="536"/>
        <w:gridCol w:w="407"/>
        <w:gridCol w:w="25"/>
        <w:gridCol w:w="8"/>
        <w:gridCol w:w="693"/>
        <w:gridCol w:w="135"/>
        <w:gridCol w:w="114"/>
        <w:gridCol w:w="89"/>
        <w:gridCol w:w="1057"/>
        <w:gridCol w:w="170"/>
        <w:gridCol w:w="651"/>
        <w:gridCol w:w="195"/>
        <w:gridCol w:w="330"/>
        <w:gridCol w:w="523"/>
        <w:gridCol w:w="332"/>
        <w:gridCol w:w="311"/>
      </w:tblGrid>
      <w:tr w:rsidR="00D229A2" w:rsidRPr="00D229A2" w14:paraId="6BC86FF5" w14:textId="77777777" w:rsidTr="00FE7743">
        <w:trPr>
          <w:gridBefore w:val="1"/>
          <w:wBefore w:w="115" w:type="dxa"/>
          <w:trHeight w:val="380"/>
        </w:trPr>
        <w:tc>
          <w:tcPr>
            <w:tcW w:w="5485" w:type="dxa"/>
            <w:gridSpan w:val="15"/>
            <w:tcBorders>
              <w:top w:val="nil"/>
              <w:left w:val="nil"/>
              <w:bottom w:val="single" w:sz="4" w:space="0" w:color="auto"/>
              <w:right w:val="nil"/>
            </w:tcBorders>
            <w:shd w:val="clear" w:color="000000" w:fill="FFFFFF"/>
            <w:noWrap/>
            <w:vAlign w:val="bottom"/>
            <w:hideMark/>
          </w:tcPr>
          <w:p w14:paraId="1BDF4D44" w14:textId="032F04F9"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b/>
                <w:bCs/>
                <w:kern w:val="0"/>
                <w:szCs w:val="24"/>
                <w14:ligatures w14:val="none"/>
              </w:rPr>
              <w:lastRenderedPageBreak/>
              <w:t xml:space="preserve">Table. </w:t>
            </w:r>
            <w:r w:rsidR="008D5509">
              <w:rPr>
                <w:rFonts w:eastAsia="Times New Roman" w:cs="Times New Roman"/>
                <w:b/>
                <w:bCs/>
                <w:kern w:val="0"/>
                <w:szCs w:val="24"/>
                <w14:ligatures w14:val="none"/>
              </w:rPr>
              <w:t>9</w:t>
            </w:r>
            <w:r w:rsidRPr="00D229A2">
              <w:rPr>
                <w:rFonts w:eastAsia="Times New Roman" w:cs="Times New Roman"/>
                <w:b/>
                <w:bCs/>
                <w:kern w:val="0"/>
                <w:szCs w:val="24"/>
                <w14:ligatures w14:val="none"/>
              </w:rPr>
              <w:t>.</w:t>
            </w:r>
            <w:r w:rsidRPr="00D229A2">
              <w:rPr>
                <w:rFonts w:eastAsia="Times New Roman" w:cs="Times New Roman"/>
                <w:kern w:val="0"/>
                <w:szCs w:val="24"/>
                <w14:ligatures w14:val="none"/>
              </w:rPr>
              <w:t xml:space="preserve"> Descriptives and Correlations </w:t>
            </w:r>
          </w:p>
        </w:tc>
        <w:tc>
          <w:tcPr>
            <w:tcW w:w="1268" w:type="dxa"/>
            <w:gridSpan w:val="5"/>
            <w:tcBorders>
              <w:top w:val="nil"/>
              <w:left w:val="nil"/>
              <w:bottom w:val="single" w:sz="4" w:space="0" w:color="auto"/>
              <w:right w:val="nil"/>
            </w:tcBorders>
            <w:shd w:val="clear" w:color="000000" w:fill="FFFFFF"/>
            <w:noWrap/>
            <w:vAlign w:val="bottom"/>
            <w:hideMark/>
          </w:tcPr>
          <w:p w14:paraId="60A3E711"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430" w:type="dxa"/>
            <w:gridSpan w:val="4"/>
            <w:tcBorders>
              <w:top w:val="nil"/>
              <w:left w:val="nil"/>
              <w:bottom w:val="single" w:sz="4" w:space="0" w:color="auto"/>
              <w:right w:val="nil"/>
            </w:tcBorders>
            <w:shd w:val="clear" w:color="000000" w:fill="FFFFFF"/>
            <w:noWrap/>
            <w:vAlign w:val="bottom"/>
            <w:hideMark/>
          </w:tcPr>
          <w:p w14:paraId="0AE46E51"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176" w:type="dxa"/>
            <w:gridSpan w:val="3"/>
            <w:tcBorders>
              <w:top w:val="nil"/>
              <w:left w:val="nil"/>
              <w:bottom w:val="single" w:sz="4" w:space="0" w:color="auto"/>
              <w:right w:val="nil"/>
            </w:tcBorders>
            <w:shd w:val="clear" w:color="000000" w:fill="FFFFFF"/>
            <w:noWrap/>
            <w:vAlign w:val="bottom"/>
            <w:hideMark/>
          </w:tcPr>
          <w:p w14:paraId="7868C58E"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166" w:type="dxa"/>
            <w:gridSpan w:val="3"/>
            <w:tcBorders>
              <w:top w:val="nil"/>
              <w:left w:val="nil"/>
              <w:bottom w:val="single" w:sz="4" w:space="0" w:color="auto"/>
              <w:right w:val="nil"/>
            </w:tcBorders>
            <w:shd w:val="clear" w:color="000000" w:fill="FFFFFF"/>
            <w:noWrap/>
            <w:vAlign w:val="bottom"/>
            <w:hideMark/>
          </w:tcPr>
          <w:p w14:paraId="666FD843"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r>
      <w:tr w:rsidR="00D229A2" w:rsidRPr="00D229A2" w14:paraId="21770CBE" w14:textId="77777777" w:rsidTr="00FE7743">
        <w:trPr>
          <w:gridBefore w:val="1"/>
          <w:wBefore w:w="115" w:type="dxa"/>
          <w:trHeight w:val="380"/>
        </w:trPr>
        <w:tc>
          <w:tcPr>
            <w:tcW w:w="2772" w:type="dxa"/>
            <w:gridSpan w:val="3"/>
            <w:tcBorders>
              <w:top w:val="nil"/>
              <w:left w:val="nil"/>
              <w:bottom w:val="single" w:sz="4" w:space="0" w:color="auto"/>
              <w:right w:val="nil"/>
            </w:tcBorders>
            <w:shd w:val="clear" w:color="000000" w:fill="FFFFFF"/>
            <w:noWrap/>
            <w:vAlign w:val="bottom"/>
            <w:hideMark/>
          </w:tcPr>
          <w:p w14:paraId="037C003F"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 </w:t>
            </w:r>
          </w:p>
        </w:tc>
        <w:tc>
          <w:tcPr>
            <w:tcW w:w="988" w:type="dxa"/>
            <w:gridSpan w:val="4"/>
            <w:tcBorders>
              <w:top w:val="nil"/>
              <w:left w:val="nil"/>
              <w:bottom w:val="single" w:sz="4" w:space="0" w:color="auto"/>
              <w:right w:val="nil"/>
            </w:tcBorders>
            <w:shd w:val="clear" w:color="000000" w:fill="FFFFFF"/>
            <w:noWrap/>
            <w:vAlign w:val="bottom"/>
            <w:hideMark/>
          </w:tcPr>
          <w:p w14:paraId="47221647"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M</w:t>
            </w:r>
          </w:p>
        </w:tc>
        <w:tc>
          <w:tcPr>
            <w:tcW w:w="937" w:type="dxa"/>
            <w:gridSpan w:val="4"/>
            <w:tcBorders>
              <w:top w:val="nil"/>
              <w:left w:val="nil"/>
              <w:bottom w:val="single" w:sz="4" w:space="0" w:color="auto"/>
              <w:right w:val="nil"/>
            </w:tcBorders>
            <w:shd w:val="clear" w:color="000000" w:fill="FFFFFF"/>
            <w:vAlign w:val="bottom"/>
            <w:hideMark/>
          </w:tcPr>
          <w:p w14:paraId="01BD6DC6"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SD</w:t>
            </w:r>
          </w:p>
        </w:tc>
        <w:tc>
          <w:tcPr>
            <w:tcW w:w="788" w:type="dxa"/>
            <w:gridSpan w:val="4"/>
            <w:tcBorders>
              <w:top w:val="nil"/>
              <w:left w:val="nil"/>
              <w:bottom w:val="single" w:sz="4" w:space="0" w:color="auto"/>
              <w:right w:val="nil"/>
            </w:tcBorders>
            <w:shd w:val="clear" w:color="000000" w:fill="FFFFFF"/>
            <w:noWrap/>
            <w:vAlign w:val="bottom"/>
            <w:hideMark/>
          </w:tcPr>
          <w:p w14:paraId="5B28FF73"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1</w:t>
            </w:r>
          </w:p>
        </w:tc>
        <w:tc>
          <w:tcPr>
            <w:tcW w:w="1268" w:type="dxa"/>
            <w:gridSpan w:val="5"/>
            <w:tcBorders>
              <w:top w:val="nil"/>
              <w:left w:val="nil"/>
              <w:bottom w:val="single" w:sz="4" w:space="0" w:color="auto"/>
              <w:right w:val="nil"/>
            </w:tcBorders>
            <w:shd w:val="clear" w:color="000000" w:fill="FFFFFF"/>
            <w:noWrap/>
            <w:vAlign w:val="bottom"/>
            <w:hideMark/>
          </w:tcPr>
          <w:p w14:paraId="4EDCB34C"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2</w:t>
            </w:r>
          </w:p>
        </w:tc>
        <w:tc>
          <w:tcPr>
            <w:tcW w:w="1430" w:type="dxa"/>
            <w:gridSpan w:val="4"/>
            <w:tcBorders>
              <w:top w:val="nil"/>
              <w:left w:val="nil"/>
              <w:bottom w:val="single" w:sz="4" w:space="0" w:color="auto"/>
              <w:right w:val="nil"/>
            </w:tcBorders>
            <w:shd w:val="clear" w:color="000000" w:fill="FFFFFF"/>
            <w:noWrap/>
            <w:vAlign w:val="bottom"/>
            <w:hideMark/>
          </w:tcPr>
          <w:p w14:paraId="03D75742"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3</w:t>
            </w:r>
          </w:p>
        </w:tc>
        <w:tc>
          <w:tcPr>
            <w:tcW w:w="1176" w:type="dxa"/>
            <w:gridSpan w:val="3"/>
            <w:tcBorders>
              <w:top w:val="nil"/>
              <w:left w:val="nil"/>
              <w:bottom w:val="single" w:sz="4" w:space="0" w:color="auto"/>
              <w:right w:val="nil"/>
            </w:tcBorders>
            <w:shd w:val="clear" w:color="000000" w:fill="FFFFFF"/>
            <w:noWrap/>
            <w:vAlign w:val="bottom"/>
            <w:hideMark/>
          </w:tcPr>
          <w:p w14:paraId="773B40FC"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4</w:t>
            </w:r>
          </w:p>
        </w:tc>
        <w:tc>
          <w:tcPr>
            <w:tcW w:w="1166" w:type="dxa"/>
            <w:gridSpan w:val="3"/>
            <w:tcBorders>
              <w:top w:val="nil"/>
              <w:left w:val="nil"/>
              <w:bottom w:val="single" w:sz="4" w:space="0" w:color="auto"/>
              <w:right w:val="nil"/>
            </w:tcBorders>
            <w:shd w:val="clear" w:color="000000" w:fill="FFFFFF"/>
            <w:noWrap/>
            <w:vAlign w:val="bottom"/>
            <w:hideMark/>
          </w:tcPr>
          <w:p w14:paraId="373904B9"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5</w:t>
            </w:r>
          </w:p>
        </w:tc>
      </w:tr>
      <w:tr w:rsidR="00D229A2" w:rsidRPr="00D229A2" w14:paraId="144839B2" w14:textId="77777777" w:rsidTr="00FE7743">
        <w:trPr>
          <w:gridBefore w:val="1"/>
          <w:wBefore w:w="115" w:type="dxa"/>
          <w:trHeight w:val="454"/>
        </w:trPr>
        <w:tc>
          <w:tcPr>
            <w:tcW w:w="2772" w:type="dxa"/>
            <w:gridSpan w:val="3"/>
            <w:tcBorders>
              <w:top w:val="nil"/>
              <w:left w:val="nil"/>
              <w:bottom w:val="nil"/>
              <w:right w:val="nil"/>
            </w:tcBorders>
            <w:shd w:val="clear" w:color="000000" w:fill="FFFFFF"/>
            <w:noWrap/>
            <w:vAlign w:val="bottom"/>
            <w:hideMark/>
          </w:tcPr>
          <w:p w14:paraId="6F309F33"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i/>
                <w:iCs/>
                <w:kern w:val="0"/>
                <w:szCs w:val="24"/>
                <w14:ligatures w14:val="none"/>
              </w:rPr>
              <w:t>PICLD</w:t>
            </w:r>
            <w:r w:rsidRPr="00D229A2">
              <w:rPr>
                <w:rFonts w:eastAsia="Times New Roman" w:cs="Times New Roman"/>
                <w:kern w:val="0"/>
                <w:szCs w:val="24"/>
                <w14:ligatures w14:val="none"/>
              </w:rPr>
              <w:t xml:space="preserve"> (1)</w:t>
            </w:r>
          </w:p>
        </w:tc>
        <w:tc>
          <w:tcPr>
            <w:tcW w:w="988" w:type="dxa"/>
            <w:gridSpan w:val="4"/>
            <w:tcBorders>
              <w:top w:val="nil"/>
              <w:left w:val="nil"/>
              <w:bottom w:val="nil"/>
              <w:right w:val="nil"/>
            </w:tcBorders>
            <w:shd w:val="clear" w:color="000000" w:fill="FFFFFF"/>
            <w:noWrap/>
            <w:vAlign w:val="bottom"/>
            <w:hideMark/>
          </w:tcPr>
          <w:p w14:paraId="375860FD" w14:textId="77777777" w:rsidR="00D229A2" w:rsidRPr="00D229A2" w:rsidRDefault="00D229A2" w:rsidP="00D229A2">
            <w:pPr>
              <w:spacing w:after="0" w:line="240" w:lineRule="auto"/>
              <w:jc w:val="right"/>
              <w:rPr>
                <w:rFonts w:eastAsia="Times New Roman" w:cs="Times New Roman"/>
                <w:kern w:val="0"/>
                <w:szCs w:val="24"/>
                <w14:ligatures w14:val="none"/>
              </w:rPr>
            </w:pPr>
            <w:r w:rsidRPr="00D229A2">
              <w:rPr>
                <w:rFonts w:eastAsia="Times New Roman" w:cs="Times New Roman"/>
                <w:kern w:val="0"/>
                <w:szCs w:val="24"/>
                <w14:ligatures w14:val="none"/>
              </w:rPr>
              <w:t>5.506</w:t>
            </w:r>
          </w:p>
        </w:tc>
        <w:tc>
          <w:tcPr>
            <w:tcW w:w="937" w:type="dxa"/>
            <w:gridSpan w:val="4"/>
            <w:tcBorders>
              <w:top w:val="nil"/>
              <w:left w:val="nil"/>
              <w:bottom w:val="nil"/>
              <w:right w:val="nil"/>
            </w:tcBorders>
            <w:shd w:val="clear" w:color="000000" w:fill="FFFFFF"/>
            <w:noWrap/>
            <w:vAlign w:val="bottom"/>
            <w:hideMark/>
          </w:tcPr>
          <w:p w14:paraId="548D8E52" w14:textId="77777777" w:rsidR="00D229A2" w:rsidRPr="00D229A2" w:rsidRDefault="00D229A2" w:rsidP="00D229A2">
            <w:pPr>
              <w:spacing w:after="0" w:line="240" w:lineRule="auto"/>
              <w:jc w:val="right"/>
              <w:rPr>
                <w:rFonts w:eastAsia="Times New Roman" w:cs="Times New Roman"/>
                <w:kern w:val="0"/>
                <w:szCs w:val="24"/>
                <w14:ligatures w14:val="none"/>
              </w:rPr>
            </w:pPr>
            <w:r w:rsidRPr="00D229A2">
              <w:rPr>
                <w:rFonts w:eastAsia="Times New Roman" w:cs="Times New Roman"/>
                <w:kern w:val="0"/>
                <w:szCs w:val="24"/>
                <w14:ligatures w14:val="none"/>
              </w:rPr>
              <w:t>1.103</w:t>
            </w:r>
          </w:p>
        </w:tc>
        <w:tc>
          <w:tcPr>
            <w:tcW w:w="788" w:type="dxa"/>
            <w:gridSpan w:val="4"/>
            <w:tcBorders>
              <w:top w:val="nil"/>
              <w:left w:val="nil"/>
              <w:bottom w:val="nil"/>
              <w:right w:val="nil"/>
            </w:tcBorders>
            <w:shd w:val="clear" w:color="000000" w:fill="FFFFFF"/>
            <w:noWrap/>
            <w:vAlign w:val="bottom"/>
            <w:hideMark/>
          </w:tcPr>
          <w:p w14:paraId="5599B368"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w:t>
            </w:r>
          </w:p>
        </w:tc>
        <w:tc>
          <w:tcPr>
            <w:tcW w:w="1268" w:type="dxa"/>
            <w:gridSpan w:val="5"/>
            <w:tcBorders>
              <w:top w:val="nil"/>
              <w:left w:val="nil"/>
              <w:bottom w:val="nil"/>
              <w:right w:val="nil"/>
            </w:tcBorders>
            <w:shd w:val="clear" w:color="000000" w:fill="FFFFFF"/>
            <w:noWrap/>
            <w:vAlign w:val="bottom"/>
            <w:hideMark/>
          </w:tcPr>
          <w:p w14:paraId="048491E6"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0.558</w:t>
            </w:r>
            <w:r w:rsidRPr="00D229A2">
              <w:rPr>
                <w:rFonts w:eastAsia="Times New Roman" w:cs="Times New Roman"/>
                <w:kern w:val="0"/>
                <w:szCs w:val="24"/>
                <w:vertAlign w:val="superscript"/>
                <w14:ligatures w14:val="none"/>
              </w:rPr>
              <w:t>**</w:t>
            </w:r>
          </w:p>
        </w:tc>
        <w:tc>
          <w:tcPr>
            <w:tcW w:w="1430" w:type="dxa"/>
            <w:gridSpan w:val="4"/>
            <w:tcBorders>
              <w:top w:val="nil"/>
              <w:left w:val="nil"/>
              <w:bottom w:val="nil"/>
              <w:right w:val="nil"/>
            </w:tcBorders>
            <w:shd w:val="clear" w:color="000000" w:fill="FFFFFF"/>
            <w:noWrap/>
            <w:vAlign w:val="bottom"/>
            <w:hideMark/>
          </w:tcPr>
          <w:p w14:paraId="6CDDD45B"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0.400</w:t>
            </w:r>
            <w:r w:rsidRPr="00D229A2">
              <w:rPr>
                <w:rFonts w:eastAsia="Times New Roman" w:cs="Times New Roman"/>
                <w:kern w:val="0"/>
                <w:szCs w:val="24"/>
                <w:vertAlign w:val="superscript"/>
                <w14:ligatures w14:val="none"/>
              </w:rPr>
              <w:t>**</w:t>
            </w:r>
          </w:p>
        </w:tc>
        <w:tc>
          <w:tcPr>
            <w:tcW w:w="1176" w:type="dxa"/>
            <w:gridSpan w:val="3"/>
            <w:tcBorders>
              <w:top w:val="nil"/>
              <w:left w:val="nil"/>
              <w:bottom w:val="nil"/>
              <w:right w:val="nil"/>
            </w:tcBorders>
            <w:shd w:val="clear" w:color="000000" w:fill="FFFFFF"/>
            <w:noWrap/>
            <w:vAlign w:val="bottom"/>
            <w:hideMark/>
          </w:tcPr>
          <w:p w14:paraId="1528A2EB"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0.419</w:t>
            </w:r>
            <w:r w:rsidRPr="00D229A2">
              <w:rPr>
                <w:rFonts w:eastAsia="Times New Roman" w:cs="Times New Roman"/>
                <w:kern w:val="0"/>
                <w:szCs w:val="24"/>
                <w:vertAlign w:val="superscript"/>
                <w14:ligatures w14:val="none"/>
              </w:rPr>
              <w:t>**</w:t>
            </w:r>
          </w:p>
        </w:tc>
        <w:tc>
          <w:tcPr>
            <w:tcW w:w="1166" w:type="dxa"/>
            <w:gridSpan w:val="3"/>
            <w:tcBorders>
              <w:top w:val="nil"/>
              <w:left w:val="nil"/>
              <w:bottom w:val="nil"/>
              <w:right w:val="nil"/>
            </w:tcBorders>
            <w:shd w:val="clear" w:color="000000" w:fill="FFFFFF"/>
            <w:noWrap/>
            <w:vAlign w:val="bottom"/>
            <w:hideMark/>
          </w:tcPr>
          <w:p w14:paraId="52FECE96"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-0.302**</w:t>
            </w:r>
          </w:p>
        </w:tc>
      </w:tr>
      <w:tr w:rsidR="00D229A2" w:rsidRPr="00D229A2" w14:paraId="1579EFBC" w14:textId="77777777" w:rsidTr="00FE7743">
        <w:trPr>
          <w:gridBefore w:val="1"/>
          <w:wBefore w:w="115" w:type="dxa"/>
          <w:trHeight w:val="454"/>
        </w:trPr>
        <w:tc>
          <w:tcPr>
            <w:tcW w:w="2772" w:type="dxa"/>
            <w:gridSpan w:val="3"/>
            <w:tcBorders>
              <w:top w:val="nil"/>
              <w:left w:val="nil"/>
              <w:bottom w:val="nil"/>
              <w:right w:val="nil"/>
            </w:tcBorders>
            <w:shd w:val="clear" w:color="000000" w:fill="FFFFFF"/>
            <w:noWrap/>
            <w:vAlign w:val="bottom"/>
            <w:hideMark/>
          </w:tcPr>
          <w:p w14:paraId="31DA160A"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Justice (2)</w:t>
            </w:r>
          </w:p>
        </w:tc>
        <w:tc>
          <w:tcPr>
            <w:tcW w:w="988" w:type="dxa"/>
            <w:gridSpan w:val="4"/>
            <w:tcBorders>
              <w:top w:val="nil"/>
              <w:left w:val="nil"/>
              <w:bottom w:val="nil"/>
              <w:right w:val="nil"/>
            </w:tcBorders>
            <w:shd w:val="clear" w:color="000000" w:fill="FFFFFF"/>
            <w:noWrap/>
            <w:vAlign w:val="bottom"/>
            <w:hideMark/>
          </w:tcPr>
          <w:p w14:paraId="168C5633" w14:textId="77777777" w:rsidR="00D229A2" w:rsidRPr="00D229A2" w:rsidRDefault="00D229A2" w:rsidP="00D229A2">
            <w:pPr>
              <w:spacing w:after="0" w:line="240" w:lineRule="auto"/>
              <w:jc w:val="right"/>
              <w:rPr>
                <w:rFonts w:eastAsia="Times New Roman" w:cs="Times New Roman"/>
                <w:kern w:val="0"/>
                <w:szCs w:val="24"/>
                <w14:ligatures w14:val="none"/>
              </w:rPr>
            </w:pPr>
            <w:r w:rsidRPr="00D229A2">
              <w:rPr>
                <w:rFonts w:eastAsia="Times New Roman" w:cs="Times New Roman"/>
                <w:kern w:val="0"/>
                <w:szCs w:val="24"/>
                <w14:ligatures w14:val="none"/>
              </w:rPr>
              <w:t>5.051</w:t>
            </w:r>
          </w:p>
        </w:tc>
        <w:tc>
          <w:tcPr>
            <w:tcW w:w="937" w:type="dxa"/>
            <w:gridSpan w:val="4"/>
            <w:tcBorders>
              <w:top w:val="nil"/>
              <w:left w:val="nil"/>
              <w:bottom w:val="nil"/>
              <w:right w:val="nil"/>
            </w:tcBorders>
            <w:shd w:val="clear" w:color="000000" w:fill="FFFFFF"/>
            <w:noWrap/>
            <w:vAlign w:val="bottom"/>
            <w:hideMark/>
          </w:tcPr>
          <w:p w14:paraId="20D3B0D4" w14:textId="77777777" w:rsidR="00D229A2" w:rsidRPr="00D229A2" w:rsidRDefault="00D229A2" w:rsidP="00D229A2">
            <w:pPr>
              <w:spacing w:after="0" w:line="240" w:lineRule="auto"/>
              <w:jc w:val="right"/>
              <w:rPr>
                <w:rFonts w:eastAsia="Times New Roman" w:cs="Times New Roman"/>
                <w:kern w:val="0"/>
                <w:szCs w:val="24"/>
                <w14:ligatures w14:val="none"/>
              </w:rPr>
            </w:pPr>
            <w:r w:rsidRPr="00D229A2">
              <w:rPr>
                <w:rFonts w:eastAsia="Times New Roman" w:cs="Times New Roman"/>
                <w:kern w:val="0"/>
                <w:szCs w:val="24"/>
                <w14:ligatures w14:val="none"/>
              </w:rPr>
              <w:t>1.464</w:t>
            </w:r>
          </w:p>
        </w:tc>
        <w:tc>
          <w:tcPr>
            <w:tcW w:w="788" w:type="dxa"/>
            <w:gridSpan w:val="4"/>
            <w:tcBorders>
              <w:top w:val="nil"/>
              <w:left w:val="nil"/>
              <w:bottom w:val="nil"/>
              <w:right w:val="nil"/>
            </w:tcBorders>
            <w:shd w:val="clear" w:color="000000" w:fill="FFFFFF"/>
            <w:noWrap/>
            <w:vAlign w:val="bottom"/>
            <w:hideMark/>
          </w:tcPr>
          <w:p w14:paraId="743387BC"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268" w:type="dxa"/>
            <w:gridSpan w:val="5"/>
            <w:tcBorders>
              <w:top w:val="nil"/>
              <w:left w:val="nil"/>
              <w:bottom w:val="nil"/>
              <w:right w:val="nil"/>
            </w:tcBorders>
            <w:shd w:val="clear" w:color="000000" w:fill="FFFFFF"/>
            <w:noWrap/>
            <w:vAlign w:val="bottom"/>
            <w:hideMark/>
          </w:tcPr>
          <w:p w14:paraId="77EB2583"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w:t>
            </w:r>
          </w:p>
        </w:tc>
        <w:tc>
          <w:tcPr>
            <w:tcW w:w="1430" w:type="dxa"/>
            <w:gridSpan w:val="4"/>
            <w:tcBorders>
              <w:top w:val="nil"/>
              <w:left w:val="nil"/>
              <w:bottom w:val="nil"/>
              <w:right w:val="nil"/>
            </w:tcBorders>
            <w:shd w:val="clear" w:color="000000" w:fill="FFFFFF"/>
            <w:noWrap/>
            <w:vAlign w:val="bottom"/>
            <w:hideMark/>
          </w:tcPr>
          <w:p w14:paraId="130B1A4A"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0.240</w:t>
            </w:r>
            <w:r w:rsidRPr="00D229A2">
              <w:rPr>
                <w:rFonts w:eastAsia="Times New Roman" w:cs="Times New Roman"/>
                <w:kern w:val="0"/>
                <w:szCs w:val="24"/>
                <w:vertAlign w:val="superscript"/>
                <w14:ligatures w14:val="none"/>
              </w:rPr>
              <w:t>**</w:t>
            </w:r>
          </w:p>
        </w:tc>
        <w:tc>
          <w:tcPr>
            <w:tcW w:w="1176" w:type="dxa"/>
            <w:gridSpan w:val="3"/>
            <w:tcBorders>
              <w:top w:val="nil"/>
              <w:left w:val="nil"/>
              <w:bottom w:val="nil"/>
              <w:right w:val="nil"/>
            </w:tcBorders>
            <w:shd w:val="clear" w:color="000000" w:fill="FFFFFF"/>
            <w:noWrap/>
            <w:vAlign w:val="bottom"/>
            <w:hideMark/>
          </w:tcPr>
          <w:p w14:paraId="2BFC3A90"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0.572</w:t>
            </w:r>
            <w:r w:rsidRPr="00D229A2">
              <w:rPr>
                <w:rFonts w:eastAsia="Times New Roman" w:cs="Times New Roman"/>
                <w:kern w:val="0"/>
                <w:szCs w:val="24"/>
                <w:vertAlign w:val="superscript"/>
                <w14:ligatures w14:val="none"/>
              </w:rPr>
              <w:t>**</w:t>
            </w:r>
          </w:p>
        </w:tc>
        <w:tc>
          <w:tcPr>
            <w:tcW w:w="1166" w:type="dxa"/>
            <w:gridSpan w:val="3"/>
            <w:tcBorders>
              <w:top w:val="nil"/>
              <w:left w:val="nil"/>
              <w:bottom w:val="nil"/>
              <w:right w:val="nil"/>
            </w:tcBorders>
            <w:shd w:val="clear" w:color="000000" w:fill="FFFFFF"/>
            <w:noWrap/>
            <w:vAlign w:val="bottom"/>
            <w:hideMark/>
          </w:tcPr>
          <w:p w14:paraId="065F6A34"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-0.559**</w:t>
            </w:r>
          </w:p>
        </w:tc>
      </w:tr>
      <w:tr w:rsidR="00D229A2" w:rsidRPr="00D229A2" w14:paraId="0D794BB3" w14:textId="77777777" w:rsidTr="00FE7743">
        <w:trPr>
          <w:gridBefore w:val="1"/>
          <w:wBefore w:w="115" w:type="dxa"/>
          <w:trHeight w:val="454"/>
        </w:trPr>
        <w:tc>
          <w:tcPr>
            <w:tcW w:w="2772" w:type="dxa"/>
            <w:gridSpan w:val="3"/>
            <w:tcBorders>
              <w:top w:val="nil"/>
              <w:left w:val="nil"/>
              <w:bottom w:val="nil"/>
              <w:right w:val="nil"/>
            </w:tcBorders>
            <w:shd w:val="clear" w:color="000000" w:fill="FFFFFF"/>
            <w:noWrap/>
            <w:vAlign w:val="bottom"/>
            <w:hideMark/>
          </w:tcPr>
          <w:p w14:paraId="01EEC489"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Performance (3)</w:t>
            </w:r>
          </w:p>
        </w:tc>
        <w:tc>
          <w:tcPr>
            <w:tcW w:w="988" w:type="dxa"/>
            <w:gridSpan w:val="4"/>
            <w:tcBorders>
              <w:top w:val="nil"/>
              <w:left w:val="nil"/>
              <w:bottom w:val="nil"/>
              <w:right w:val="nil"/>
            </w:tcBorders>
            <w:shd w:val="clear" w:color="000000" w:fill="FFFFFF"/>
            <w:noWrap/>
            <w:vAlign w:val="bottom"/>
            <w:hideMark/>
          </w:tcPr>
          <w:p w14:paraId="3FF668F4" w14:textId="77777777" w:rsidR="00D229A2" w:rsidRPr="00D229A2" w:rsidRDefault="00D229A2" w:rsidP="00D229A2">
            <w:pPr>
              <w:spacing w:after="0" w:line="240" w:lineRule="auto"/>
              <w:jc w:val="right"/>
              <w:rPr>
                <w:rFonts w:eastAsia="Times New Roman" w:cs="Times New Roman"/>
                <w:kern w:val="0"/>
                <w:szCs w:val="24"/>
                <w14:ligatures w14:val="none"/>
              </w:rPr>
            </w:pPr>
            <w:r w:rsidRPr="00D229A2">
              <w:rPr>
                <w:rFonts w:eastAsia="Times New Roman" w:cs="Times New Roman"/>
                <w:kern w:val="0"/>
                <w:szCs w:val="24"/>
                <w14:ligatures w14:val="none"/>
              </w:rPr>
              <w:t>6.324</w:t>
            </w:r>
          </w:p>
        </w:tc>
        <w:tc>
          <w:tcPr>
            <w:tcW w:w="937" w:type="dxa"/>
            <w:gridSpan w:val="4"/>
            <w:tcBorders>
              <w:top w:val="nil"/>
              <w:left w:val="nil"/>
              <w:bottom w:val="nil"/>
              <w:right w:val="nil"/>
            </w:tcBorders>
            <w:shd w:val="clear" w:color="000000" w:fill="FFFFFF"/>
            <w:noWrap/>
            <w:vAlign w:val="bottom"/>
            <w:hideMark/>
          </w:tcPr>
          <w:p w14:paraId="6B25206C" w14:textId="77777777" w:rsidR="00D229A2" w:rsidRPr="00D229A2" w:rsidRDefault="00D229A2" w:rsidP="00D229A2">
            <w:pPr>
              <w:spacing w:after="0" w:line="240" w:lineRule="auto"/>
              <w:jc w:val="right"/>
              <w:rPr>
                <w:rFonts w:eastAsia="Times New Roman" w:cs="Times New Roman"/>
                <w:kern w:val="0"/>
                <w:szCs w:val="24"/>
                <w14:ligatures w14:val="none"/>
              </w:rPr>
            </w:pPr>
            <w:r w:rsidRPr="00D229A2">
              <w:rPr>
                <w:rFonts w:eastAsia="Times New Roman" w:cs="Times New Roman"/>
                <w:kern w:val="0"/>
                <w:szCs w:val="24"/>
                <w14:ligatures w14:val="none"/>
              </w:rPr>
              <w:t>0.616</w:t>
            </w:r>
          </w:p>
        </w:tc>
        <w:tc>
          <w:tcPr>
            <w:tcW w:w="788" w:type="dxa"/>
            <w:gridSpan w:val="4"/>
            <w:tcBorders>
              <w:top w:val="nil"/>
              <w:left w:val="nil"/>
              <w:bottom w:val="nil"/>
              <w:right w:val="nil"/>
            </w:tcBorders>
            <w:shd w:val="clear" w:color="000000" w:fill="FFFFFF"/>
            <w:noWrap/>
            <w:vAlign w:val="bottom"/>
            <w:hideMark/>
          </w:tcPr>
          <w:p w14:paraId="0A59C088"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268" w:type="dxa"/>
            <w:gridSpan w:val="5"/>
            <w:tcBorders>
              <w:top w:val="nil"/>
              <w:left w:val="nil"/>
              <w:bottom w:val="nil"/>
              <w:right w:val="nil"/>
            </w:tcBorders>
            <w:shd w:val="clear" w:color="000000" w:fill="FFFFFF"/>
            <w:noWrap/>
            <w:vAlign w:val="bottom"/>
            <w:hideMark/>
          </w:tcPr>
          <w:p w14:paraId="303BC719"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430" w:type="dxa"/>
            <w:gridSpan w:val="4"/>
            <w:tcBorders>
              <w:top w:val="nil"/>
              <w:left w:val="nil"/>
              <w:bottom w:val="nil"/>
              <w:right w:val="nil"/>
            </w:tcBorders>
            <w:shd w:val="clear" w:color="000000" w:fill="FFFFFF"/>
            <w:noWrap/>
            <w:vAlign w:val="bottom"/>
            <w:hideMark/>
          </w:tcPr>
          <w:p w14:paraId="0051CB93"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w:t>
            </w:r>
          </w:p>
        </w:tc>
        <w:tc>
          <w:tcPr>
            <w:tcW w:w="1176" w:type="dxa"/>
            <w:gridSpan w:val="3"/>
            <w:tcBorders>
              <w:top w:val="nil"/>
              <w:left w:val="nil"/>
              <w:bottom w:val="nil"/>
              <w:right w:val="nil"/>
            </w:tcBorders>
            <w:shd w:val="clear" w:color="000000" w:fill="FFFFFF"/>
            <w:noWrap/>
            <w:vAlign w:val="bottom"/>
            <w:hideMark/>
          </w:tcPr>
          <w:p w14:paraId="5CFB7070"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0.172</w:t>
            </w:r>
            <w:r w:rsidRPr="00D229A2">
              <w:rPr>
                <w:rFonts w:eastAsia="Times New Roman" w:cs="Times New Roman"/>
                <w:kern w:val="0"/>
                <w:szCs w:val="24"/>
                <w:vertAlign w:val="superscript"/>
                <w14:ligatures w14:val="none"/>
              </w:rPr>
              <w:t>*</w:t>
            </w:r>
          </w:p>
        </w:tc>
        <w:tc>
          <w:tcPr>
            <w:tcW w:w="1166" w:type="dxa"/>
            <w:gridSpan w:val="3"/>
            <w:tcBorders>
              <w:top w:val="nil"/>
              <w:left w:val="nil"/>
              <w:bottom w:val="nil"/>
              <w:right w:val="nil"/>
            </w:tcBorders>
            <w:shd w:val="clear" w:color="000000" w:fill="FFFFFF"/>
            <w:noWrap/>
            <w:vAlign w:val="bottom"/>
            <w:hideMark/>
          </w:tcPr>
          <w:p w14:paraId="35154EB5"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-0.152*</w:t>
            </w:r>
          </w:p>
        </w:tc>
      </w:tr>
      <w:tr w:rsidR="00D229A2" w:rsidRPr="00D229A2" w14:paraId="0AA40023" w14:textId="77777777" w:rsidTr="00FE7743">
        <w:trPr>
          <w:gridBefore w:val="1"/>
          <w:wBefore w:w="115" w:type="dxa"/>
          <w:trHeight w:val="380"/>
        </w:trPr>
        <w:tc>
          <w:tcPr>
            <w:tcW w:w="2772" w:type="dxa"/>
            <w:gridSpan w:val="3"/>
            <w:tcBorders>
              <w:top w:val="nil"/>
              <w:left w:val="nil"/>
              <w:bottom w:val="nil"/>
              <w:right w:val="nil"/>
            </w:tcBorders>
            <w:shd w:val="clear" w:color="000000" w:fill="FFFFFF"/>
            <w:noWrap/>
            <w:vAlign w:val="bottom"/>
            <w:hideMark/>
          </w:tcPr>
          <w:p w14:paraId="0159D29F"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Engagement (4)</w:t>
            </w:r>
          </w:p>
        </w:tc>
        <w:tc>
          <w:tcPr>
            <w:tcW w:w="988" w:type="dxa"/>
            <w:gridSpan w:val="4"/>
            <w:tcBorders>
              <w:top w:val="nil"/>
              <w:left w:val="nil"/>
              <w:bottom w:val="nil"/>
              <w:right w:val="nil"/>
            </w:tcBorders>
            <w:shd w:val="clear" w:color="000000" w:fill="FFFFFF"/>
            <w:noWrap/>
            <w:vAlign w:val="bottom"/>
            <w:hideMark/>
          </w:tcPr>
          <w:p w14:paraId="6DF1C0E7" w14:textId="77777777" w:rsidR="00D229A2" w:rsidRPr="00D229A2" w:rsidRDefault="00D229A2" w:rsidP="00D229A2">
            <w:pPr>
              <w:spacing w:after="0" w:line="240" w:lineRule="auto"/>
              <w:jc w:val="right"/>
              <w:rPr>
                <w:rFonts w:eastAsia="Times New Roman" w:cs="Times New Roman"/>
                <w:kern w:val="0"/>
                <w:szCs w:val="24"/>
                <w14:ligatures w14:val="none"/>
              </w:rPr>
            </w:pPr>
            <w:r w:rsidRPr="00D229A2">
              <w:rPr>
                <w:rFonts w:eastAsia="Times New Roman" w:cs="Times New Roman"/>
                <w:kern w:val="0"/>
                <w:szCs w:val="24"/>
                <w14:ligatures w14:val="none"/>
              </w:rPr>
              <w:t>4.186</w:t>
            </w:r>
          </w:p>
        </w:tc>
        <w:tc>
          <w:tcPr>
            <w:tcW w:w="937" w:type="dxa"/>
            <w:gridSpan w:val="4"/>
            <w:tcBorders>
              <w:top w:val="nil"/>
              <w:left w:val="nil"/>
              <w:bottom w:val="nil"/>
              <w:right w:val="nil"/>
            </w:tcBorders>
            <w:shd w:val="clear" w:color="000000" w:fill="FFFFFF"/>
            <w:noWrap/>
            <w:vAlign w:val="bottom"/>
            <w:hideMark/>
          </w:tcPr>
          <w:p w14:paraId="6E823F06" w14:textId="77777777" w:rsidR="00D229A2" w:rsidRPr="00D229A2" w:rsidRDefault="00D229A2" w:rsidP="00D229A2">
            <w:pPr>
              <w:spacing w:after="0" w:line="240" w:lineRule="auto"/>
              <w:jc w:val="right"/>
              <w:rPr>
                <w:rFonts w:eastAsia="Times New Roman" w:cs="Times New Roman"/>
                <w:kern w:val="0"/>
                <w:szCs w:val="24"/>
                <w14:ligatures w14:val="none"/>
              </w:rPr>
            </w:pPr>
            <w:r w:rsidRPr="00D229A2">
              <w:rPr>
                <w:rFonts w:eastAsia="Times New Roman" w:cs="Times New Roman"/>
                <w:kern w:val="0"/>
                <w:szCs w:val="24"/>
                <w14:ligatures w14:val="none"/>
              </w:rPr>
              <w:t>1.548</w:t>
            </w:r>
          </w:p>
        </w:tc>
        <w:tc>
          <w:tcPr>
            <w:tcW w:w="788" w:type="dxa"/>
            <w:gridSpan w:val="4"/>
            <w:tcBorders>
              <w:top w:val="nil"/>
              <w:left w:val="nil"/>
              <w:bottom w:val="nil"/>
              <w:right w:val="nil"/>
            </w:tcBorders>
            <w:shd w:val="clear" w:color="000000" w:fill="FFFFFF"/>
            <w:noWrap/>
            <w:vAlign w:val="bottom"/>
            <w:hideMark/>
          </w:tcPr>
          <w:p w14:paraId="15B8BE25"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268" w:type="dxa"/>
            <w:gridSpan w:val="5"/>
            <w:tcBorders>
              <w:top w:val="nil"/>
              <w:left w:val="nil"/>
              <w:bottom w:val="nil"/>
              <w:right w:val="nil"/>
            </w:tcBorders>
            <w:shd w:val="clear" w:color="000000" w:fill="FFFFFF"/>
            <w:noWrap/>
            <w:vAlign w:val="bottom"/>
            <w:hideMark/>
          </w:tcPr>
          <w:p w14:paraId="6B6359BF"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430" w:type="dxa"/>
            <w:gridSpan w:val="4"/>
            <w:tcBorders>
              <w:top w:val="nil"/>
              <w:left w:val="nil"/>
              <w:bottom w:val="nil"/>
              <w:right w:val="nil"/>
            </w:tcBorders>
            <w:shd w:val="clear" w:color="000000" w:fill="FFFFFF"/>
            <w:noWrap/>
            <w:vAlign w:val="bottom"/>
            <w:hideMark/>
          </w:tcPr>
          <w:p w14:paraId="5D76D917"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176" w:type="dxa"/>
            <w:gridSpan w:val="3"/>
            <w:tcBorders>
              <w:top w:val="nil"/>
              <w:left w:val="nil"/>
              <w:bottom w:val="nil"/>
              <w:right w:val="nil"/>
            </w:tcBorders>
            <w:shd w:val="clear" w:color="000000" w:fill="FFFFFF"/>
            <w:noWrap/>
            <w:vAlign w:val="bottom"/>
            <w:hideMark/>
          </w:tcPr>
          <w:p w14:paraId="337325FE"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w:t>
            </w:r>
          </w:p>
        </w:tc>
        <w:tc>
          <w:tcPr>
            <w:tcW w:w="1166" w:type="dxa"/>
            <w:gridSpan w:val="3"/>
            <w:tcBorders>
              <w:top w:val="nil"/>
              <w:left w:val="nil"/>
              <w:bottom w:val="nil"/>
              <w:right w:val="nil"/>
            </w:tcBorders>
            <w:shd w:val="clear" w:color="000000" w:fill="FFFFFF"/>
            <w:noWrap/>
            <w:vAlign w:val="bottom"/>
            <w:hideMark/>
          </w:tcPr>
          <w:p w14:paraId="6385448F"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-0.558**</w:t>
            </w:r>
          </w:p>
        </w:tc>
      </w:tr>
      <w:tr w:rsidR="00D229A2" w:rsidRPr="00D229A2" w14:paraId="6EF0F3C5" w14:textId="77777777" w:rsidTr="00FE7743">
        <w:trPr>
          <w:gridBefore w:val="1"/>
          <w:wBefore w:w="115" w:type="dxa"/>
          <w:trHeight w:val="380"/>
        </w:trPr>
        <w:tc>
          <w:tcPr>
            <w:tcW w:w="2772" w:type="dxa"/>
            <w:gridSpan w:val="3"/>
            <w:tcBorders>
              <w:top w:val="nil"/>
              <w:left w:val="nil"/>
              <w:bottom w:val="single" w:sz="4" w:space="0" w:color="auto"/>
              <w:right w:val="nil"/>
            </w:tcBorders>
            <w:shd w:val="clear" w:color="000000" w:fill="FFFFFF"/>
            <w:noWrap/>
            <w:vAlign w:val="bottom"/>
            <w:hideMark/>
          </w:tcPr>
          <w:p w14:paraId="50A5FE8E"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Turnover (5)</w:t>
            </w:r>
          </w:p>
        </w:tc>
        <w:tc>
          <w:tcPr>
            <w:tcW w:w="988" w:type="dxa"/>
            <w:gridSpan w:val="4"/>
            <w:tcBorders>
              <w:top w:val="nil"/>
              <w:left w:val="nil"/>
              <w:bottom w:val="single" w:sz="4" w:space="0" w:color="auto"/>
              <w:right w:val="nil"/>
            </w:tcBorders>
            <w:shd w:val="clear" w:color="000000" w:fill="FFFFFF"/>
            <w:noWrap/>
            <w:vAlign w:val="bottom"/>
            <w:hideMark/>
          </w:tcPr>
          <w:p w14:paraId="0B235E23" w14:textId="77777777" w:rsidR="00D229A2" w:rsidRPr="00D229A2" w:rsidRDefault="00D229A2" w:rsidP="00D229A2">
            <w:pPr>
              <w:spacing w:after="0" w:line="240" w:lineRule="auto"/>
              <w:jc w:val="right"/>
              <w:rPr>
                <w:rFonts w:eastAsia="Times New Roman" w:cs="Times New Roman"/>
                <w:kern w:val="0"/>
                <w:szCs w:val="24"/>
                <w14:ligatures w14:val="none"/>
              </w:rPr>
            </w:pPr>
            <w:r w:rsidRPr="00D229A2">
              <w:rPr>
                <w:rFonts w:eastAsia="Times New Roman" w:cs="Times New Roman"/>
                <w:kern w:val="0"/>
                <w:szCs w:val="24"/>
                <w14:ligatures w14:val="none"/>
              </w:rPr>
              <w:t>3.628</w:t>
            </w:r>
          </w:p>
        </w:tc>
        <w:tc>
          <w:tcPr>
            <w:tcW w:w="937" w:type="dxa"/>
            <w:gridSpan w:val="4"/>
            <w:tcBorders>
              <w:top w:val="nil"/>
              <w:left w:val="nil"/>
              <w:bottom w:val="single" w:sz="4" w:space="0" w:color="auto"/>
              <w:right w:val="nil"/>
            </w:tcBorders>
            <w:shd w:val="clear" w:color="000000" w:fill="FFFFFF"/>
            <w:noWrap/>
            <w:vAlign w:val="bottom"/>
            <w:hideMark/>
          </w:tcPr>
          <w:p w14:paraId="66DF224E" w14:textId="77777777" w:rsidR="00D229A2" w:rsidRPr="00D229A2" w:rsidRDefault="00D229A2" w:rsidP="00D229A2">
            <w:pPr>
              <w:spacing w:after="0" w:line="240" w:lineRule="auto"/>
              <w:jc w:val="right"/>
              <w:rPr>
                <w:rFonts w:eastAsia="Times New Roman" w:cs="Times New Roman"/>
                <w:kern w:val="0"/>
                <w:szCs w:val="24"/>
                <w14:ligatures w14:val="none"/>
              </w:rPr>
            </w:pPr>
            <w:r w:rsidRPr="00D229A2">
              <w:rPr>
                <w:rFonts w:eastAsia="Times New Roman" w:cs="Times New Roman"/>
                <w:kern w:val="0"/>
                <w:szCs w:val="24"/>
                <w14:ligatures w14:val="none"/>
              </w:rPr>
              <w:t>1.909</w:t>
            </w:r>
          </w:p>
        </w:tc>
        <w:tc>
          <w:tcPr>
            <w:tcW w:w="788" w:type="dxa"/>
            <w:gridSpan w:val="4"/>
            <w:tcBorders>
              <w:top w:val="nil"/>
              <w:left w:val="nil"/>
              <w:bottom w:val="single" w:sz="4" w:space="0" w:color="auto"/>
              <w:right w:val="nil"/>
            </w:tcBorders>
            <w:shd w:val="clear" w:color="000000" w:fill="FFFFFF"/>
            <w:noWrap/>
            <w:vAlign w:val="bottom"/>
            <w:hideMark/>
          </w:tcPr>
          <w:p w14:paraId="1933F004"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268" w:type="dxa"/>
            <w:gridSpan w:val="5"/>
            <w:tcBorders>
              <w:top w:val="nil"/>
              <w:left w:val="nil"/>
              <w:bottom w:val="single" w:sz="4" w:space="0" w:color="auto"/>
              <w:right w:val="nil"/>
            </w:tcBorders>
            <w:shd w:val="clear" w:color="000000" w:fill="FFFFFF"/>
            <w:noWrap/>
            <w:vAlign w:val="bottom"/>
            <w:hideMark/>
          </w:tcPr>
          <w:p w14:paraId="788B8F95"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430" w:type="dxa"/>
            <w:gridSpan w:val="4"/>
            <w:tcBorders>
              <w:top w:val="nil"/>
              <w:left w:val="nil"/>
              <w:bottom w:val="single" w:sz="4" w:space="0" w:color="auto"/>
              <w:right w:val="nil"/>
            </w:tcBorders>
            <w:shd w:val="clear" w:color="000000" w:fill="FFFFFF"/>
            <w:noWrap/>
            <w:vAlign w:val="bottom"/>
            <w:hideMark/>
          </w:tcPr>
          <w:p w14:paraId="1D1047EF"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176" w:type="dxa"/>
            <w:gridSpan w:val="3"/>
            <w:tcBorders>
              <w:top w:val="nil"/>
              <w:left w:val="nil"/>
              <w:bottom w:val="single" w:sz="4" w:space="0" w:color="auto"/>
              <w:right w:val="nil"/>
            </w:tcBorders>
            <w:shd w:val="clear" w:color="000000" w:fill="FFFFFF"/>
            <w:noWrap/>
            <w:vAlign w:val="bottom"/>
            <w:hideMark/>
          </w:tcPr>
          <w:p w14:paraId="14A45898"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166" w:type="dxa"/>
            <w:gridSpan w:val="3"/>
            <w:tcBorders>
              <w:top w:val="nil"/>
              <w:left w:val="nil"/>
              <w:bottom w:val="single" w:sz="4" w:space="0" w:color="auto"/>
              <w:right w:val="nil"/>
            </w:tcBorders>
            <w:shd w:val="clear" w:color="000000" w:fill="FFFFFF"/>
            <w:noWrap/>
            <w:vAlign w:val="bottom"/>
            <w:hideMark/>
          </w:tcPr>
          <w:p w14:paraId="7FE77E9B"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w:t>
            </w:r>
          </w:p>
        </w:tc>
      </w:tr>
      <w:tr w:rsidR="00D229A2" w:rsidRPr="00D229A2" w14:paraId="16DD9D74" w14:textId="77777777" w:rsidTr="00FE7743">
        <w:trPr>
          <w:gridBefore w:val="1"/>
          <w:wBefore w:w="115" w:type="dxa"/>
          <w:trHeight w:val="380"/>
        </w:trPr>
        <w:tc>
          <w:tcPr>
            <w:tcW w:w="9359" w:type="dxa"/>
            <w:gridSpan w:val="27"/>
            <w:tcBorders>
              <w:top w:val="nil"/>
              <w:left w:val="nil"/>
              <w:bottom w:val="nil"/>
              <w:right w:val="nil"/>
            </w:tcBorders>
            <w:shd w:val="clear" w:color="000000" w:fill="FFFFFF"/>
            <w:noWrap/>
            <w:vAlign w:val="bottom"/>
            <w:hideMark/>
          </w:tcPr>
          <w:p w14:paraId="2CC4C953" w14:textId="40180791" w:rsidR="00D229A2" w:rsidRPr="00D229A2" w:rsidRDefault="00D229A2" w:rsidP="00D229A2">
            <w:pPr>
              <w:spacing w:after="0" w:line="240" w:lineRule="auto"/>
              <w:rPr>
                <w:rFonts w:eastAsia="Calibri" w:cs="Times New Roman"/>
              </w:rPr>
            </w:pPr>
            <w:r w:rsidRPr="00D229A2">
              <w:rPr>
                <w:rFonts w:eastAsia="Calibri" w:cs="Times New Roman"/>
                <w:i/>
                <w:iCs/>
              </w:rPr>
              <w:t>Notes</w:t>
            </w:r>
            <w:r w:rsidRPr="00D229A2">
              <w:rPr>
                <w:rFonts w:eastAsia="Calibri" w:cs="Times New Roman"/>
              </w:rPr>
              <w:t>: N=183, **=</w:t>
            </w:r>
            <w:r w:rsidR="00876F59">
              <w:rPr>
                <w:rFonts w:eastAsia="Calibri" w:cs="Times New Roman"/>
              </w:rPr>
              <w:t xml:space="preserve"> </w:t>
            </w:r>
            <w:r w:rsidRPr="00D229A2">
              <w:rPr>
                <w:rFonts w:eastAsia="Calibri" w:cs="Times New Roman"/>
              </w:rPr>
              <w:t>p &lt;.001</w:t>
            </w:r>
            <w:r w:rsidR="00876F59">
              <w:rPr>
                <w:rFonts w:eastAsia="Calibri" w:cs="Times New Roman"/>
              </w:rPr>
              <w:t>;</w:t>
            </w:r>
            <w:r w:rsidRPr="00D229A2">
              <w:rPr>
                <w:rFonts w:eastAsia="Calibri" w:cs="Times New Roman"/>
              </w:rPr>
              <w:t xml:space="preserve"> *=</w:t>
            </w:r>
            <w:r w:rsidR="00876F59">
              <w:rPr>
                <w:rFonts w:eastAsia="Calibri" w:cs="Times New Roman"/>
              </w:rPr>
              <w:t xml:space="preserve"> </w:t>
            </w:r>
            <w:r w:rsidRPr="00D229A2">
              <w:rPr>
                <w:rFonts w:eastAsia="Calibri" w:cs="Times New Roman"/>
              </w:rPr>
              <w:t>p &lt;.05</w:t>
            </w:r>
            <w:r w:rsidR="00876F59">
              <w:rPr>
                <w:rFonts w:eastAsia="Calibri" w:cs="Times New Roman"/>
              </w:rPr>
              <w:t>;</w:t>
            </w:r>
            <w:r w:rsidRPr="00D229A2">
              <w:rPr>
                <w:rFonts w:eastAsia="Calibri" w:cs="Times New Roman"/>
              </w:rPr>
              <w:t xml:space="preserve"> M=</w:t>
            </w:r>
            <w:r w:rsidR="00876F59">
              <w:rPr>
                <w:rFonts w:eastAsia="Calibri" w:cs="Times New Roman"/>
              </w:rPr>
              <w:t xml:space="preserve"> </w:t>
            </w:r>
            <w:r w:rsidRPr="00D229A2">
              <w:rPr>
                <w:rFonts w:eastAsia="Calibri" w:cs="Times New Roman"/>
              </w:rPr>
              <w:t>Mean</w:t>
            </w:r>
            <w:r w:rsidR="00876F59">
              <w:rPr>
                <w:rFonts w:eastAsia="Calibri" w:cs="Times New Roman"/>
              </w:rPr>
              <w:t>;</w:t>
            </w:r>
            <w:r w:rsidRPr="00D229A2">
              <w:rPr>
                <w:rFonts w:eastAsia="Calibri" w:cs="Times New Roman"/>
              </w:rPr>
              <w:t xml:space="preserve"> SD=</w:t>
            </w:r>
            <w:r w:rsidR="00876F59">
              <w:rPr>
                <w:rFonts w:eastAsia="Calibri" w:cs="Times New Roman"/>
              </w:rPr>
              <w:t xml:space="preserve"> </w:t>
            </w:r>
            <w:r w:rsidRPr="00D229A2">
              <w:rPr>
                <w:rFonts w:eastAsia="Calibri" w:cs="Times New Roman"/>
              </w:rPr>
              <w:t>Standard Deviation</w:t>
            </w:r>
          </w:p>
        </w:tc>
        <w:tc>
          <w:tcPr>
            <w:tcW w:w="1166" w:type="dxa"/>
            <w:gridSpan w:val="3"/>
            <w:tcBorders>
              <w:top w:val="nil"/>
              <w:left w:val="nil"/>
              <w:bottom w:val="nil"/>
              <w:right w:val="nil"/>
            </w:tcBorders>
            <w:shd w:val="clear" w:color="000000" w:fill="FFFFFF"/>
            <w:noWrap/>
            <w:vAlign w:val="bottom"/>
            <w:hideMark/>
          </w:tcPr>
          <w:p w14:paraId="146C3944"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r>
      <w:tr w:rsidR="00D229A2" w:rsidRPr="00D229A2" w14:paraId="0D15050F" w14:textId="77777777" w:rsidTr="00FE7743">
        <w:trPr>
          <w:gridAfter w:val="1"/>
          <w:wAfter w:w="311" w:type="dxa"/>
          <w:trHeight w:val="312"/>
        </w:trPr>
        <w:tc>
          <w:tcPr>
            <w:tcW w:w="10329" w:type="dxa"/>
            <w:gridSpan w:val="30"/>
            <w:tcBorders>
              <w:top w:val="nil"/>
              <w:left w:val="nil"/>
              <w:bottom w:val="single" w:sz="4" w:space="0" w:color="auto"/>
              <w:right w:val="nil"/>
            </w:tcBorders>
            <w:shd w:val="clear" w:color="000000" w:fill="FFFFFF"/>
            <w:noWrap/>
            <w:vAlign w:val="bottom"/>
            <w:hideMark/>
          </w:tcPr>
          <w:p w14:paraId="4EEE2403" w14:textId="77777777" w:rsidR="00D229A2" w:rsidRPr="00D229A2" w:rsidRDefault="00D229A2" w:rsidP="00D229A2">
            <w:pPr>
              <w:spacing w:after="0" w:line="240" w:lineRule="auto"/>
              <w:rPr>
                <w:rFonts w:eastAsia="Calibri" w:cs="Times New Roman"/>
              </w:rPr>
            </w:pPr>
          </w:p>
          <w:p w14:paraId="20E85BC3" w14:textId="2CE1572E" w:rsidR="00D229A2" w:rsidRPr="00D229A2" w:rsidRDefault="00D229A2" w:rsidP="00D229A2">
            <w:pPr>
              <w:spacing w:after="0" w:line="240" w:lineRule="auto"/>
              <w:rPr>
                <w:rFonts w:eastAsia="Calibri" w:cs="Times New Roman"/>
              </w:rPr>
            </w:pPr>
            <w:r w:rsidRPr="00D229A2">
              <w:rPr>
                <w:rFonts w:eastAsia="Calibri" w:cs="Times New Roman"/>
                <w:b/>
                <w:bCs/>
              </w:rPr>
              <w:t xml:space="preserve">Table. </w:t>
            </w:r>
            <w:r w:rsidR="00F037FD">
              <w:rPr>
                <w:rFonts w:eastAsia="Calibri" w:cs="Times New Roman"/>
                <w:b/>
                <w:bCs/>
              </w:rPr>
              <w:t>10</w:t>
            </w:r>
            <w:r w:rsidRPr="00D229A2">
              <w:rPr>
                <w:rFonts w:eastAsia="Calibri" w:cs="Times New Roman"/>
                <w:b/>
                <w:bCs/>
              </w:rPr>
              <w:t xml:space="preserve">. </w:t>
            </w:r>
            <w:r w:rsidRPr="00D229A2">
              <w:rPr>
                <w:rFonts w:eastAsia="Calibri" w:cs="Times New Roman"/>
              </w:rPr>
              <w:t xml:space="preserve">Standardized loadings, Cronbach’s alpha, composite </w:t>
            </w:r>
            <w:proofErr w:type="gramStart"/>
            <w:r w:rsidRPr="00D229A2">
              <w:rPr>
                <w:rFonts w:eastAsia="Calibri" w:cs="Times New Roman"/>
              </w:rPr>
              <w:t>reliabilities</w:t>
            </w:r>
            <w:proofErr w:type="gramEnd"/>
            <w:r w:rsidRPr="00D229A2">
              <w:rPr>
                <w:rFonts w:eastAsia="Calibri" w:cs="Times New Roman"/>
              </w:rPr>
              <w:t xml:space="preserve"> and AVE</w:t>
            </w:r>
          </w:p>
        </w:tc>
      </w:tr>
      <w:tr w:rsidR="00D229A2" w:rsidRPr="00D229A2" w14:paraId="2C4D716D" w14:textId="77777777" w:rsidTr="00FE7743">
        <w:trPr>
          <w:gridAfter w:val="1"/>
          <w:wAfter w:w="311" w:type="dxa"/>
          <w:trHeight w:val="601"/>
        </w:trPr>
        <w:tc>
          <w:tcPr>
            <w:tcW w:w="3566" w:type="dxa"/>
            <w:gridSpan w:val="7"/>
            <w:tcBorders>
              <w:top w:val="nil"/>
              <w:left w:val="nil"/>
              <w:bottom w:val="single" w:sz="4" w:space="0" w:color="auto"/>
              <w:right w:val="nil"/>
            </w:tcBorders>
            <w:shd w:val="clear" w:color="000000" w:fill="FFFFFF"/>
            <w:noWrap/>
            <w:vAlign w:val="bottom"/>
            <w:hideMark/>
          </w:tcPr>
          <w:p w14:paraId="7A6FD348" w14:textId="77777777" w:rsidR="00D229A2" w:rsidRPr="00D229A2" w:rsidRDefault="00D229A2" w:rsidP="00D229A2">
            <w:pPr>
              <w:spacing w:after="0" w:line="240" w:lineRule="auto"/>
              <w:rPr>
                <w:rFonts w:eastAsia="Calibri" w:cs="Times New Roman"/>
              </w:rPr>
            </w:pPr>
            <w:r w:rsidRPr="00D229A2">
              <w:rPr>
                <w:rFonts w:eastAsia="Calibri" w:cs="Times New Roman"/>
              </w:rPr>
              <w:t>Item</w:t>
            </w:r>
          </w:p>
        </w:tc>
        <w:tc>
          <w:tcPr>
            <w:tcW w:w="1432" w:type="dxa"/>
            <w:gridSpan w:val="6"/>
            <w:tcBorders>
              <w:top w:val="nil"/>
              <w:left w:val="nil"/>
              <w:bottom w:val="single" w:sz="4" w:space="0" w:color="auto"/>
              <w:right w:val="nil"/>
            </w:tcBorders>
            <w:shd w:val="clear" w:color="000000" w:fill="FFFFFF"/>
            <w:noWrap/>
            <w:vAlign w:val="bottom"/>
            <w:hideMark/>
          </w:tcPr>
          <w:p w14:paraId="2F097242" w14:textId="77777777" w:rsidR="00D229A2" w:rsidRPr="00D229A2" w:rsidRDefault="00D229A2" w:rsidP="00D229A2">
            <w:pPr>
              <w:spacing w:after="0" w:line="240" w:lineRule="auto"/>
              <w:rPr>
                <w:rFonts w:eastAsia="Calibri" w:cs="Times New Roman"/>
              </w:rPr>
            </w:pPr>
            <w:r w:rsidRPr="00D229A2">
              <w:rPr>
                <w:rFonts w:eastAsia="Calibri" w:cs="Times New Roman"/>
              </w:rPr>
              <w:t>Label</w:t>
            </w:r>
          </w:p>
        </w:tc>
        <w:tc>
          <w:tcPr>
            <w:tcW w:w="1735" w:type="dxa"/>
            <w:gridSpan w:val="7"/>
            <w:tcBorders>
              <w:top w:val="nil"/>
              <w:left w:val="nil"/>
              <w:bottom w:val="single" w:sz="4" w:space="0" w:color="auto"/>
              <w:right w:val="nil"/>
            </w:tcBorders>
            <w:shd w:val="clear" w:color="000000" w:fill="FFFFFF"/>
            <w:vAlign w:val="bottom"/>
            <w:hideMark/>
          </w:tcPr>
          <w:p w14:paraId="1871269F" w14:textId="77777777" w:rsidR="00D229A2" w:rsidRPr="00D229A2" w:rsidRDefault="00D229A2" w:rsidP="00D229A2">
            <w:pPr>
              <w:spacing w:after="0" w:line="240" w:lineRule="auto"/>
              <w:rPr>
                <w:rFonts w:eastAsia="Calibri" w:cs="Times New Roman"/>
              </w:rPr>
            </w:pPr>
            <w:r w:rsidRPr="00D229A2">
              <w:rPr>
                <w:rFonts w:eastAsia="Calibri" w:cs="Times New Roman"/>
              </w:rPr>
              <w:t>Standardized loading</w:t>
            </w:r>
          </w:p>
        </w:tc>
        <w:tc>
          <w:tcPr>
            <w:tcW w:w="1395" w:type="dxa"/>
            <w:gridSpan w:val="4"/>
            <w:tcBorders>
              <w:top w:val="nil"/>
              <w:left w:val="nil"/>
              <w:bottom w:val="single" w:sz="4" w:space="0" w:color="auto"/>
              <w:right w:val="nil"/>
            </w:tcBorders>
            <w:shd w:val="clear" w:color="000000" w:fill="FFFFFF"/>
            <w:vAlign w:val="bottom"/>
            <w:hideMark/>
          </w:tcPr>
          <w:p w14:paraId="47E350AB" w14:textId="77777777" w:rsidR="00D229A2" w:rsidRPr="00D229A2" w:rsidRDefault="00D229A2" w:rsidP="00D229A2">
            <w:pPr>
              <w:spacing w:after="0" w:line="240" w:lineRule="auto"/>
              <w:rPr>
                <w:rFonts w:eastAsia="Calibri" w:cs="Times New Roman"/>
              </w:rPr>
            </w:pPr>
            <w:r w:rsidRPr="00D229A2">
              <w:rPr>
                <w:rFonts w:eastAsia="Calibri" w:cs="Times New Roman"/>
              </w:rPr>
              <w:t>Cronbach’s alpha</w:t>
            </w:r>
          </w:p>
        </w:tc>
        <w:tc>
          <w:tcPr>
            <w:tcW w:w="1016" w:type="dxa"/>
            <w:gridSpan w:val="3"/>
            <w:tcBorders>
              <w:top w:val="nil"/>
              <w:left w:val="nil"/>
              <w:bottom w:val="single" w:sz="4" w:space="0" w:color="auto"/>
              <w:right w:val="nil"/>
            </w:tcBorders>
            <w:shd w:val="clear" w:color="000000" w:fill="FFFFFF"/>
            <w:noWrap/>
            <w:vAlign w:val="bottom"/>
            <w:hideMark/>
          </w:tcPr>
          <w:p w14:paraId="769A7EB8" w14:textId="77777777" w:rsidR="00D229A2" w:rsidRPr="00D229A2" w:rsidRDefault="00D229A2" w:rsidP="00D229A2">
            <w:pPr>
              <w:spacing w:after="0" w:line="240" w:lineRule="auto"/>
              <w:rPr>
                <w:rFonts w:eastAsia="Calibri" w:cs="Times New Roman"/>
              </w:rPr>
            </w:pPr>
            <w:r w:rsidRPr="00D229A2">
              <w:rPr>
                <w:rFonts w:eastAsia="Calibri" w:cs="Times New Roman"/>
              </w:rPr>
              <w:t>CR</w:t>
            </w:r>
          </w:p>
        </w:tc>
        <w:tc>
          <w:tcPr>
            <w:tcW w:w="1185" w:type="dxa"/>
            <w:gridSpan w:val="3"/>
            <w:tcBorders>
              <w:top w:val="nil"/>
              <w:left w:val="nil"/>
              <w:bottom w:val="single" w:sz="4" w:space="0" w:color="auto"/>
              <w:right w:val="nil"/>
            </w:tcBorders>
            <w:shd w:val="clear" w:color="000000" w:fill="FFFFFF"/>
            <w:noWrap/>
            <w:vAlign w:val="bottom"/>
            <w:hideMark/>
          </w:tcPr>
          <w:p w14:paraId="1FFC4771" w14:textId="77777777" w:rsidR="00D229A2" w:rsidRPr="00D229A2" w:rsidRDefault="00D229A2" w:rsidP="00D229A2">
            <w:pPr>
              <w:spacing w:after="0" w:line="240" w:lineRule="auto"/>
              <w:rPr>
                <w:rFonts w:eastAsia="Calibri" w:cs="Times New Roman"/>
              </w:rPr>
            </w:pPr>
            <w:r w:rsidRPr="00D229A2">
              <w:rPr>
                <w:rFonts w:eastAsia="Calibri" w:cs="Times New Roman"/>
              </w:rPr>
              <w:t>AVE</w:t>
            </w:r>
          </w:p>
        </w:tc>
      </w:tr>
      <w:tr w:rsidR="00D229A2" w:rsidRPr="00D229A2" w14:paraId="710C5C5F" w14:textId="77777777" w:rsidTr="00FE7743">
        <w:trPr>
          <w:gridAfter w:val="1"/>
          <w:wAfter w:w="311" w:type="dxa"/>
          <w:trHeight w:val="312"/>
        </w:trPr>
        <w:tc>
          <w:tcPr>
            <w:tcW w:w="3566" w:type="dxa"/>
            <w:gridSpan w:val="7"/>
            <w:tcBorders>
              <w:top w:val="nil"/>
              <w:left w:val="nil"/>
              <w:bottom w:val="nil"/>
              <w:right w:val="nil"/>
            </w:tcBorders>
            <w:shd w:val="clear" w:color="000000" w:fill="FFFFFF"/>
            <w:noWrap/>
            <w:hideMark/>
          </w:tcPr>
          <w:p w14:paraId="32051EFE" w14:textId="77777777" w:rsidR="00D229A2" w:rsidRPr="00D229A2" w:rsidRDefault="00D229A2" w:rsidP="00D229A2">
            <w:pPr>
              <w:spacing w:after="0" w:line="240" w:lineRule="auto"/>
              <w:rPr>
                <w:rFonts w:eastAsia="Calibri" w:cs="Times New Roman"/>
                <w:i/>
                <w:iCs/>
              </w:rPr>
            </w:pPr>
            <w:r w:rsidRPr="00D229A2">
              <w:rPr>
                <w:rFonts w:eastAsia="Calibri" w:cs="Times New Roman"/>
                <w:i/>
                <w:iCs/>
              </w:rPr>
              <w:t>PICLD</w:t>
            </w:r>
          </w:p>
        </w:tc>
        <w:tc>
          <w:tcPr>
            <w:tcW w:w="1432" w:type="dxa"/>
            <w:gridSpan w:val="6"/>
            <w:tcBorders>
              <w:top w:val="nil"/>
              <w:left w:val="nil"/>
              <w:bottom w:val="nil"/>
              <w:right w:val="nil"/>
            </w:tcBorders>
            <w:shd w:val="clear" w:color="000000" w:fill="FFFFFF"/>
            <w:noWrap/>
            <w:vAlign w:val="center"/>
            <w:hideMark/>
          </w:tcPr>
          <w:p w14:paraId="0982B930"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735" w:type="dxa"/>
            <w:gridSpan w:val="7"/>
            <w:tcBorders>
              <w:top w:val="nil"/>
              <w:left w:val="nil"/>
              <w:bottom w:val="nil"/>
              <w:right w:val="nil"/>
            </w:tcBorders>
            <w:shd w:val="clear" w:color="000000" w:fill="FFFFFF"/>
            <w:hideMark/>
          </w:tcPr>
          <w:p w14:paraId="770721C7"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395" w:type="dxa"/>
            <w:gridSpan w:val="4"/>
            <w:tcBorders>
              <w:top w:val="nil"/>
              <w:left w:val="nil"/>
              <w:bottom w:val="nil"/>
              <w:right w:val="nil"/>
            </w:tcBorders>
            <w:shd w:val="clear" w:color="000000" w:fill="FFFFFF"/>
            <w:hideMark/>
          </w:tcPr>
          <w:p w14:paraId="67A7CA19" w14:textId="77777777" w:rsidR="00D229A2" w:rsidRPr="00D229A2" w:rsidRDefault="00D229A2" w:rsidP="00D229A2">
            <w:pPr>
              <w:spacing w:after="0" w:line="240" w:lineRule="auto"/>
              <w:rPr>
                <w:rFonts w:eastAsia="Calibri" w:cs="Times New Roman"/>
              </w:rPr>
            </w:pPr>
            <w:r w:rsidRPr="00D229A2">
              <w:rPr>
                <w:rFonts w:eastAsia="Calibri" w:cs="Times New Roman"/>
              </w:rPr>
              <w:t>0.958</w:t>
            </w:r>
          </w:p>
        </w:tc>
        <w:tc>
          <w:tcPr>
            <w:tcW w:w="1016" w:type="dxa"/>
            <w:gridSpan w:val="3"/>
            <w:tcBorders>
              <w:top w:val="nil"/>
              <w:left w:val="nil"/>
              <w:bottom w:val="nil"/>
              <w:right w:val="nil"/>
            </w:tcBorders>
            <w:shd w:val="clear" w:color="000000" w:fill="FFFFFF"/>
            <w:noWrap/>
            <w:hideMark/>
          </w:tcPr>
          <w:p w14:paraId="2B011632" w14:textId="77777777" w:rsidR="00D229A2" w:rsidRPr="00D229A2" w:rsidRDefault="00D229A2" w:rsidP="00D229A2">
            <w:pPr>
              <w:spacing w:after="0" w:line="240" w:lineRule="auto"/>
              <w:rPr>
                <w:rFonts w:eastAsia="Calibri" w:cs="Times New Roman"/>
              </w:rPr>
            </w:pPr>
            <w:r w:rsidRPr="00D229A2">
              <w:rPr>
                <w:rFonts w:eastAsia="Calibri" w:cs="Times New Roman"/>
              </w:rPr>
              <w:t>0.963</w:t>
            </w:r>
          </w:p>
        </w:tc>
        <w:tc>
          <w:tcPr>
            <w:tcW w:w="1185" w:type="dxa"/>
            <w:gridSpan w:val="3"/>
            <w:tcBorders>
              <w:top w:val="nil"/>
              <w:left w:val="nil"/>
              <w:bottom w:val="nil"/>
              <w:right w:val="nil"/>
            </w:tcBorders>
            <w:shd w:val="clear" w:color="000000" w:fill="FFFFFF"/>
            <w:noWrap/>
            <w:hideMark/>
          </w:tcPr>
          <w:p w14:paraId="63BD5254" w14:textId="77777777" w:rsidR="00D229A2" w:rsidRPr="00D229A2" w:rsidRDefault="00D229A2" w:rsidP="00D229A2">
            <w:pPr>
              <w:spacing w:after="0" w:line="240" w:lineRule="auto"/>
              <w:rPr>
                <w:rFonts w:eastAsia="Calibri" w:cs="Times New Roman"/>
              </w:rPr>
            </w:pPr>
            <w:r w:rsidRPr="00D229A2">
              <w:rPr>
                <w:rFonts w:eastAsia="Calibri" w:cs="Times New Roman"/>
              </w:rPr>
              <w:t>0.686</w:t>
            </w:r>
          </w:p>
        </w:tc>
      </w:tr>
      <w:tr w:rsidR="00D229A2" w:rsidRPr="00D229A2" w14:paraId="53CCA312" w14:textId="77777777" w:rsidTr="00FE7743">
        <w:trPr>
          <w:gridAfter w:val="1"/>
          <w:wAfter w:w="311" w:type="dxa"/>
          <w:trHeight w:val="1137"/>
        </w:trPr>
        <w:tc>
          <w:tcPr>
            <w:tcW w:w="3566" w:type="dxa"/>
            <w:gridSpan w:val="7"/>
            <w:tcBorders>
              <w:top w:val="nil"/>
              <w:left w:val="nil"/>
              <w:bottom w:val="nil"/>
              <w:right w:val="nil"/>
            </w:tcBorders>
            <w:shd w:val="clear" w:color="000000" w:fill="FFFFFF"/>
            <w:hideMark/>
          </w:tcPr>
          <w:p w14:paraId="02408C05" w14:textId="77777777" w:rsidR="00D229A2" w:rsidRPr="00D229A2" w:rsidRDefault="00D229A2" w:rsidP="00D229A2">
            <w:pPr>
              <w:spacing w:after="0" w:line="240" w:lineRule="auto"/>
              <w:rPr>
                <w:rFonts w:eastAsia="Calibri" w:cs="Times New Roman"/>
              </w:rPr>
            </w:pPr>
            <w:r w:rsidRPr="00D229A2">
              <w:rPr>
                <w:rFonts w:eastAsia="Calibri" w:cs="Times New Roman"/>
              </w:rPr>
              <w:t>In our organization, we think positively about leaders from diverse demographic backgrounds.</w:t>
            </w:r>
          </w:p>
        </w:tc>
        <w:tc>
          <w:tcPr>
            <w:tcW w:w="1432" w:type="dxa"/>
            <w:gridSpan w:val="6"/>
            <w:tcBorders>
              <w:top w:val="nil"/>
              <w:left w:val="nil"/>
              <w:bottom w:val="nil"/>
              <w:right w:val="nil"/>
            </w:tcBorders>
            <w:shd w:val="clear" w:color="000000" w:fill="FFFFFF"/>
            <w:noWrap/>
            <w:vAlign w:val="center"/>
            <w:hideMark/>
          </w:tcPr>
          <w:p w14:paraId="014857B0" w14:textId="77777777" w:rsidR="00D229A2" w:rsidRPr="00D229A2" w:rsidRDefault="00D229A2" w:rsidP="00D229A2">
            <w:pPr>
              <w:spacing w:after="0" w:line="240" w:lineRule="auto"/>
              <w:rPr>
                <w:rFonts w:eastAsia="Calibri" w:cs="Times New Roman"/>
              </w:rPr>
            </w:pPr>
            <w:r w:rsidRPr="00D229A2">
              <w:rPr>
                <w:rFonts w:eastAsia="Calibri" w:cs="Times New Roman"/>
                <w:i/>
                <w:iCs/>
              </w:rPr>
              <w:t>PICLD</w:t>
            </w:r>
            <w:r w:rsidRPr="00D229A2">
              <w:rPr>
                <w:rFonts w:eastAsia="Calibri" w:cs="Times New Roman"/>
              </w:rPr>
              <w:t>_1</w:t>
            </w:r>
          </w:p>
        </w:tc>
        <w:tc>
          <w:tcPr>
            <w:tcW w:w="1735" w:type="dxa"/>
            <w:gridSpan w:val="7"/>
            <w:tcBorders>
              <w:top w:val="nil"/>
              <w:left w:val="nil"/>
              <w:bottom w:val="nil"/>
              <w:right w:val="nil"/>
            </w:tcBorders>
            <w:shd w:val="clear" w:color="000000" w:fill="FFFFFF"/>
            <w:noWrap/>
            <w:vAlign w:val="center"/>
            <w:hideMark/>
          </w:tcPr>
          <w:p w14:paraId="4F58B36F" w14:textId="77777777" w:rsidR="00D229A2" w:rsidRPr="00D229A2" w:rsidRDefault="00D229A2" w:rsidP="00D229A2">
            <w:pPr>
              <w:spacing w:after="0" w:line="240" w:lineRule="auto"/>
              <w:rPr>
                <w:rFonts w:eastAsia="Calibri" w:cs="Times New Roman"/>
              </w:rPr>
            </w:pPr>
            <w:r w:rsidRPr="00D229A2">
              <w:rPr>
                <w:rFonts w:eastAsia="Calibri" w:cs="Times New Roman"/>
              </w:rPr>
              <w:t>0.848</w:t>
            </w:r>
          </w:p>
        </w:tc>
        <w:tc>
          <w:tcPr>
            <w:tcW w:w="1395" w:type="dxa"/>
            <w:gridSpan w:val="4"/>
            <w:tcBorders>
              <w:top w:val="nil"/>
              <w:left w:val="nil"/>
              <w:bottom w:val="nil"/>
              <w:right w:val="nil"/>
            </w:tcBorders>
            <w:shd w:val="clear" w:color="000000" w:fill="FFFFFF"/>
            <w:hideMark/>
          </w:tcPr>
          <w:p w14:paraId="18E89884"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2E2FB59A"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7756B0E1"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677D9A38" w14:textId="77777777" w:rsidTr="00FE7743">
        <w:trPr>
          <w:gridAfter w:val="1"/>
          <w:wAfter w:w="311" w:type="dxa"/>
          <w:trHeight w:val="893"/>
        </w:trPr>
        <w:tc>
          <w:tcPr>
            <w:tcW w:w="3566" w:type="dxa"/>
            <w:gridSpan w:val="7"/>
            <w:tcBorders>
              <w:top w:val="nil"/>
              <w:left w:val="nil"/>
              <w:bottom w:val="nil"/>
              <w:right w:val="nil"/>
            </w:tcBorders>
            <w:shd w:val="clear" w:color="000000" w:fill="FFFFFF"/>
            <w:hideMark/>
          </w:tcPr>
          <w:p w14:paraId="6C98C2C7" w14:textId="77777777" w:rsidR="00D229A2" w:rsidRPr="00D229A2" w:rsidRDefault="00D229A2" w:rsidP="00D229A2">
            <w:pPr>
              <w:spacing w:after="0" w:line="240" w:lineRule="auto"/>
              <w:rPr>
                <w:rFonts w:eastAsia="Calibri" w:cs="Times New Roman"/>
              </w:rPr>
            </w:pPr>
            <w:r w:rsidRPr="00D229A2">
              <w:rPr>
                <w:rFonts w:eastAsia="Calibri" w:cs="Times New Roman"/>
              </w:rPr>
              <w:t>In our organization, we accept leaders from diverse demographic backgrounds.</w:t>
            </w:r>
          </w:p>
        </w:tc>
        <w:tc>
          <w:tcPr>
            <w:tcW w:w="1432" w:type="dxa"/>
            <w:gridSpan w:val="6"/>
            <w:tcBorders>
              <w:top w:val="nil"/>
              <w:left w:val="nil"/>
              <w:bottom w:val="nil"/>
              <w:right w:val="nil"/>
            </w:tcBorders>
            <w:shd w:val="clear" w:color="000000" w:fill="FFFFFF"/>
            <w:noWrap/>
            <w:vAlign w:val="center"/>
            <w:hideMark/>
          </w:tcPr>
          <w:p w14:paraId="3B7532F2" w14:textId="77777777" w:rsidR="00D229A2" w:rsidRPr="00D229A2" w:rsidRDefault="00D229A2" w:rsidP="00D229A2">
            <w:pPr>
              <w:spacing w:after="0" w:line="240" w:lineRule="auto"/>
              <w:rPr>
                <w:rFonts w:eastAsia="Calibri" w:cs="Times New Roman"/>
              </w:rPr>
            </w:pPr>
            <w:r w:rsidRPr="00D229A2">
              <w:rPr>
                <w:rFonts w:eastAsia="Calibri" w:cs="Times New Roman"/>
                <w:i/>
                <w:iCs/>
              </w:rPr>
              <w:t>PICLD</w:t>
            </w:r>
            <w:r w:rsidRPr="00D229A2">
              <w:rPr>
                <w:rFonts w:eastAsia="Calibri" w:cs="Times New Roman"/>
              </w:rPr>
              <w:t>_2</w:t>
            </w:r>
          </w:p>
        </w:tc>
        <w:tc>
          <w:tcPr>
            <w:tcW w:w="1735" w:type="dxa"/>
            <w:gridSpan w:val="7"/>
            <w:tcBorders>
              <w:top w:val="nil"/>
              <w:left w:val="nil"/>
              <w:bottom w:val="nil"/>
              <w:right w:val="nil"/>
            </w:tcBorders>
            <w:shd w:val="clear" w:color="000000" w:fill="FFFFFF"/>
            <w:noWrap/>
            <w:vAlign w:val="center"/>
            <w:hideMark/>
          </w:tcPr>
          <w:p w14:paraId="1A304210" w14:textId="77777777" w:rsidR="00D229A2" w:rsidRPr="00D229A2" w:rsidRDefault="00D229A2" w:rsidP="00D229A2">
            <w:pPr>
              <w:spacing w:after="0" w:line="240" w:lineRule="auto"/>
              <w:rPr>
                <w:rFonts w:eastAsia="Calibri" w:cs="Times New Roman"/>
              </w:rPr>
            </w:pPr>
            <w:r w:rsidRPr="00D229A2">
              <w:rPr>
                <w:rFonts w:eastAsia="Calibri" w:cs="Times New Roman"/>
              </w:rPr>
              <w:t>0.844</w:t>
            </w:r>
          </w:p>
        </w:tc>
        <w:tc>
          <w:tcPr>
            <w:tcW w:w="1395" w:type="dxa"/>
            <w:gridSpan w:val="4"/>
            <w:tcBorders>
              <w:top w:val="nil"/>
              <w:left w:val="nil"/>
              <w:bottom w:val="nil"/>
              <w:right w:val="nil"/>
            </w:tcBorders>
            <w:shd w:val="clear" w:color="000000" w:fill="FFFFFF"/>
            <w:hideMark/>
          </w:tcPr>
          <w:p w14:paraId="4863129D"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1BCDF0B9"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46989AF6"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11B75123" w14:textId="77777777" w:rsidTr="00FE7743">
        <w:trPr>
          <w:gridAfter w:val="1"/>
          <w:wAfter w:w="311" w:type="dxa"/>
          <w:trHeight w:val="1083"/>
        </w:trPr>
        <w:tc>
          <w:tcPr>
            <w:tcW w:w="3566" w:type="dxa"/>
            <w:gridSpan w:val="7"/>
            <w:tcBorders>
              <w:top w:val="nil"/>
              <w:left w:val="nil"/>
              <w:bottom w:val="nil"/>
              <w:right w:val="nil"/>
            </w:tcBorders>
            <w:shd w:val="clear" w:color="000000" w:fill="FFFFFF"/>
            <w:hideMark/>
          </w:tcPr>
          <w:p w14:paraId="589241CA" w14:textId="77777777" w:rsidR="00D229A2" w:rsidRPr="00D229A2" w:rsidRDefault="00D229A2" w:rsidP="00D229A2">
            <w:pPr>
              <w:spacing w:after="0" w:line="240" w:lineRule="auto"/>
              <w:rPr>
                <w:rFonts w:eastAsia="Calibri" w:cs="Times New Roman"/>
              </w:rPr>
            </w:pPr>
            <w:r w:rsidRPr="00D229A2">
              <w:rPr>
                <w:rFonts w:eastAsia="Calibri" w:cs="Times New Roman"/>
              </w:rPr>
              <w:t>In our organization, we are understanding of leaders from diverse demographic backgrounds.</w:t>
            </w:r>
          </w:p>
        </w:tc>
        <w:tc>
          <w:tcPr>
            <w:tcW w:w="1432" w:type="dxa"/>
            <w:gridSpan w:val="6"/>
            <w:tcBorders>
              <w:top w:val="nil"/>
              <w:left w:val="nil"/>
              <w:bottom w:val="nil"/>
              <w:right w:val="nil"/>
            </w:tcBorders>
            <w:shd w:val="clear" w:color="000000" w:fill="FFFFFF"/>
            <w:noWrap/>
            <w:vAlign w:val="center"/>
            <w:hideMark/>
          </w:tcPr>
          <w:p w14:paraId="7DF2CE5A" w14:textId="77777777" w:rsidR="00D229A2" w:rsidRPr="00D229A2" w:rsidRDefault="00D229A2" w:rsidP="00D229A2">
            <w:pPr>
              <w:spacing w:after="0" w:line="240" w:lineRule="auto"/>
              <w:rPr>
                <w:rFonts w:eastAsia="Calibri" w:cs="Times New Roman"/>
              </w:rPr>
            </w:pPr>
            <w:r w:rsidRPr="00D229A2">
              <w:rPr>
                <w:rFonts w:eastAsia="Calibri" w:cs="Times New Roman"/>
                <w:i/>
                <w:iCs/>
              </w:rPr>
              <w:t>PICLD</w:t>
            </w:r>
            <w:r w:rsidRPr="00D229A2">
              <w:rPr>
                <w:rFonts w:eastAsia="Calibri" w:cs="Times New Roman"/>
              </w:rPr>
              <w:t>_3</w:t>
            </w:r>
          </w:p>
        </w:tc>
        <w:tc>
          <w:tcPr>
            <w:tcW w:w="1735" w:type="dxa"/>
            <w:gridSpan w:val="7"/>
            <w:tcBorders>
              <w:top w:val="nil"/>
              <w:left w:val="nil"/>
              <w:bottom w:val="nil"/>
              <w:right w:val="nil"/>
            </w:tcBorders>
            <w:shd w:val="clear" w:color="000000" w:fill="FFFFFF"/>
            <w:noWrap/>
            <w:vAlign w:val="center"/>
            <w:hideMark/>
          </w:tcPr>
          <w:p w14:paraId="66E34914" w14:textId="77777777" w:rsidR="00D229A2" w:rsidRPr="00D229A2" w:rsidRDefault="00D229A2" w:rsidP="00D229A2">
            <w:pPr>
              <w:spacing w:after="0" w:line="240" w:lineRule="auto"/>
              <w:rPr>
                <w:rFonts w:eastAsia="Calibri" w:cs="Times New Roman"/>
              </w:rPr>
            </w:pPr>
            <w:r w:rsidRPr="00D229A2">
              <w:rPr>
                <w:rFonts w:eastAsia="Calibri" w:cs="Times New Roman"/>
              </w:rPr>
              <w:t>0.875</w:t>
            </w:r>
          </w:p>
        </w:tc>
        <w:tc>
          <w:tcPr>
            <w:tcW w:w="1395" w:type="dxa"/>
            <w:gridSpan w:val="4"/>
            <w:tcBorders>
              <w:top w:val="nil"/>
              <w:left w:val="nil"/>
              <w:bottom w:val="nil"/>
              <w:right w:val="nil"/>
            </w:tcBorders>
            <w:shd w:val="clear" w:color="000000" w:fill="FFFFFF"/>
            <w:hideMark/>
          </w:tcPr>
          <w:p w14:paraId="3877842B"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5C1641C8"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5CE67F87"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4AD9242E" w14:textId="77777777" w:rsidTr="00FE7743">
        <w:trPr>
          <w:gridAfter w:val="1"/>
          <w:wAfter w:w="311" w:type="dxa"/>
          <w:trHeight w:val="1155"/>
        </w:trPr>
        <w:tc>
          <w:tcPr>
            <w:tcW w:w="3566" w:type="dxa"/>
            <w:gridSpan w:val="7"/>
            <w:tcBorders>
              <w:top w:val="nil"/>
              <w:left w:val="nil"/>
              <w:bottom w:val="nil"/>
              <w:right w:val="nil"/>
            </w:tcBorders>
            <w:shd w:val="clear" w:color="000000" w:fill="FFFFFF"/>
            <w:hideMark/>
          </w:tcPr>
          <w:p w14:paraId="40B05F31" w14:textId="77777777" w:rsidR="00D229A2" w:rsidRPr="00D229A2" w:rsidRDefault="00D229A2" w:rsidP="00D229A2">
            <w:pPr>
              <w:spacing w:after="0" w:line="240" w:lineRule="auto"/>
              <w:rPr>
                <w:rFonts w:eastAsia="Calibri" w:cs="Times New Roman"/>
              </w:rPr>
            </w:pPr>
            <w:r w:rsidRPr="00D229A2">
              <w:rPr>
                <w:rFonts w:eastAsia="Calibri" w:cs="Times New Roman"/>
              </w:rPr>
              <w:t>In our organization, we advocate working with leaders from diverse demographic backgrounds.</w:t>
            </w:r>
          </w:p>
        </w:tc>
        <w:tc>
          <w:tcPr>
            <w:tcW w:w="1432" w:type="dxa"/>
            <w:gridSpan w:val="6"/>
            <w:tcBorders>
              <w:top w:val="nil"/>
              <w:left w:val="nil"/>
              <w:bottom w:val="nil"/>
              <w:right w:val="nil"/>
            </w:tcBorders>
            <w:shd w:val="clear" w:color="000000" w:fill="FFFFFF"/>
            <w:noWrap/>
            <w:vAlign w:val="center"/>
            <w:hideMark/>
          </w:tcPr>
          <w:p w14:paraId="4940AC79" w14:textId="77777777" w:rsidR="00D229A2" w:rsidRPr="00D229A2" w:rsidRDefault="00D229A2" w:rsidP="00D229A2">
            <w:pPr>
              <w:spacing w:after="0" w:line="240" w:lineRule="auto"/>
              <w:rPr>
                <w:rFonts w:eastAsia="Calibri" w:cs="Times New Roman"/>
              </w:rPr>
            </w:pPr>
            <w:r w:rsidRPr="00D229A2">
              <w:rPr>
                <w:rFonts w:eastAsia="Calibri" w:cs="Times New Roman"/>
                <w:i/>
                <w:iCs/>
              </w:rPr>
              <w:t>PICLD</w:t>
            </w:r>
            <w:r w:rsidRPr="00D229A2">
              <w:rPr>
                <w:rFonts w:eastAsia="Calibri" w:cs="Times New Roman"/>
              </w:rPr>
              <w:t>_4</w:t>
            </w:r>
          </w:p>
        </w:tc>
        <w:tc>
          <w:tcPr>
            <w:tcW w:w="1735" w:type="dxa"/>
            <w:gridSpan w:val="7"/>
            <w:tcBorders>
              <w:top w:val="nil"/>
              <w:left w:val="nil"/>
              <w:bottom w:val="nil"/>
              <w:right w:val="nil"/>
            </w:tcBorders>
            <w:shd w:val="clear" w:color="000000" w:fill="FFFFFF"/>
            <w:noWrap/>
            <w:vAlign w:val="center"/>
            <w:hideMark/>
          </w:tcPr>
          <w:p w14:paraId="51257759" w14:textId="77777777" w:rsidR="00D229A2" w:rsidRPr="00D229A2" w:rsidRDefault="00D229A2" w:rsidP="00D229A2">
            <w:pPr>
              <w:spacing w:after="0" w:line="240" w:lineRule="auto"/>
              <w:rPr>
                <w:rFonts w:eastAsia="Calibri" w:cs="Times New Roman"/>
              </w:rPr>
            </w:pPr>
            <w:r w:rsidRPr="00D229A2">
              <w:rPr>
                <w:rFonts w:eastAsia="Calibri" w:cs="Times New Roman"/>
              </w:rPr>
              <w:t>0.789</w:t>
            </w:r>
          </w:p>
        </w:tc>
        <w:tc>
          <w:tcPr>
            <w:tcW w:w="1395" w:type="dxa"/>
            <w:gridSpan w:val="4"/>
            <w:tcBorders>
              <w:top w:val="nil"/>
              <w:left w:val="nil"/>
              <w:bottom w:val="nil"/>
              <w:right w:val="nil"/>
            </w:tcBorders>
            <w:shd w:val="clear" w:color="000000" w:fill="FFFFFF"/>
            <w:hideMark/>
          </w:tcPr>
          <w:p w14:paraId="25605F8F"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7D3EBCB3"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6ADA115E"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222A19CE" w14:textId="77777777" w:rsidTr="00FE7743">
        <w:trPr>
          <w:gridAfter w:val="1"/>
          <w:wAfter w:w="311" w:type="dxa"/>
          <w:trHeight w:val="1173"/>
        </w:trPr>
        <w:tc>
          <w:tcPr>
            <w:tcW w:w="3566" w:type="dxa"/>
            <w:gridSpan w:val="7"/>
            <w:tcBorders>
              <w:top w:val="nil"/>
              <w:left w:val="nil"/>
              <w:bottom w:val="nil"/>
              <w:right w:val="nil"/>
            </w:tcBorders>
            <w:shd w:val="clear" w:color="000000" w:fill="FFFFFF"/>
            <w:hideMark/>
          </w:tcPr>
          <w:p w14:paraId="074DDB3F" w14:textId="77777777" w:rsidR="00D229A2" w:rsidRPr="00D229A2" w:rsidRDefault="00D229A2" w:rsidP="00D229A2">
            <w:pPr>
              <w:spacing w:after="0" w:line="240" w:lineRule="auto"/>
              <w:rPr>
                <w:rFonts w:eastAsia="Calibri" w:cs="Times New Roman"/>
              </w:rPr>
            </w:pPr>
            <w:r w:rsidRPr="00D229A2">
              <w:rPr>
                <w:rFonts w:eastAsia="Calibri" w:cs="Times New Roman"/>
              </w:rPr>
              <w:lastRenderedPageBreak/>
              <w:t>In our organization, we see the advantage of having leaders from diverse demographic backgrounds.</w:t>
            </w:r>
          </w:p>
        </w:tc>
        <w:tc>
          <w:tcPr>
            <w:tcW w:w="1432" w:type="dxa"/>
            <w:gridSpan w:val="6"/>
            <w:tcBorders>
              <w:top w:val="nil"/>
              <w:left w:val="nil"/>
              <w:bottom w:val="nil"/>
              <w:right w:val="nil"/>
            </w:tcBorders>
            <w:shd w:val="clear" w:color="000000" w:fill="FFFFFF"/>
            <w:noWrap/>
            <w:vAlign w:val="center"/>
            <w:hideMark/>
          </w:tcPr>
          <w:p w14:paraId="50E0ADE4" w14:textId="77777777" w:rsidR="00D229A2" w:rsidRPr="00D229A2" w:rsidRDefault="00D229A2" w:rsidP="00D229A2">
            <w:pPr>
              <w:spacing w:after="0" w:line="240" w:lineRule="auto"/>
              <w:rPr>
                <w:rFonts w:eastAsia="Calibri" w:cs="Times New Roman"/>
              </w:rPr>
            </w:pPr>
            <w:r w:rsidRPr="00D229A2">
              <w:rPr>
                <w:rFonts w:eastAsia="Calibri" w:cs="Times New Roman"/>
                <w:i/>
                <w:iCs/>
              </w:rPr>
              <w:t>PICLD</w:t>
            </w:r>
            <w:r w:rsidRPr="00D229A2">
              <w:rPr>
                <w:rFonts w:eastAsia="Calibri" w:cs="Times New Roman"/>
              </w:rPr>
              <w:t>_5</w:t>
            </w:r>
          </w:p>
        </w:tc>
        <w:tc>
          <w:tcPr>
            <w:tcW w:w="1735" w:type="dxa"/>
            <w:gridSpan w:val="7"/>
            <w:tcBorders>
              <w:top w:val="nil"/>
              <w:left w:val="nil"/>
              <w:bottom w:val="nil"/>
              <w:right w:val="nil"/>
            </w:tcBorders>
            <w:shd w:val="clear" w:color="000000" w:fill="FFFFFF"/>
            <w:noWrap/>
            <w:vAlign w:val="center"/>
            <w:hideMark/>
          </w:tcPr>
          <w:p w14:paraId="567BF1E6" w14:textId="77777777" w:rsidR="00D229A2" w:rsidRPr="00D229A2" w:rsidRDefault="00D229A2" w:rsidP="00D229A2">
            <w:pPr>
              <w:spacing w:after="0" w:line="240" w:lineRule="auto"/>
              <w:rPr>
                <w:rFonts w:eastAsia="Calibri" w:cs="Times New Roman"/>
              </w:rPr>
            </w:pPr>
            <w:r w:rsidRPr="00D229A2">
              <w:rPr>
                <w:rFonts w:eastAsia="Calibri" w:cs="Times New Roman"/>
              </w:rPr>
              <w:t>0.904</w:t>
            </w:r>
          </w:p>
        </w:tc>
        <w:tc>
          <w:tcPr>
            <w:tcW w:w="1395" w:type="dxa"/>
            <w:gridSpan w:val="4"/>
            <w:tcBorders>
              <w:top w:val="nil"/>
              <w:left w:val="nil"/>
              <w:bottom w:val="nil"/>
              <w:right w:val="nil"/>
            </w:tcBorders>
            <w:shd w:val="clear" w:color="000000" w:fill="FFFFFF"/>
            <w:hideMark/>
          </w:tcPr>
          <w:p w14:paraId="6BFBD7DF"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3795859E"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7E33BEC2"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62CDEE28" w14:textId="77777777" w:rsidTr="00FE7743">
        <w:trPr>
          <w:gridAfter w:val="1"/>
          <w:wAfter w:w="311" w:type="dxa"/>
          <w:trHeight w:val="1287"/>
        </w:trPr>
        <w:tc>
          <w:tcPr>
            <w:tcW w:w="3566" w:type="dxa"/>
            <w:gridSpan w:val="7"/>
            <w:tcBorders>
              <w:top w:val="nil"/>
              <w:left w:val="nil"/>
              <w:bottom w:val="nil"/>
              <w:right w:val="nil"/>
            </w:tcBorders>
            <w:shd w:val="clear" w:color="000000" w:fill="FFFFFF"/>
            <w:hideMark/>
          </w:tcPr>
          <w:p w14:paraId="442CBB18" w14:textId="77777777" w:rsidR="00D229A2" w:rsidRPr="00D229A2" w:rsidRDefault="00D229A2" w:rsidP="00D229A2">
            <w:pPr>
              <w:spacing w:after="0" w:line="240" w:lineRule="auto"/>
              <w:rPr>
                <w:rFonts w:eastAsia="Calibri" w:cs="Times New Roman"/>
              </w:rPr>
            </w:pPr>
            <w:r w:rsidRPr="00D229A2">
              <w:rPr>
                <w:rFonts w:eastAsia="Calibri" w:cs="Times New Roman"/>
              </w:rPr>
              <w:t>In our organization, we have opportunities to work with leaders from diverse demographic backgrounds.</w:t>
            </w:r>
          </w:p>
        </w:tc>
        <w:tc>
          <w:tcPr>
            <w:tcW w:w="1432" w:type="dxa"/>
            <w:gridSpan w:val="6"/>
            <w:tcBorders>
              <w:top w:val="nil"/>
              <w:left w:val="nil"/>
              <w:bottom w:val="nil"/>
              <w:right w:val="nil"/>
            </w:tcBorders>
            <w:shd w:val="clear" w:color="000000" w:fill="FFFFFF"/>
            <w:noWrap/>
            <w:vAlign w:val="center"/>
            <w:hideMark/>
          </w:tcPr>
          <w:p w14:paraId="03125799" w14:textId="77777777" w:rsidR="00D229A2" w:rsidRPr="00D229A2" w:rsidRDefault="00D229A2" w:rsidP="00D229A2">
            <w:pPr>
              <w:spacing w:after="0" w:line="240" w:lineRule="auto"/>
              <w:rPr>
                <w:rFonts w:eastAsia="Calibri" w:cs="Times New Roman"/>
              </w:rPr>
            </w:pPr>
            <w:r w:rsidRPr="00D229A2">
              <w:rPr>
                <w:rFonts w:eastAsia="Calibri" w:cs="Times New Roman"/>
                <w:i/>
                <w:iCs/>
              </w:rPr>
              <w:t>PICLD</w:t>
            </w:r>
            <w:r w:rsidRPr="00D229A2">
              <w:rPr>
                <w:rFonts w:eastAsia="Calibri" w:cs="Times New Roman"/>
              </w:rPr>
              <w:t>_6</w:t>
            </w:r>
          </w:p>
        </w:tc>
        <w:tc>
          <w:tcPr>
            <w:tcW w:w="1735" w:type="dxa"/>
            <w:gridSpan w:val="7"/>
            <w:tcBorders>
              <w:top w:val="nil"/>
              <w:left w:val="nil"/>
              <w:bottom w:val="nil"/>
              <w:right w:val="nil"/>
            </w:tcBorders>
            <w:shd w:val="clear" w:color="000000" w:fill="FFFFFF"/>
            <w:noWrap/>
            <w:vAlign w:val="center"/>
            <w:hideMark/>
          </w:tcPr>
          <w:p w14:paraId="71B72DD2" w14:textId="77777777" w:rsidR="00D229A2" w:rsidRPr="00D229A2" w:rsidRDefault="00D229A2" w:rsidP="00D229A2">
            <w:pPr>
              <w:spacing w:after="0" w:line="240" w:lineRule="auto"/>
              <w:rPr>
                <w:rFonts w:eastAsia="Calibri" w:cs="Times New Roman"/>
              </w:rPr>
            </w:pPr>
            <w:r w:rsidRPr="00D229A2">
              <w:rPr>
                <w:rFonts w:eastAsia="Calibri" w:cs="Times New Roman"/>
              </w:rPr>
              <w:t>0.833</w:t>
            </w:r>
          </w:p>
        </w:tc>
        <w:tc>
          <w:tcPr>
            <w:tcW w:w="1395" w:type="dxa"/>
            <w:gridSpan w:val="4"/>
            <w:tcBorders>
              <w:top w:val="nil"/>
              <w:left w:val="nil"/>
              <w:bottom w:val="nil"/>
              <w:right w:val="nil"/>
            </w:tcBorders>
            <w:shd w:val="clear" w:color="000000" w:fill="FFFFFF"/>
            <w:hideMark/>
          </w:tcPr>
          <w:p w14:paraId="1B65B5B3"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27F84781"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7ADBF188"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75C050E9" w14:textId="77777777" w:rsidTr="00FE7743">
        <w:trPr>
          <w:gridAfter w:val="1"/>
          <w:wAfter w:w="311" w:type="dxa"/>
          <w:trHeight w:val="1173"/>
        </w:trPr>
        <w:tc>
          <w:tcPr>
            <w:tcW w:w="3566" w:type="dxa"/>
            <w:gridSpan w:val="7"/>
            <w:tcBorders>
              <w:top w:val="nil"/>
              <w:left w:val="nil"/>
              <w:bottom w:val="nil"/>
              <w:right w:val="nil"/>
            </w:tcBorders>
            <w:shd w:val="clear" w:color="000000" w:fill="FFFFFF"/>
            <w:hideMark/>
          </w:tcPr>
          <w:p w14:paraId="11366933" w14:textId="77777777" w:rsidR="00D229A2" w:rsidRPr="00D229A2" w:rsidRDefault="00D229A2" w:rsidP="00D229A2">
            <w:pPr>
              <w:spacing w:after="0" w:line="240" w:lineRule="auto"/>
              <w:rPr>
                <w:rFonts w:eastAsia="Calibri" w:cs="Times New Roman"/>
              </w:rPr>
            </w:pPr>
            <w:r w:rsidRPr="00D229A2">
              <w:rPr>
                <w:rFonts w:eastAsia="Calibri" w:cs="Times New Roman"/>
              </w:rPr>
              <w:t>In our organization, it is important to include leaders from diverse demographic backgrounds.</w:t>
            </w:r>
          </w:p>
        </w:tc>
        <w:tc>
          <w:tcPr>
            <w:tcW w:w="1432" w:type="dxa"/>
            <w:gridSpan w:val="6"/>
            <w:tcBorders>
              <w:top w:val="nil"/>
              <w:left w:val="nil"/>
              <w:bottom w:val="nil"/>
              <w:right w:val="nil"/>
            </w:tcBorders>
            <w:shd w:val="clear" w:color="000000" w:fill="FFFFFF"/>
            <w:noWrap/>
            <w:vAlign w:val="center"/>
            <w:hideMark/>
          </w:tcPr>
          <w:p w14:paraId="6F6E75E2" w14:textId="77777777" w:rsidR="00D229A2" w:rsidRPr="00D229A2" w:rsidRDefault="00D229A2" w:rsidP="00D229A2">
            <w:pPr>
              <w:spacing w:after="0" w:line="240" w:lineRule="auto"/>
              <w:rPr>
                <w:rFonts w:eastAsia="Calibri" w:cs="Times New Roman"/>
              </w:rPr>
            </w:pPr>
            <w:r w:rsidRPr="00D229A2">
              <w:rPr>
                <w:rFonts w:eastAsia="Calibri" w:cs="Times New Roman"/>
                <w:i/>
                <w:iCs/>
              </w:rPr>
              <w:t>PICLD</w:t>
            </w:r>
            <w:r w:rsidRPr="00D229A2">
              <w:rPr>
                <w:rFonts w:eastAsia="Calibri" w:cs="Times New Roman"/>
              </w:rPr>
              <w:t>_7</w:t>
            </w:r>
          </w:p>
        </w:tc>
        <w:tc>
          <w:tcPr>
            <w:tcW w:w="1735" w:type="dxa"/>
            <w:gridSpan w:val="7"/>
            <w:tcBorders>
              <w:top w:val="nil"/>
              <w:left w:val="nil"/>
              <w:bottom w:val="nil"/>
              <w:right w:val="nil"/>
            </w:tcBorders>
            <w:shd w:val="clear" w:color="000000" w:fill="FFFFFF"/>
            <w:noWrap/>
            <w:vAlign w:val="center"/>
            <w:hideMark/>
          </w:tcPr>
          <w:p w14:paraId="7BAD4D51" w14:textId="77777777" w:rsidR="00D229A2" w:rsidRPr="00D229A2" w:rsidRDefault="00D229A2" w:rsidP="00D229A2">
            <w:pPr>
              <w:spacing w:after="0" w:line="240" w:lineRule="auto"/>
              <w:rPr>
                <w:rFonts w:eastAsia="Calibri" w:cs="Times New Roman"/>
              </w:rPr>
            </w:pPr>
            <w:r w:rsidRPr="00D229A2">
              <w:rPr>
                <w:rFonts w:eastAsia="Calibri" w:cs="Times New Roman"/>
              </w:rPr>
              <w:t>0.789</w:t>
            </w:r>
          </w:p>
        </w:tc>
        <w:tc>
          <w:tcPr>
            <w:tcW w:w="1395" w:type="dxa"/>
            <w:gridSpan w:val="4"/>
            <w:tcBorders>
              <w:top w:val="nil"/>
              <w:left w:val="nil"/>
              <w:bottom w:val="nil"/>
              <w:right w:val="nil"/>
            </w:tcBorders>
            <w:shd w:val="clear" w:color="000000" w:fill="FFFFFF"/>
            <w:hideMark/>
          </w:tcPr>
          <w:p w14:paraId="427C241F"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2F82914E"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3F0D2139"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01DB5B56" w14:textId="77777777" w:rsidTr="00FE7743">
        <w:trPr>
          <w:gridAfter w:val="1"/>
          <w:wAfter w:w="311" w:type="dxa"/>
          <w:trHeight w:val="1182"/>
        </w:trPr>
        <w:tc>
          <w:tcPr>
            <w:tcW w:w="3566" w:type="dxa"/>
            <w:gridSpan w:val="7"/>
            <w:tcBorders>
              <w:top w:val="nil"/>
              <w:left w:val="nil"/>
              <w:bottom w:val="nil"/>
              <w:right w:val="nil"/>
            </w:tcBorders>
            <w:shd w:val="clear" w:color="000000" w:fill="FFFFFF"/>
            <w:hideMark/>
          </w:tcPr>
          <w:p w14:paraId="6DECE63D" w14:textId="77777777" w:rsidR="00D229A2" w:rsidRPr="00D229A2" w:rsidRDefault="00D229A2" w:rsidP="00D229A2">
            <w:pPr>
              <w:spacing w:after="0" w:line="240" w:lineRule="auto"/>
              <w:rPr>
                <w:rFonts w:eastAsia="Calibri" w:cs="Times New Roman"/>
              </w:rPr>
            </w:pPr>
            <w:r w:rsidRPr="00D229A2">
              <w:rPr>
                <w:rFonts w:eastAsia="Calibri" w:cs="Times New Roman"/>
              </w:rPr>
              <w:t>In our organization, we expect to work with leaders from diverse demographic backgrounds.</w:t>
            </w:r>
          </w:p>
        </w:tc>
        <w:tc>
          <w:tcPr>
            <w:tcW w:w="1432" w:type="dxa"/>
            <w:gridSpan w:val="6"/>
            <w:tcBorders>
              <w:top w:val="nil"/>
              <w:left w:val="nil"/>
              <w:bottom w:val="nil"/>
              <w:right w:val="nil"/>
            </w:tcBorders>
            <w:shd w:val="clear" w:color="000000" w:fill="FFFFFF"/>
            <w:noWrap/>
            <w:vAlign w:val="center"/>
            <w:hideMark/>
          </w:tcPr>
          <w:p w14:paraId="3449AC12" w14:textId="77777777" w:rsidR="00D229A2" w:rsidRPr="00D229A2" w:rsidRDefault="00D229A2" w:rsidP="00D229A2">
            <w:pPr>
              <w:spacing w:after="0" w:line="240" w:lineRule="auto"/>
              <w:rPr>
                <w:rFonts w:eastAsia="Calibri" w:cs="Times New Roman"/>
              </w:rPr>
            </w:pPr>
            <w:r w:rsidRPr="00D229A2">
              <w:rPr>
                <w:rFonts w:eastAsia="Calibri" w:cs="Times New Roman"/>
                <w:i/>
                <w:iCs/>
              </w:rPr>
              <w:t>PICLD</w:t>
            </w:r>
            <w:r w:rsidRPr="00D229A2">
              <w:rPr>
                <w:rFonts w:eastAsia="Calibri" w:cs="Times New Roman"/>
              </w:rPr>
              <w:t>_8</w:t>
            </w:r>
          </w:p>
        </w:tc>
        <w:tc>
          <w:tcPr>
            <w:tcW w:w="1735" w:type="dxa"/>
            <w:gridSpan w:val="7"/>
            <w:tcBorders>
              <w:top w:val="nil"/>
              <w:left w:val="nil"/>
              <w:bottom w:val="nil"/>
              <w:right w:val="nil"/>
            </w:tcBorders>
            <w:shd w:val="clear" w:color="000000" w:fill="FFFFFF"/>
            <w:noWrap/>
            <w:vAlign w:val="center"/>
            <w:hideMark/>
          </w:tcPr>
          <w:p w14:paraId="095AF666" w14:textId="77777777" w:rsidR="00D229A2" w:rsidRPr="00D229A2" w:rsidRDefault="00D229A2" w:rsidP="00D229A2">
            <w:pPr>
              <w:spacing w:after="0" w:line="240" w:lineRule="auto"/>
              <w:rPr>
                <w:rFonts w:eastAsia="Calibri" w:cs="Times New Roman"/>
              </w:rPr>
            </w:pPr>
            <w:r w:rsidRPr="00D229A2">
              <w:rPr>
                <w:rFonts w:eastAsia="Calibri" w:cs="Times New Roman"/>
              </w:rPr>
              <w:t>0.822</w:t>
            </w:r>
          </w:p>
        </w:tc>
        <w:tc>
          <w:tcPr>
            <w:tcW w:w="1395" w:type="dxa"/>
            <w:gridSpan w:val="4"/>
            <w:tcBorders>
              <w:top w:val="nil"/>
              <w:left w:val="nil"/>
              <w:bottom w:val="nil"/>
              <w:right w:val="nil"/>
            </w:tcBorders>
            <w:shd w:val="clear" w:color="000000" w:fill="FFFFFF"/>
            <w:hideMark/>
          </w:tcPr>
          <w:p w14:paraId="01AB61F4"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26D97847"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7FE7FCD4"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4153D5F3" w14:textId="77777777" w:rsidTr="00FE7743">
        <w:trPr>
          <w:gridAfter w:val="1"/>
          <w:wAfter w:w="311" w:type="dxa"/>
          <w:trHeight w:val="884"/>
        </w:trPr>
        <w:tc>
          <w:tcPr>
            <w:tcW w:w="3566" w:type="dxa"/>
            <w:gridSpan w:val="7"/>
            <w:tcBorders>
              <w:top w:val="nil"/>
              <w:left w:val="nil"/>
              <w:bottom w:val="nil"/>
              <w:right w:val="nil"/>
            </w:tcBorders>
            <w:shd w:val="clear" w:color="000000" w:fill="FFFFFF"/>
            <w:hideMark/>
          </w:tcPr>
          <w:p w14:paraId="574BB1B5" w14:textId="77777777" w:rsidR="00D229A2" w:rsidRPr="00D229A2" w:rsidRDefault="00D229A2" w:rsidP="00D229A2">
            <w:pPr>
              <w:spacing w:after="0" w:line="240" w:lineRule="auto"/>
              <w:rPr>
                <w:rFonts w:eastAsia="Calibri" w:cs="Times New Roman"/>
              </w:rPr>
            </w:pPr>
            <w:r w:rsidRPr="00D229A2">
              <w:rPr>
                <w:rFonts w:eastAsia="Calibri" w:cs="Times New Roman"/>
              </w:rPr>
              <w:t>In our organization, leaders from diverse demographic backgrounds are not ignored.</w:t>
            </w:r>
          </w:p>
        </w:tc>
        <w:tc>
          <w:tcPr>
            <w:tcW w:w="1432" w:type="dxa"/>
            <w:gridSpan w:val="6"/>
            <w:tcBorders>
              <w:top w:val="nil"/>
              <w:left w:val="nil"/>
              <w:bottom w:val="nil"/>
              <w:right w:val="nil"/>
            </w:tcBorders>
            <w:shd w:val="clear" w:color="000000" w:fill="FFFFFF"/>
            <w:noWrap/>
            <w:vAlign w:val="center"/>
            <w:hideMark/>
          </w:tcPr>
          <w:p w14:paraId="0DED40D4" w14:textId="77777777" w:rsidR="00D229A2" w:rsidRPr="00D229A2" w:rsidRDefault="00D229A2" w:rsidP="00D229A2">
            <w:pPr>
              <w:spacing w:after="0" w:line="240" w:lineRule="auto"/>
              <w:rPr>
                <w:rFonts w:eastAsia="Calibri" w:cs="Times New Roman"/>
              </w:rPr>
            </w:pPr>
            <w:r w:rsidRPr="00D229A2">
              <w:rPr>
                <w:rFonts w:eastAsia="Calibri" w:cs="Times New Roman"/>
                <w:i/>
                <w:iCs/>
              </w:rPr>
              <w:t>PICLD</w:t>
            </w:r>
            <w:r w:rsidRPr="00D229A2">
              <w:rPr>
                <w:rFonts w:eastAsia="Calibri" w:cs="Times New Roman"/>
              </w:rPr>
              <w:t>_9</w:t>
            </w:r>
          </w:p>
        </w:tc>
        <w:tc>
          <w:tcPr>
            <w:tcW w:w="1735" w:type="dxa"/>
            <w:gridSpan w:val="7"/>
            <w:tcBorders>
              <w:top w:val="nil"/>
              <w:left w:val="nil"/>
              <w:bottom w:val="nil"/>
              <w:right w:val="nil"/>
            </w:tcBorders>
            <w:shd w:val="clear" w:color="000000" w:fill="FFFFFF"/>
            <w:noWrap/>
            <w:vAlign w:val="center"/>
            <w:hideMark/>
          </w:tcPr>
          <w:p w14:paraId="61DCC7DA" w14:textId="77777777" w:rsidR="00D229A2" w:rsidRPr="00D229A2" w:rsidRDefault="00D229A2" w:rsidP="00D229A2">
            <w:pPr>
              <w:spacing w:after="0" w:line="240" w:lineRule="auto"/>
              <w:rPr>
                <w:rFonts w:eastAsia="Calibri" w:cs="Times New Roman"/>
              </w:rPr>
            </w:pPr>
            <w:r w:rsidRPr="00D229A2">
              <w:rPr>
                <w:rFonts w:eastAsia="Calibri" w:cs="Times New Roman"/>
              </w:rPr>
              <w:t>0.809</w:t>
            </w:r>
          </w:p>
        </w:tc>
        <w:tc>
          <w:tcPr>
            <w:tcW w:w="1395" w:type="dxa"/>
            <w:gridSpan w:val="4"/>
            <w:tcBorders>
              <w:top w:val="nil"/>
              <w:left w:val="nil"/>
              <w:bottom w:val="nil"/>
              <w:right w:val="nil"/>
            </w:tcBorders>
            <w:shd w:val="clear" w:color="000000" w:fill="FFFFFF"/>
            <w:hideMark/>
          </w:tcPr>
          <w:p w14:paraId="6DEBD0EE"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0ABB3965"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4B957FC7"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444E2133" w14:textId="77777777" w:rsidTr="00FE7743">
        <w:trPr>
          <w:gridAfter w:val="1"/>
          <w:wAfter w:w="311" w:type="dxa"/>
          <w:trHeight w:val="1182"/>
        </w:trPr>
        <w:tc>
          <w:tcPr>
            <w:tcW w:w="3566" w:type="dxa"/>
            <w:gridSpan w:val="7"/>
            <w:tcBorders>
              <w:top w:val="nil"/>
              <w:left w:val="nil"/>
              <w:bottom w:val="nil"/>
              <w:right w:val="nil"/>
            </w:tcBorders>
            <w:shd w:val="clear" w:color="000000" w:fill="FFFFFF"/>
            <w:hideMark/>
          </w:tcPr>
          <w:p w14:paraId="4843B141" w14:textId="77777777" w:rsidR="00D229A2" w:rsidRPr="00D229A2" w:rsidRDefault="00D229A2" w:rsidP="00D229A2">
            <w:pPr>
              <w:spacing w:after="0" w:line="240" w:lineRule="auto"/>
              <w:rPr>
                <w:rFonts w:eastAsia="Calibri" w:cs="Times New Roman"/>
              </w:rPr>
            </w:pPr>
            <w:r w:rsidRPr="00D229A2">
              <w:rPr>
                <w:rFonts w:eastAsia="Calibri" w:cs="Times New Roman"/>
              </w:rPr>
              <w:t>In our organization, we are comfortable working with leaders from diverse demographic backgrounds.</w:t>
            </w:r>
          </w:p>
        </w:tc>
        <w:tc>
          <w:tcPr>
            <w:tcW w:w="1432" w:type="dxa"/>
            <w:gridSpan w:val="6"/>
            <w:tcBorders>
              <w:top w:val="nil"/>
              <w:left w:val="nil"/>
              <w:bottom w:val="nil"/>
              <w:right w:val="nil"/>
            </w:tcBorders>
            <w:shd w:val="clear" w:color="000000" w:fill="FFFFFF"/>
            <w:noWrap/>
            <w:vAlign w:val="center"/>
            <w:hideMark/>
          </w:tcPr>
          <w:p w14:paraId="67F3EC9E" w14:textId="77777777" w:rsidR="00D229A2" w:rsidRPr="00D229A2" w:rsidRDefault="00D229A2" w:rsidP="00D229A2">
            <w:pPr>
              <w:spacing w:after="0" w:line="240" w:lineRule="auto"/>
              <w:rPr>
                <w:rFonts w:eastAsia="Calibri" w:cs="Times New Roman"/>
              </w:rPr>
            </w:pPr>
            <w:r w:rsidRPr="00D229A2">
              <w:rPr>
                <w:rFonts w:eastAsia="Calibri" w:cs="Times New Roman"/>
                <w:i/>
                <w:iCs/>
              </w:rPr>
              <w:t>PICLD</w:t>
            </w:r>
            <w:r w:rsidRPr="00D229A2">
              <w:rPr>
                <w:rFonts w:eastAsia="Calibri" w:cs="Times New Roman"/>
              </w:rPr>
              <w:t>_10</w:t>
            </w:r>
          </w:p>
        </w:tc>
        <w:tc>
          <w:tcPr>
            <w:tcW w:w="1735" w:type="dxa"/>
            <w:gridSpan w:val="7"/>
            <w:tcBorders>
              <w:top w:val="nil"/>
              <w:left w:val="nil"/>
              <w:bottom w:val="nil"/>
              <w:right w:val="nil"/>
            </w:tcBorders>
            <w:shd w:val="clear" w:color="000000" w:fill="FFFFFF"/>
            <w:noWrap/>
            <w:vAlign w:val="center"/>
            <w:hideMark/>
          </w:tcPr>
          <w:p w14:paraId="13C959B8" w14:textId="77777777" w:rsidR="00D229A2" w:rsidRPr="00D229A2" w:rsidRDefault="00D229A2" w:rsidP="00D229A2">
            <w:pPr>
              <w:spacing w:after="0" w:line="240" w:lineRule="auto"/>
              <w:rPr>
                <w:rFonts w:eastAsia="Calibri" w:cs="Times New Roman"/>
              </w:rPr>
            </w:pPr>
            <w:r w:rsidRPr="00D229A2">
              <w:rPr>
                <w:rFonts w:eastAsia="Calibri" w:cs="Times New Roman"/>
              </w:rPr>
              <w:t>0.789</w:t>
            </w:r>
          </w:p>
        </w:tc>
        <w:tc>
          <w:tcPr>
            <w:tcW w:w="1395" w:type="dxa"/>
            <w:gridSpan w:val="4"/>
            <w:tcBorders>
              <w:top w:val="nil"/>
              <w:left w:val="nil"/>
              <w:bottom w:val="nil"/>
              <w:right w:val="nil"/>
            </w:tcBorders>
            <w:shd w:val="clear" w:color="000000" w:fill="FFFFFF"/>
            <w:hideMark/>
          </w:tcPr>
          <w:p w14:paraId="2E83A609"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0B8577F9"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1A5830A0"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07B202B5" w14:textId="77777777" w:rsidTr="00FE7743">
        <w:trPr>
          <w:gridAfter w:val="1"/>
          <w:wAfter w:w="311" w:type="dxa"/>
          <w:trHeight w:val="902"/>
        </w:trPr>
        <w:tc>
          <w:tcPr>
            <w:tcW w:w="3566" w:type="dxa"/>
            <w:gridSpan w:val="7"/>
            <w:tcBorders>
              <w:top w:val="nil"/>
              <w:left w:val="nil"/>
              <w:bottom w:val="nil"/>
              <w:right w:val="nil"/>
            </w:tcBorders>
            <w:shd w:val="clear" w:color="000000" w:fill="FFFFFF"/>
            <w:hideMark/>
          </w:tcPr>
          <w:p w14:paraId="045C686A" w14:textId="77777777" w:rsidR="00D229A2" w:rsidRPr="00D229A2" w:rsidRDefault="00D229A2" w:rsidP="00D229A2">
            <w:pPr>
              <w:spacing w:after="0" w:line="240" w:lineRule="auto"/>
              <w:rPr>
                <w:rFonts w:eastAsia="Calibri" w:cs="Times New Roman"/>
              </w:rPr>
            </w:pPr>
            <w:r w:rsidRPr="00D229A2">
              <w:rPr>
                <w:rFonts w:eastAsia="Calibri" w:cs="Times New Roman"/>
              </w:rPr>
              <w:t>In our organization, we try to retain leaders from diverse demographic backgrounds.</w:t>
            </w:r>
          </w:p>
        </w:tc>
        <w:tc>
          <w:tcPr>
            <w:tcW w:w="1432" w:type="dxa"/>
            <w:gridSpan w:val="6"/>
            <w:tcBorders>
              <w:top w:val="nil"/>
              <w:left w:val="nil"/>
              <w:bottom w:val="nil"/>
              <w:right w:val="nil"/>
            </w:tcBorders>
            <w:shd w:val="clear" w:color="000000" w:fill="FFFFFF"/>
            <w:noWrap/>
            <w:vAlign w:val="center"/>
            <w:hideMark/>
          </w:tcPr>
          <w:p w14:paraId="681E578A" w14:textId="77777777" w:rsidR="00D229A2" w:rsidRPr="00D229A2" w:rsidRDefault="00D229A2" w:rsidP="00D229A2">
            <w:pPr>
              <w:spacing w:after="0" w:line="240" w:lineRule="auto"/>
              <w:rPr>
                <w:rFonts w:eastAsia="Calibri" w:cs="Times New Roman"/>
              </w:rPr>
            </w:pPr>
            <w:r w:rsidRPr="00D229A2">
              <w:rPr>
                <w:rFonts w:eastAsia="Calibri" w:cs="Times New Roman"/>
                <w:i/>
                <w:iCs/>
              </w:rPr>
              <w:t>PICLD</w:t>
            </w:r>
            <w:r w:rsidRPr="00D229A2">
              <w:rPr>
                <w:rFonts w:eastAsia="Calibri" w:cs="Times New Roman"/>
              </w:rPr>
              <w:t>_11</w:t>
            </w:r>
          </w:p>
        </w:tc>
        <w:tc>
          <w:tcPr>
            <w:tcW w:w="1735" w:type="dxa"/>
            <w:gridSpan w:val="7"/>
            <w:tcBorders>
              <w:top w:val="nil"/>
              <w:left w:val="nil"/>
              <w:bottom w:val="nil"/>
              <w:right w:val="nil"/>
            </w:tcBorders>
            <w:shd w:val="clear" w:color="000000" w:fill="FFFFFF"/>
            <w:noWrap/>
            <w:vAlign w:val="center"/>
            <w:hideMark/>
          </w:tcPr>
          <w:p w14:paraId="6F112957" w14:textId="77777777" w:rsidR="00D229A2" w:rsidRPr="00D229A2" w:rsidRDefault="00D229A2" w:rsidP="00D229A2">
            <w:pPr>
              <w:spacing w:after="0" w:line="240" w:lineRule="auto"/>
              <w:rPr>
                <w:rFonts w:eastAsia="Calibri" w:cs="Times New Roman"/>
              </w:rPr>
            </w:pPr>
            <w:r w:rsidRPr="00D229A2">
              <w:rPr>
                <w:rFonts w:eastAsia="Calibri" w:cs="Times New Roman"/>
              </w:rPr>
              <w:t>0.786</w:t>
            </w:r>
          </w:p>
        </w:tc>
        <w:tc>
          <w:tcPr>
            <w:tcW w:w="1395" w:type="dxa"/>
            <w:gridSpan w:val="4"/>
            <w:tcBorders>
              <w:top w:val="nil"/>
              <w:left w:val="nil"/>
              <w:bottom w:val="nil"/>
              <w:right w:val="nil"/>
            </w:tcBorders>
            <w:shd w:val="clear" w:color="000000" w:fill="FFFFFF"/>
            <w:noWrap/>
            <w:hideMark/>
          </w:tcPr>
          <w:p w14:paraId="006BD124"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43430029"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7C69F391"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1374B254" w14:textId="77777777" w:rsidTr="00FE7743">
        <w:trPr>
          <w:gridAfter w:val="1"/>
          <w:wAfter w:w="311" w:type="dxa"/>
          <w:trHeight w:val="1323"/>
        </w:trPr>
        <w:tc>
          <w:tcPr>
            <w:tcW w:w="3566" w:type="dxa"/>
            <w:gridSpan w:val="7"/>
            <w:tcBorders>
              <w:top w:val="nil"/>
              <w:left w:val="nil"/>
              <w:bottom w:val="nil"/>
              <w:right w:val="nil"/>
            </w:tcBorders>
            <w:shd w:val="clear" w:color="000000" w:fill="FFFFFF"/>
            <w:hideMark/>
          </w:tcPr>
          <w:p w14:paraId="531E8523" w14:textId="77777777" w:rsidR="00D229A2" w:rsidRPr="00D229A2" w:rsidRDefault="00D229A2" w:rsidP="00D229A2">
            <w:pPr>
              <w:spacing w:after="0" w:line="240" w:lineRule="auto"/>
              <w:rPr>
                <w:rFonts w:eastAsia="Calibri" w:cs="Times New Roman"/>
              </w:rPr>
            </w:pPr>
            <w:r w:rsidRPr="00D229A2">
              <w:rPr>
                <w:rFonts w:eastAsia="Calibri" w:cs="Times New Roman"/>
              </w:rPr>
              <w:t>In our organization, it is transparent that leaders are representative of diverse demographic backgrounds.</w:t>
            </w:r>
          </w:p>
        </w:tc>
        <w:tc>
          <w:tcPr>
            <w:tcW w:w="1432" w:type="dxa"/>
            <w:gridSpan w:val="6"/>
            <w:tcBorders>
              <w:top w:val="nil"/>
              <w:left w:val="nil"/>
              <w:bottom w:val="nil"/>
              <w:right w:val="nil"/>
            </w:tcBorders>
            <w:shd w:val="clear" w:color="000000" w:fill="FFFFFF"/>
            <w:noWrap/>
            <w:vAlign w:val="center"/>
            <w:hideMark/>
          </w:tcPr>
          <w:p w14:paraId="54E67012" w14:textId="77777777" w:rsidR="00D229A2" w:rsidRPr="00D229A2" w:rsidRDefault="00D229A2" w:rsidP="00D229A2">
            <w:pPr>
              <w:spacing w:after="0" w:line="240" w:lineRule="auto"/>
              <w:rPr>
                <w:rFonts w:eastAsia="Calibri" w:cs="Times New Roman"/>
              </w:rPr>
            </w:pPr>
            <w:r w:rsidRPr="00D229A2">
              <w:rPr>
                <w:rFonts w:eastAsia="Calibri" w:cs="Times New Roman"/>
                <w:i/>
                <w:iCs/>
              </w:rPr>
              <w:t>PICLD</w:t>
            </w:r>
            <w:r w:rsidRPr="00D229A2">
              <w:rPr>
                <w:rFonts w:eastAsia="Calibri" w:cs="Times New Roman"/>
              </w:rPr>
              <w:t>_12</w:t>
            </w:r>
          </w:p>
        </w:tc>
        <w:tc>
          <w:tcPr>
            <w:tcW w:w="1735" w:type="dxa"/>
            <w:gridSpan w:val="7"/>
            <w:tcBorders>
              <w:top w:val="nil"/>
              <w:left w:val="nil"/>
              <w:bottom w:val="nil"/>
              <w:right w:val="nil"/>
            </w:tcBorders>
            <w:shd w:val="clear" w:color="000000" w:fill="FFFFFF"/>
            <w:noWrap/>
            <w:vAlign w:val="center"/>
            <w:hideMark/>
          </w:tcPr>
          <w:p w14:paraId="27665302" w14:textId="77777777" w:rsidR="00D229A2" w:rsidRPr="00D229A2" w:rsidRDefault="00D229A2" w:rsidP="00D229A2">
            <w:pPr>
              <w:spacing w:after="0" w:line="240" w:lineRule="auto"/>
              <w:rPr>
                <w:rFonts w:eastAsia="Calibri" w:cs="Times New Roman"/>
              </w:rPr>
            </w:pPr>
            <w:r w:rsidRPr="00D229A2">
              <w:rPr>
                <w:rFonts w:eastAsia="Calibri" w:cs="Times New Roman"/>
              </w:rPr>
              <w:t>0.842</w:t>
            </w:r>
          </w:p>
        </w:tc>
        <w:tc>
          <w:tcPr>
            <w:tcW w:w="1395" w:type="dxa"/>
            <w:gridSpan w:val="4"/>
            <w:tcBorders>
              <w:top w:val="nil"/>
              <w:left w:val="nil"/>
              <w:bottom w:val="nil"/>
              <w:right w:val="nil"/>
            </w:tcBorders>
            <w:shd w:val="clear" w:color="000000" w:fill="FFFFFF"/>
            <w:noWrap/>
            <w:hideMark/>
          </w:tcPr>
          <w:p w14:paraId="1B8B3FDB"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481D7D04"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2E51CEBB"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1CBD0580" w14:textId="77777777" w:rsidTr="00FE7743">
        <w:trPr>
          <w:gridAfter w:val="1"/>
          <w:wAfter w:w="311" w:type="dxa"/>
          <w:trHeight w:val="312"/>
        </w:trPr>
        <w:tc>
          <w:tcPr>
            <w:tcW w:w="3566" w:type="dxa"/>
            <w:gridSpan w:val="7"/>
            <w:tcBorders>
              <w:top w:val="nil"/>
              <w:left w:val="nil"/>
              <w:bottom w:val="nil"/>
              <w:right w:val="nil"/>
            </w:tcBorders>
            <w:shd w:val="clear" w:color="000000" w:fill="FFFFFF"/>
            <w:hideMark/>
          </w:tcPr>
          <w:p w14:paraId="7EEA048C" w14:textId="77777777" w:rsidR="00D229A2" w:rsidRPr="00D229A2" w:rsidRDefault="00D229A2" w:rsidP="00D229A2">
            <w:pPr>
              <w:spacing w:after="0" w:line="240" w:lineRule="auto"/>
              <w:rPr>
                <w:rFonts w:eastAsia="Calibri" w:cs="Times New Roman"/>
                <w:i/>
                <w:iCs/>
              </w:rPr>
            </w:pPr>
            <w:r w:rsidRPr="00D229A2">
              <w:rPr>
                <w:rFonts w:eastAsia="Calibri" w:cs="Times New Roman"/>
                <w:i/>
                <w:iCs/>
              </w:rPr>
              <w:lastRenderedPageBreak/>
              <w:t>Organizational Justice</w:t>
            </w:r>
          </w:p>
        </w:tc>
        <w:tc>
          <w:tcPr>
            <w:tcW w:w="1432" w:type="dxa"/>
            <w:gridSpan w:val="6"/>
            <w:tcBorders>
              <w:top w:val="nil"/>
              <w:left w:val="nil"/>
              <w:bottom w:val="nil"/>
              <w:right w:val="nil"/>
            </w:tcBorders>
            <w:shd w:val="clear" w:color="000000" w:fill="FFFFFF"/>
            <w:noWrap/>
            <w:vAlign w:val="center"/>
            <w:hideMark/>
          </w:tcPr>
          <w:p w14:paraId="72BD6C5D"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735" w:type="dxa"/>
            <w:gridSpan w:val="7"/>
            <w:tcBorders>
              <w:top w:val="nil"/>
              <w:left w:val="nil"/>
              <w:bottom w:val="nil"/>
              <w:right w:val="nil"/>
            </w:tcBorders>
            <w:shd w:val="clear" w:color="000000" w:fill="FFFFFF"/>
            <w:noWrap/>
            <w:vAlign w:val="center"/>
            <w:hideMark/>
          </w:tcPr>
          <w:p w14:paraId="67F30F37"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395" w:type="dxa"/>
            <w:gridSpan w:val="4"/>
            <w:tcBorders>
              <w:top w:val="nil"/>
              <w:left w:val="nil"/>
              <w:bottom w:val="nil"/>
              <w:right w:val="nil"/>
            </w:tcBorders>
            <w:shd w:val="clear" w:color="000000" w:fill="FFFFFF"/>
            <w:noWrap/>
            <w:hideMark/>
          </w:tcPr>
          <w:p w14:paraId="729B8C51" w14:textId="77777777" w:rsidR="00D229A2" w:rsidRPr="00D229A2" w:rsidRDefault="00D229A2" w:rsidP="00D229A2">
            <w:pPr>
              <w:spacing w:after="0" w:line="240" w:lineRule="auto"/>
              <w:rPr>
                <w:rFonts w:eastAsia="Calibri" w:cs="Times New Roman"/>
              </w:rPr>
            </w:pPr>
            <w:r w:rsidRPr="00D229A2">
              <w:rPr>
                <w:rFonts w:eastAsia="Calibri" w:cs="Times New Roman"/>
              </w:rPr>
              <w:t>0.943</w:t>
            </w:r>
          </w:p>
        </w:tc>
        <w:tc>
          <w:tcPr>
            <w:tcW w:w="1016" w:type="dxa"/>
            <w:gridSpan w:val="3"/>
            <w:tcBorders>
              <w:top w:val="nil"/>
              <w:left w:val="nil"/>
              <w:bottom w:val="nil"/>
              <w:right w:val="nil"/>
            </w:tcBorders>
            <w:shd w:val="clear" w:color="000000" w:fill="FFFFFF"/>
            <w:noWrap/>
            <w:hideMark/>
          </w:tcPr>
          <w:p w14:paraId="5462E960" w14:textId="77777777" w:rsidR="00D229A2" w:rsidRPr="00D229A2" w:rsidRDefault="00D229A2" w:rsidP="00D229A2">
            <w:pPr>
              <w:spacing w:after="0" w:line="240" w:lineRule="auto"/>
              <w:rPr>
                <w:rFonts w:eastAsia="Calibri" w:cs="Times New Roman"/>
              </w:rPr>
            </w:pPr>
            <w:r w:rsidRPr="00D229A2">
              <w:rPr>
                <w:rFonts w:eastAsia="Calibri" w:cs="Times New Roman"/>
              </w:rPr>
              <w:t>0.956</w:t>
            </w:r>
          </w:p>
        </w:tc>
        <w:tc>
          <w:tcPr>
            <w:tcW w:w="1185" w:type="dxa"/>
            <w:gridSpan w:val="3"/>
            <w:tcBorders>
              <w:top w:val="nil"/>
              <w:left w:val="nil"/>
              <w:bottom w:val="nil"/>
              <w:right w:val="nil"/>
            </w:tcBorders>
            <w:shd w:val="clear" w:color="000000" w:fill="FFFFFF"/>
            <w:noWrap/>
            <w:hideMark/>
          </w:tcPr>
          <w:p w14:paraId="719FDBB8" w14:textId="77777777" w:rsidR="00D229A2" w:rsidRPr="00D229A2" w:rsidRDefault="00D229A2" w:rsidP="00D229A2">
            <w:pPr>
              <w:spacing w:after="0" w:line="240" w:lineRule="auto"/>
              <w:rPr>
                <w:rFonts w:eastAsia="Calibri" w:cs="Times New Roman"/>
              </w:rPr>
            </w:pPr>
            <w:r w:rsidRPr="00D229A2">
              <w:rPr>
                <w:rFonts w:eastAsia="Calibri" w:cs="Times New Roman"/>
              </w:rPr>
              <w:t>0.786</w:t>
            </w:r>
          </w:p>
        </w:tc>
      </w:tr>
      <w:tr w:rsidR="00D229A2" w:rsidRPr="00D229A2" w14:paraId="44CAD0FF" w14:textId="77777777" w:rsidTr="00FE7743">
        <w:trPr>
          <w:gridAfter w:val="1"/>
          <w:wAfter w:w="311" w:type="dxa"/>
          <w:trHeight w:val="625"/>
        </w:trPr>
        <w:tc>
          <w:tcPr>
            <w:tcW w:w="3566" w:type="dxa"/>
            <w:gridSpan w:val="7"/>
            <w:tcBorders>
              <w:top w:val="nil"/>
              <w:left w:val="nil"/>
              <w:bottom w:val="nil"/>
              <w:right w:val="nil"/>
            </w:tcBorders>
            <w:shd w:val="clear" w:color="000000" w:fill="FFFFFF"/>
            <w:hideMark/>
          </w:tcPr>
          <w:p w14:paraId="1A88C975" w14:textId="77777777" w:rsidR="00D229A2" w:rsidRPr="00D229A2" w:rsidRDefault="00D229A2" w:rsidP="00D229A2">
            <w:pPr>
              <w:spacing w:after="0" w:line="240" w:lineRule="auto"/>
              <w:rPr>
                <w:rFonts w:eastAsia="Calibri" w:cs="Times New Roman"/>
              </w:rPr>
            </w:pPr>
            <w:r w:rsidRPr="00D229A2">
              <w:rPr>
                <w:rFonts w:eastAsia="Calibri" w:cs="Times New Roman"/>
              </w:rPr>
              <w:t>Overall, I’m treated fairly by my organization</w:t>
            </w:r>
          </w:p>
        </w:tc>
        <w:tc>
          <w:tcPr>
            <w:tcW w:w="1432" w:type="dxa"/>
            <w:gridSpan w:val="6"/>
            <w:tcBorders>
              <w:top w:val="nil"/>
              <w:left w:val="nil"/>
              <w:bottom w:val="nil"/>
              <w:right w:val="nil"/>
            </w:tcBorders>
            <w:shd w:val="clear" w:color="000000" w:fill="FFFFFF"/>
            <w:noWrap/>
            <w:vAlign w:val="center"/>
            <w:hideMark/>
          </w:tcPr>
          <w:p w14:paraId="0CA54BB3" w14:textId="77777777" w:rsidR="00D229A2" w:rsidRPr="00D229A2" w:rsidRDefault="00D229A2" w:rsidP="00D229A2">
            <w:pPr>
              <w:spacing w:after="0" w:line="240" w:lineRule="auto"/>
              <w:rPr>
                <w:rFonts w:eastAsia="Calibri" w:cs="Times New Roman"/>
              </w:rPr>
            </w:pPr>
            <w:r w:rsidRPr="00D229A2">
              <w:rPr>
                <w:rFonts w:eastAsia="Calibri" w:cs="Times New Roman"/>
              </w:rPr>
              <w:t>FAIR_1</w:t>
            </w:r>
          </w:p>
        </w:tc>
        <w:tc>
          <w:tcPr>
            <w:tcW w:w="1735" w:type="dxa"/>
            <w:gridSpan w:val="7"/>
            <w:tcBorders>
              <w:top w:val="nil"/>
              <w:left w:val="nil"/>
              <w:bottom w:val="nil"/>
              <w:right w:val="nil"/>
            </w:tcBorders>
            <w:shd w:val="clear" w:color="000000" w:fill="FFFFFF"/>
            <w:noWrap/>
            <w:vAlign w:val="center"/>
            <w:hideMark/>
          </w:tcPr>
          <w:p w14:paraId="3C55BC5D" w14:textId="77777777" w:rsidR="00D229A2" w:rsidRPr="00D229A2" w:rsidRDefault="00D229A2" w:rsidP="00D229A2">
            <w:pPr>
              <w:spacing w:after="0" w:line="240" w:lineRule="auto"/>
              <w:rPr>
                <w:rFonts w:eastAsia="Calibri" w:cs="Times New Roman"/>
              </w:rPr>
            </w:pPr>
            <w:r w:rsidRPr="00D229A2">
              <w:rPr>
                <w:rFonts w:eastAsia="Calibri" w:cs="Times New Roman"/>
              </w:rPr>
              <w:t>0.943</w:t>
            </w:r>
          </w:p>
        </w:tc>
        <w:tc>
          <w:tcPr>
            <w:tcW w:w="1395" w:type="dxa"/>
            <w:gridSpan w:val="4"/>
            <w:tcBorders>
              <w:top w:val="nil"/>
              <w:left w:val="nil"/>
              <w:bottom w:val="nil"/>
              <w:right w:val="nil"/>
            </w:tcBorders>
            <w:shd w:val="clear" w:color="000000" w:fill="FFFFFF"/>
            <w:noWrap/>
            <w:hideMark/>
          </w:tcPr>
          <w:p w14:paraId="40280750"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5AAD657F"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491BA662"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1963CA6F" w14:textId="77777777" w:rsidTr="00FE7743">
        <w:trPr>
          <w:gridAfter w:val="1"/>
          <w:wAfter w:w="311" w:type="dxa"/>
          <w:trHeight w:val="673"/>
        </w:trPr>
        <w:tc>
          <w:tcPr>
            <w:tcW w:w="3566" w:type="dxa"/>
            <w:gridSpan w:val="7"/>
            <w:tcBorders>
              <w:top w:val="nil"/>
              <w:left w:val="nil"/>
              <w:bottom w:val="nil"/>
              <w:right w:val="nil"/>
            </w:tcBorders>
            <w:shd w:val="clear" w:color="000000" w:fill="FFFFFF"/>
            <w:hideMark/>
          </w:tcPr>
          <w:p w14:paraId="33C0A6D9" w14:textId="77777777" w:rsidR="00D229A2" w:rsidRPr="00D229A2" w:rsidRDefault="00D229A2" w:rsidP="00D229A2">
            <w:pPr>
              <w:spacing w:after="0" w:line="240" w:lineRule="auto"/>
              <w:rPr>
                <w:rFonts w:eastAsia="Calibri" w:cs="Times New Roman"/>
              </w:rPr>
            </w:pPr>
            <w:r w:rsidRPr="00D229A2">
              <w:rPr>
                <w:rFonts w:eastAsia="Calibri" w:cs="Times New Roman"/>
              </w:rPr>
              <w:t xml:space="preserve">In general, I can count on this organization to be fair. </w:t>
            </w:r>
          </w:p>
        </w:tc>
        <w:tc>
          <w:tcPr>
            <w:tcW w:w="1432" w:type="dxa"/>
            <w:gridSpan w:val="6"/>
            <w:tcBorders>
              <w:top w:val="nil"/>
              <w:left w:val="nil"/>
              <w:bottom w:val="nil"/>
              <w:right w:val="nil"/>
            </w:tcBorders>
            <w:shd w:val="clear" w:color="000000" w:fill="FFFFFF"/>
            <w:noWrap/>
            <w:vAlign w:val="center"/>
            <w:hideMark/>
          </w:tcPr>
          <w:p w14:paraId="00CD8F01" w14:textId="77777777" w:rsidR="00D229A2" w:rsidRPr="00D229A2" w:rsidRDefault="00D229A2" w:rsidP="00D229A2">
            <w:pPr>
              <w:spacing w:after="0" w:line="240" w:lineRule="auto"/>
              <w:rPr>
                <w:rFonts w:eastAsia="Calibri" w:cs="Times New Roman"/>
              </w:rPr>
            </w:pPr>
            <w:r w:rsidRPr="00D229A2">
              <w:rPr>
                <w:rFonts w:eastAsia="Calibri" w:cs="Times New Roman"/>
              </w:rPr>
              <w:t>FAIR_2</w:t>
            </w:r>
          </w:p>
        </w:tc>
        <w:tc>
          <w:tcPr>
            <w:tcW w:w="1735" w:type="dxa"/>
            <w:gridSpan w:val="7"/>
            <w:tcBorders>
              <w:top w:val="nil"/>
              <w:left w:val="nil"/>
              <w:bottom w:val="nil"/>
              <w:right w:val="nil"/>
            </w:tcBorders>
            <w:shd w:val="clear" w:color="000000" w:fill="FFFFFF"/>
            <w:noWrap/>
            <w:vAlign w:val="center"/>
            <w:hideMark/>
          </w:tcPr>
          <w:p w14:paraId="68F3C75E" w14:textId="77777777" w:rsidR="00D229A2" w:rsidRPr="00D229A2" w:rsidRDefault="00D229A2" w:rsidP="00D229A2">
            <w:pPr>
              <w:spacing w:after="0" w:line="240" w:lineRule="auto"/>
              <w:rPr>
                <w:rFonts w:eastAsia="Calibri" w:cs="Times New Roman"/>
              </w:rPr>
            </w:pPr>
            <w:r w:rsidRPr="00D229A2">
              <w:rPr>
                <w:rFonts w:eastAsia="Calibri" w:cs="Times New Roman"/>
              </w:rPr>
              <w:t>0.947</w:t>
            </w:r>
          </w:p>
        </w:tc>
        <w:tc>
          <w:tcPr>
            <w:tcW w:w="1395" w:type="dxa"/>
            <w:gridSpan w:val="4"/>
            <w:tcBorders>
              <w:top w:val="nil"/>
              <w:left w:val="nil"/>
              <w:bottom w:val="nil"/>
              <w:right w:val="nil"/>
            </w:tcBorders>
            <w:shd w:val="clear" w:color="000000" w:fill="FFFFFF"/>
            <w:noWrap/>
            <w:hideMark/>
          </w:tcPr>
          <w:p w14:paraId="6B344F38"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50CFF621"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55222149"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29279DCD" w14:textId="77777777" w:rsidTr="00FE7743">
        <w:trPr>
          <w:gridAfter w:val="1"/>
          <w:wAfter w:w="311" w:type="dxa"/>
          <w:trHeight w:val="586"/>
        </w:trPr>
        <w:tc>
          <w:tcPr>
            <w:tcW w:w="3566" w:type="dxa"/>
            <w:gridSpan w:val="7"/>
            <w:tcBorders>
              <w:top w:val="nil"/>
              <w:left w:val="nil"/>
              <w:bottom w:val="nil"/>
              <w:right w:val="nil"/>
            </w:tcBorders>
            <w:shd w:val="clear" w:color="000000" w:fill="FFFFFF"/>
            <w:hideMark/>
          </w:tcPr>
          <w:p w14:paraId="2459C0CB" w14:textId="77777777" w:rsidR="00D229A2" w:rsidRPr="00D229A2" w:rsidRDefault="00D229A2" w:rsidP="00D229A2">
            <w:pPr>
              <w:spacing w:after="0" w:line="240" w:lineRule="auto"/>
              <w:rPr>
                <w:rFonts w:eastAsia="Calibri" w:cs="Times New Roman"/>
              </w:rPr>
            </w:pPr>
            <w:r w:rsidRPr="00D229A2">
              <w:rPr>
                <w:rFonts w:eastAsia="Calibri" w:cs="Times New Roman"/>
              </w:rPr>
              <w:t xml:space="preserve">In general, the treatment I receive around here is fair. </w:t>
            </w:r>
          </w:p>
        </w:tc>
        <w:tc>
          <w:tcPr>
            <w:tcW w:w="1432" w:type="dxa"/>
            <w:gridSpan w:val="6"/>
            <w:tcBorders>
              <w:top w:val="nil"/>
              <w:left w:val="nil"/>
              <w:bottom w:val="nil"/>
              <w:right w:val="nil"/>
            </w:tcBorders>
            <w:shd w:val="clear" w:color="000000" w:fill="FFFFFF"/>
            <w:noWrap/>
            <w:vAlign w:val="center"/>
            <w:hideMark/>
          </w:tcPr>
          <w:p w14:paraId="2245F5A1" w14:textId="77777777" w:rsidR="00D229A2" w:rsidRPr="00D229A2" w:rsidRDefault="00D229A2" w:rsidP="00D229A2">
            <w:pPr>
              <w:spacing w:after="0" w:line="240" w:lineRule="auto"/>
              <w:rPr>
                <w:rFonts w:eastAsia="Calibri" w:cs="Times New Roman"/>
              </w:rPr>
            </w:pPr>
            <w:r w:rsidRPr="00D229A2">
              <w:rPr>
                <w:rFonts w:eastAsia="Calibri" w:cs="Times New Roman"/>
              </w:rPr>
              <w:t>FAIR_3</w:t>
            </w:r>
          </w:p>
        </w:tc>
        <w:tc>
          <w:tcPr>
            <w:tcW w:w="1735" w:type="dxa"/>
            <w:gridSpan w:val="7"/>
            <w:tcBorders>
              <w:top w:val="nil"/>
              <w:left w:val="nil"/>
              <w:bottom w:val="nil"/>
              <w:right w:val="nil"/>
            </w:tcBorders>
            <w:shd w:val="clear" w:color="000000" w:fill="FFFFFF"/>
            <w:noWrap/>
            <w:vAlign w:val="center"/>
            <w:hideMark/>
          </w:tcPr>
          <w:p w14:paraId="70ECD8B5" w14:textId="77777777" w:rsidR="00D229A2" w:rsidRPr="00D229A2" w:rsidRDefault="00D229A2" w:rsidP="00D229A2">
            <w:pPr>
              <w:spacing w:after="0" w:line="240" w:lineRule="auto"/>
              <w:rPr>
                <w:rFonts w:eastAsia="Calibri" w:cs="Times New Roman"/>
              </w:rPr>
            </w:pPr>
            <w:r w:rsidRPr="00D229A2">
              <w:rPr>
                <w:rFonts w:eastAsia="Calibri" w:cs="Times New Roman"/>
              </w:rPr>
              <w:t>0.941</w:t>
            </w:r>
          </w:p>
        </w:tc>
        <w:tc>
          <w:tcPr>
            <w:tcW w:w="1395" w:type="dxa"/>
            <w:gridSpan w:val="4"/>
            <w:tcBorders>
              <w:top w:val="nil"/>
              <w:left w:val="nil"/>
              <w:bottom w:val="nil"/>
              <w:right w:val="nil"/>
            </w:tcBorders>
            <w:shd w:val="clear" w:color="000000" w:fill="FFFFFF"/>
            <w:noWrap/>
            <w:hideMark/>
          </w:tcPr>
          <w:p w14:paraId="494292F0"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1A0BCC58"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51AB0690"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3FDC9927" w14:textId="77777777" w:rsidTr="00FE7743">
        <w:trPr>
          <w:gridAfter w:val="1"/>
          <w:wAfter w:w="311" w:type="dxa"/>
          <w:trHeight w:val="541"/>
        </w:trPr>
        <w:tc>
          <w:tcPr>
            <w:tcW w:w="3566" w:type="dxa"/>
            <w:gridSpan w:val="7"/>
            <w:tcBorders>
              <w:top w:val="nil"/>
              <w:left w:val="nil"/>
              <w:bottom w:val="nil"/>
              <w:right w:val="nil"/>
            </w:tcBorders>
            <w:shd w:val="clear" w:color="000000" w:fill="FFFFFF"/>
            <w:hideMark/>
          </w:tcPr>
          <w:p w14:paraId="6FDD92FE" w14:textId="77777777" w:rsidR="00D229A2" w:rsidRPr="00D229A2" w:rsidRDefault="00D229A2" w:rsidP="00D229A2">
            <w:pPr>
              <w:spacing w:after="0" w:line="240" w:lineRule="auto"/>
              <w:rPr>
                <w:rFonts w:eastAsia="Calibri" w:cs="Times New Roman"/>
              </w:rPr>
            </w:pPr>
            <w:r w:rsidRPr="00D229A2">
              <w:rPr>
                <w:rFonts w:eastAsia="Calibri" w:cs="Times New Roman"/>
              </w:rPr>
              <w:t xml:space="preserve">Usually, the way things work in this organization </w:t>
            </w:r>
            <w:proofErr w:type="gramStart"/>
            <w:r w:rsidRPr="00D229A2">
              <w:rPr>
                <w:rFonts w:eastAsia="Calibri" w:cs="Times New Roman"/>
              </w:rPr>
              <w:t>are</w:t>
            </w:r>
            <w:proofErr w:type="gramEnd"/>
            <w:r w:rsidRPr="00D229A2">
              <w:rPr>
                <w:rFonts w:eastAsia="Calibri" w:cs="Times New Roman"/>
              </w:rPr>
              <w:t xml:space="preserve"> not fair. R</w:t>
            </w:r>
          </w:p>
        </w:tc>
        <w:tc>
          <w:tcPr>
            <w:tcW w:w="1432" w:type="dxa"/>
            <w:gridSpan w:val="6"/>
            <w:tcBorders>
              <w:top w:val="nil"/>
              <w:left w:val="nil"/>
              <w:bottom w:val="nil"/>
              <w:right w:val="nil"/>
            </w:tcBorders>
            <w:shd w:val="clear" w:color="000000" w:fill="FFFFFF"/>
            <w:noWrap/>
            <w:vAlign w:val="center"/>
            <w:hideMark/>
          </w:tcPr>
          <w:p w14:paraId="225D0C17" w14:textId="77777777" w:rsidR="00D229A2" w:rsidRPr="00D229A2" w:rsidRDefault="00D229A2" w:rsidP="00D229A2">
            <w:pPr>
              <w:spacing w:after="0" w:line="240" w:lineRule="auto"/>
              <w:rPr>
                <w:rFonts w:eastAsia="Calibri" w:cs="Times New Roman"/>
              </w:rPr>
            </w:pPr>
            <w:r w:rsidRPr="00D229A2">
              <w:rPr>
                <w:rFonts w:eastAsia="Calibri" w:cs="Times New Roman"/>
              </w:rPr>
              <w:t>FAIR_4</w:t>
            </w:r>
          </w:p>
        </w:tc>
        <w:tc>
          <w:tcPr>
            <w:tcW w:w="1735" w:type="dxa"/>
            <w:gridSpan w:val="7"/>
            <w:tcBorders>
              <w:top w:val="nil"/>
              <w:left w:val="nil"/>
              <w:bottom w:val="nil"/>
              <w:right w:val="nil"/>
            </w:tcBorders>
            <w:shd w:val="clear" w:color="000000" w:fill="FFFFFF"/>
            <w:noWrap/>
            <w:vAlign w:val="center"/>
            <w:hideMark/>
          </w:tcPr>
          <w:p w14:paraId="66A5A4E5" w14:textId="77777777" w:rsidR="00D229A2" w:rsidRPr="00D229A2" w:rsidRDefault="00D229A2" w:rsidP="00D229A2">
            <w:pPr>
              <w:spacing w:after="0" w:line="240" w:lineRule="auto"/>
              <w:rPr>
                <w:rFonts w:eastAsia="Calibri" w:cs="Times New Roman"/>
              </w:rPr>
            </w:pPr>
            <w:r w:rsidRPr="00D229A2">
              <w:rPr>
                <w:rFonts w:eastAsia="Calibri" w:cs="Times New Roman"/>
              </w:rPr>
              <w:t>0.730</w:t>
            </w:r>
          </w:p>
        </w:tc>
        <w:tc>
          <w:tcPr>
            <w:tcW w:w="1395" w:type="dxa"/>
            <w:gridSpan w:val="4"/>
            <w:tcBorders>
              <w:top w:val="nil"/>
              <w:left w:val="nil"/>
              <w:bottom w:val="nil"/>
              <w:right w:val="nil"/>
            </w:tcBorders>
            <w:shd w:val="clear" w:color="000000" w:fill="FFFFFF"/>
            <w:noWrap/>
            <w:hideMark/>
          </w:tcPr>
          <w:p w14:paraId="7BB3DD86"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3E4652F1"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2AE8CBBB"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4770A491" w14:textId="77777777" w:rsidTr="00FE7743">
        <w:trPr>
          <w:gridAfter w:val="1"/>
          <w:wAfter w:w="311" w:type="dxa"/>
          <w:trHeight w:val="902"/>
        </w:trPr>
        <w:tc>
          <w:tcPr>
            <w:tcW w:w="3566" w:type="dxa"/>
            <w:gridSpan w:val="7"/>
            <w:tcBorders>
              <w:top w:val="nil"/>
              <w:left w:val="nil"/>
              <w:bottom w:val="nil"/>
              <w:right w:val="nil"/>
            </w:tcBorders>
            <w:shd w:val="clear" w:color="000000" w:fill="FFFFFF"/>
            <w:hideMark/>
          </w:tcPr>
          <w:p w14:paraId="0CEC4D4E" w14:textId="77777777" w:rsidR="00D229A2" w:rsidRPr="00D229A2" w:rsidRDefault="00D229A2" w:rsidP="00D229A2">
            <w:pPr>
              <w:spacing w:after="0" w:line="240" w:lineRule="auto"/>
              <w:rPr>
                <w:rFonts w:eastAsia="Calibri" w:cs="Times New Roman"/>
              </w:rPr>
            </w:pPr>
            <w:r w:rsidRPr="00D229A2">
              <w:rPr>
                <w:rFonts w:eastAsia="Calibri" w:cs="Times New Roman"/>
              </w:rPr>
              <w:t xml:space="preserve">For the most part, this organization treats its employees fairly. </w:t>
            </w:r>
          </w:p>
        </w:tc>
        <w:tc>
          <w:tcPr>
            <w:tcW w:w="1432" w:type="dxa"/>
            <w:gridSpan w:val="6"/>
            <w:tcBorders>
              <w:top w:val="nil"/>
              <w:left w:val="nil"/>
              <w:bottom w:val="nil"/>
              <w:right w:val="nil"/>
            </w:tcBorders>
            <w:shd w:val="clear" w:color="000000" w:fill="FFFFFF"/>
            <w:noWrap/>
            <w:vAlign w:val="center"/>
            <w:hideMark/>
          </w:tcPr>
          <w:p w14:paraId="605E5E89" w14:textId="77777777" w:rsidR="00D229A2" w:rsidRPr="00D229A2" w:rsidRDefault="00D229A2" w:rsidP="00D229A2">
            <w:pPr>
              <w:spacing w:after="0" w:line="240" w:lineRule="auto"/>
              <w:rPr>
                <w:rFonts w:eastAsia="Calibri" w:cs="Times New Roman"/>
              </w:rPr>
            </w:pPr>
            <w:r w:rsidRPr="00D229A2">
              <w:rPr>
                <w:rFonts w:eastAsia="Calibri" w:cs="Times New Roman"/>
              </w:rPr>
              <w:t>FAIR_5</w:t>
            </w:r>
          </w:p>
        </w:tc>
        <w:tc>
          <w:tcPr>
            <w:tcW w:w="1735" w:type="dxa"/>
            <w:gridSpan w:val="7"/>
            <w:tcBorders>
              <w:top w:val="nil"/>
              <w:left w:val="nil"/>
              <w:bottom w:val="nil"/>
              <w:right w:val="nil"/>
            </w:tcBorders>
            <w:shd w:val="clear" w:color="000000" w:fill="FFFFFF"/>
            <w:noWrap/>
            <w:vAlign w:val="center"/>
            <w:hideMark/>
          </w:tcPr>
          <w:p w14:paraId="1F5D8643" w14:textId="77777777" w:rsidR="00D229A2" w:rsidRPr="00D229A2" w:rsidRDefault="00D229A2" w:rsidP="00D229A2">
            <w:pPr>
              <w:spacing w:after="0" w:line="240" w:lineRule="auto"/>
              <w:rPr>
                <w:rFonts w:eastAsia="Calibri" w:cs="Times New Roman"/>
              </w:rPr>
            </w:pPr>
            <w:r w:rsidRPr="00D229A2">
              <w:rPr>
                <w:rFonts w:eastAsia="Calibri" w:cs="Times New Roman"/>
              </w:rPr>
              <w:t>0.941</w:t>
            </w:r>
          </w:p>
        </w:tc>
        <w:tc>
          <w:tcPr>
            <w:tcW w:w="1395" w:type="dxa"/>
            <w:gridSpan w:val="4"/>
            <w:tcBorders>
              <w:top w:val="nil"/>
              <w:left w:val="nil"/>
              <w:bottom w:val="nil"/>
              <w:right w:val="nil"/>
            </w:tcBorders>
            <w:shd w:val="clear" w:color="000000" w:fill="FFFFFF"/>
            <w:noWrap/>
            <w:hideMark/>
          </w:tcPr>
          <w:p w14:paraId="61F47FAB"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7BD2C053"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5F291DFF"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219F22C7" w14:textId="77777777" w:rsidTr="00FE7743">
        <w:trPr>
          <w:gridAfter w:val="1"/>
          <w:wAfter w:w="311" w:type="dxa"/>
          <w:trHeight w:val="1022"/>
        </w:trPr>
        <w:tc>
          <w:tcPr>
            <w:tcW w:w="3566" w:type="dxa"/>
            <w:gridSpan w:val="7"/>
            <w:tcBorders>
              <w:top w:val="nil"/>
              <w:left w:val="nil"/>
              <w:bottom w:val="nil"/>
              <w:right w:val="nil"/>
            </w:tcBorders>
            <w:shd w:val="clear" w:color="000000" w:fill="FFFFFF"/>
            <w:hideMark/>
          </w:tcPr>
          <w:p w14:paraId="47661BDA" w14:textId="77777777" w:rsidR="00D229A2" w:rsidRPr="00D229A2" w:rsidRDefault="00D229A2" w:rsidP="00D229A2">
            <w:pPr>
              <w:spacing w:after="0" w:line="240" w:lineRule="auto"/>
              <w:rPr>
                <w:rFonts w:eastAsia="Calibri" w:cs="Times New Roman"/>
              </w:rPr>
            </w:pPr>
            <w:r w:rsidRPr="00D229A2">
              <w:rPr>
                <w:rFonts w:eastAsia="Calibri" w:cs="Times New Roman"/>
              </w:rPr>
              <w:t>Most of the people who work here would say they are often treated unfairly. R</w:t>
            </w:r>
          </w:p>
        </w:tc>
        <w:tc>
          <w:tcPr>
            <w:tcW w:w="1432" w:type="dxa"/>
            <w:gridSpan w:val="6"/>
            <w:tcBorders>
              <w:top w:val="nil"/>
              <w:left w:val="nil"/>
              <w:bottom w:val="nil"/>
              <w:right w:val="nil"/>
            </w:tcBorders>
            <w:shd w:val="clear" w:color="000000" w:fill="FFFFFF"/>
            <w:noWrap/>
            <w:vAlign w:val="center"/>
            <w:hideMark/>
          </w:tcPr>
          <w:p w14:paraId="3347577B" w14:textId="77777777" w:rsidR="00D229A2" w:rsidRPr="00D229A2" w:rsidRDefault="00D229A2" w:rsidP="00D229A2">
            <w:pPr>
              <w:spacing w:after="0" w:line="240" w:lineRule="auto"/>
              <w:rPr>
                <w:rFonts w:eastAsia="Calibri" w:cs="Times New Roman"/>
              </w:rPr>
            </w:pPr>
            <w:r w:rsidRPr="00D229A2">
              <w:rPr>
                <w:rFonts w:eastAsia="Calibri" w:cs="Times New Roman"/>
              </w:rPr>
              <w:t>FAIR_6</w:t>
            </w:r>
          </w:p>
        </w:tc>
        <w:tc>
          <w:tcPr>
            <w:tcW w:w="1735" w:type="dxa"/>
            <w:gridSpan w:val="7"/>
            <w:tcBorders>
              <w:top w:val="nil"/>
              <w:left w:val="nil"/>
              <w:bottom w:val="nil"/>
              <w:right w:val="nil"/>
            </w:tcBorders>
            <w:shd w:val="clear" w:color="000000" w:fill="FFFFFF"/>
            <w:noWrap/>
            <w:vAlign w:val="center"/>
            <w:hideMark/>
          </w:tcPr>
          <w:p w14:paraId="52F3E8FE" w14:textId="77777777" w:rsidR="00D229A2" w:rsidRPr="00D229A2" w:rsidRDefault="00D229A2" w:rsidP="00D229A2">
            <w:pPr>
              <w:spacing w:after="0" w:line="240" w:lineRule="auto"/>
              <w:rPr>
                <w:rFonts w:eastAsia="Calibri" w:cs="Times New Roman"/>
              </w:rPr>
            </w:pPr>
            <w:r w:rsidRPr="00D229A2">
              <w:rPr>
                <w:rFonts w:eastAsia="Calibri" w:cs="Times New Roman"/>
              </w:rPr>
              <w:t>0.790</w:t>
            </w:r>
          </w:p>
        </w:tc>
        <w:tc>
          <w:tcPr>
            <w:tcW w:w="1395" w:type="dxa"/>
            <w:gridSpan w:val="4"/>
            <w:tcBorders>
              <w:top w:val="nil"/>
              <w:left w:val="nil"/>
              <w:bottom w:val="nil"/>
              <w:right w:val="nil"/>
            </w:tcBorders>
            <w:shd w:val="clear" w:color="000000" w:fill="FFFFFF"/>
            <w:noWrap/>
            <w:hideMark/>
          </w:tcPr>
          <w:p w14:paraId="723E33E8"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575A511A"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3EE63C2B"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1B79837A" w14:textId="77777777" w:rsidTr="00FE7743">
        <w:trPr>
          <w:gridAfter w:val="1"/>
          <w:wAfter w:w="311" w:type="dxa"/>
          <w:trHeight w:val="312"/>
        </w:trPr>
        <w:tc>
          <w:tcPr>
            <w:tcW w:w="3566" w:type="dxa"/>
            <w:gridSpan w:val="7"/>
            <w:tcBorders>
              <w:top w:val="nil"/>
              <w:left w:val="nil"/>
              <w:bottom w:val="nil"/>
              <w:right w:val="nil"/>
            </w:tcBorders>
            <w:shd w:val="clear" w:color="000000" w:fill="FFFFFF"/>
            <w:noWrap/>
            <w:hideMark/>
          </w:tcPr>
          <w:p w14:paraId="7105E802" w14:textId="77777777" w:rsidR="00D229A2" w:rsidRPr="00D229A2" w:rsidRDefault="00D229A2" w:rsidP="00D229A2">
            <w:pPr>
              <w:spacing w:after="0" w:line="240" w:lineRule="auto"/>
              <w:rPr>
                <w:rFonts w:eastAsia="Calibri" w:cs="Times New Roman"/>
                <w:i/>
                <w:iCs/>
              </w:rPr>
            </w:pPr>
            <w:r w:rsidRPr="00D229A2">
              <w:rPr>
                <w:rFonts w:eastAsia="Calibri" w:cs="Times New Roman"/>
                <w:i/>
                <w:iCs/>
              </w:rPr>
              <w:t>Job Performance</w:t>
            </w:r>
          </w:p>
        </w:tc>
        <w:tc>
          <w:tcPr>
            <w:tcW w:w="1432" w:type="dxa"/>
            <w:gridSpan w:val="6"/>
            <w:tcBorders>
              <w:top w:val="nil"/>
              <w:left w:val="nil"/>
              <w:bottom w:val="nil"/>
              <w:right w:val="nil"/>
            </w:tcBorders>
            <w:shd w:val="clear" w:color="000000" w:fill="FFFFFF"/>
            <w:noWrap/>
            <w:vAlign w:val="center"/>
            <w:hideMark/>
          </w:tcPr>
          <w:p w14:paraId="0AA28C04"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735" w:type="dxa"/>
            <w:gridSpan w:val="7"/>
            <w:tcBorders>
              <w:top w:val="nil"/>
              <w:left w:val="nil"/>
              <w:bottom w:val="nil"/>
              <w:right w:val="nil"/>
            </w:tcBorders>
            <w:shd w:val="clear" w:color="000000" w:fill="FFFFFF"/>
            <w:noWrap/>
            <w:vAlign w:val="center"/>
            <w:hideMark/>
          </w:tcPr>
          <w:p w14:paraId="18E22F86"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395" w:type="dxa"/>
            <w:gridSpan w:val="4"/>
            <w:tcBorders>
              <w:top w:val="nil"/>
              <w:left w:val="nil"/>
              <w:bottom w:val="nil"/>
              <w:right w:val="nil"/>
            </w:tcBorders>
            <w:shd w:val="clear" w:color="000000" w:fill="FFFFFF"/>
            <w:noWrap/>
            <w:hideMark/>
          </w:tcPr>
          <w:p w14:paraId="3845F8C1" w14:textId="77777777" w:rsidR="00D229A2" w:rsidRPr="00D229A2" w:rsidRDefault="00D229A2" w:rsidP="00D229A2">
            <w:pPr>
              <w:spacing w:after="0" w:line="240" w:lineRule="auto"/>
              <w:rPr>
                <w:rFonts w:eastAsia="Calibri" w:cs="Times New Roman"/>
              </w:rPr>
            </w:pPr>
            <w:r w:rsidRPr="00D229A2">
              <w:rPr>
                <w:rFonts w:eastAsia="Calibri" w:cs="Times New Roman"/>
              </w:rPr>
              <w:t>0.914</w:t>
            </w:r>
          </w:p>
        </w:tc>
        <w:tc>
          <w:tcPr>
            <w:tcW w:w="1016" w:type="dxa"/>
            <w:gridSpan w:val="3"/>
            <w:tcBorders>
              <w:top w:val="nil"/>
              <w:left w:val="nil"/>
              <w:bottom w:val="nil"/>
              <w:right w:val="nil"/>
            </w:tcBorders>
            <w:shd w:val="clear" w:color="000000" w:fill="FFFFFF"/>
            <w:noWrap/>
            <w:hideMark/>
          </w:tcPr>
          <w:p w14:paraId="6F64CC1E" w14:textId="77777777" w:rsidR="00D229A2" w:rsidRPr="00D229A2" w:rsidRDefault="00D229A2" w:rsidP="00D229A2">
            <w:pPr>
              <w:spacing w:after="0" w:line="240" w:lineRule="auto"/>
              <w:rPr>
                <w:rFonts w:eastAsia="Calibri" w:cs="Times New Roman"/>
              </w:rPr>
            </w:pPr>
            <w:r w:rsidRPr="00D229A2">
              <w:rPr>
                <w:rFonts w:eastAsia="Calibri" w:cs="Times New Roman"/>
              </w:rPr>
              <w:t>0.933</w:t>
            </w:r>
          </w:p>
        </w:tc>
        <w:tc>
          <w:tcPr>
            <w:tcW w:w="1185" w:type="dxa"/>
            <w:gridSpan w:val="3"/>
            <w:tcBorders>
              <w:top w:val="nil"/>
              <w:left w:val="nil"/>
              <w:bottom w:val="nil"/>
              <w:right w:val="nil"/>
            </w:tcBorders>
            <w:shd w:val="clear" w:color="000000" w:fill="FFFFFF"/>
            <w:noWrap/>
            <w:hideMark/>
          </w:tcPr>
          <w:p w14:paraId="08F78A19" w14:textId="77777777" w:rsidR="00D229A2" w:rsidRPr="00D229A2" w:rsidRDefault="00D229A2" w:rsidP="00D229A2">
            <w:pPr>
              <w:spacing w:after="0" w:line="240" w:lineRule="auto"/>
              <w:rPr>
                <w:rFonts w:eastAsia="Calibri" w:cs="Times New Roman"/>
              </w:rPr>
            </w:pPr>
            <w:r w:rsidRPr="00D229A2">
              <w:rPr>
                <w:rFonts w:eastAsia="Calibri" w:cs="Times New Roman"/>
              </w:rPr>
              <w:t>0.698</w:t>
            </w:r>
          </w:p>
        </w:tc>
      </w:tr>
      <w:tr w:rsidR="00D229A2" w:rsidRPr="00D229A2" w14:paraId="744B7BAA" w14:textId="77777777" w:rsidTr="00FE7743">
        <w:trPr>
          <w:gridAfter w:val="1"/>
          <w:wAfter w:w="311" w:type="dxa"/>
          <w:trHeight w:val="625"/>
        </w:trPr>
        <w:tc>
          <w:tcPr>
            <w:tcW w:w="3566" w:type="dxa"/>
            <w:gridSpan w:val="7"/>
            <w:tcBorders>
              <w:top w:val="nil"/>
              <w:left w:val="nil"/>
              <w:bottom w:val="nil"/>
              <w:right w:val="nil"/>
            </w:tcBorders>
            <w:shd w:val="clear" w:color="000000" w:fill="FFFFFF"/>
            <w:hideMark/>
          </w:tcPr>
          <w:p w14:paraId="1FB5A11C" w14:textId="77777777" w:rsidR="00D229A2" w:rsidRPr="00D229A2" w:rsidRDefault="00D229A2" w:rsidP="00D229A2">
            <w:pPr>
              <w:spacing w:after="0" w:line="240" w:lineRule="auto"/>
              <w:rPr>
                <w:rFonts w:eastAsia="Calibri" w:cs="Times New Roman"/>
              </w:rPr>
            </w:pPr>
            <w:r w:rsidRPr="00D229A2">
              <w:rPr>
                <w:rFonts w:eastAsia="Calibri" w:cs="Times New Roman"/>
              </w:rPr>
              <w:t>I adequately complete assigned duties.</w:t>
            </w:r>
          </w:p>
        </w:tc>
        <w:tc>
          <w:tcPr>
            <w:tcW w:w="1432" w:type="dxa"/>
            <w:gridSpan w:val="6"/>
            <w:tcBorders>
              <w:top w:val="nil"/>
              <w:left w:val="nil"/>
              <w:bottom w:val="nil"/>
              <w:right w:val="nil"/>
            </w:tcBorders>
            <w:shd w:val="clear" w:color="000000" w:fill="FFFFFF"/>
            <w:noWrap/>
            <w:vAlign w:val="center"/>
            <w:hideMark/>
          </w:tcPr>
          <w:p w14:paraId="15F27515" w14:textId="77777777" w:rsidR="00D229A2" w:rsidRPr="00D229A2" w:rsidRDefault="00D229A2" w:rsidP="00D229A2">
            <w:pPr>
              <w:spacing w:after="0" w:line="240" w:lineRule="auto"/>
              <w:rPr>
                <w:rFonts w:eastAsia="Calibri" w:cs="Times New Roman"/>
              </w:rPr>
            </w:pPr>
            <w:r w:rsidRPr="00D229A2">
              <w:rPr>
                <w:rFonts w:eastAsia="Calibri" w:cs="Times New Roman"/>
              </w:rPr>
              <w:t>PER_1</w:t>
            </w:r>
          </w:p>
        </w:tc>
        <w:tc>
          <w:tcPr>
            <w:tcW w:w="1735" w:type="dxa"/>
            <w:gridSpan w:val="7"/>
            <w:tcBorders>
              <w:top w:val="nil"/>
              <w:left w:val="nil"/>
              <w:bottom w:val="nil"/>
              <w:right w:val="nil"/>
            </w:tcBorders>
            <w:shd w:val="clear" w:color="000000" w:fill="FFFFFF"/>
            <w:noWrap/>
            <w:vAlign w:val="center"/>
            <w:hideMark/>
          </w:tcPr>
          <w:p w14:paraId="11826C2A" w14:textId="77777777" w:rsidR="00D229A2" w:rsidRPr="00D229A2" w:rsidRDefault="00D229A2" w:rsidP="00D229A2">
            <w:pPr>
              <w:spacing w:after="0" w:line="240" w:lineRule="auto"/>
              <w:rPr>
                <w:rFonts w:eastAsia="Calibri" w:cs="Times New Roman"/>
              </w:rPr>
            </w:pPr>
            <w:r w:rsidRPr="00D229A2">
              <w:rPr>
                <w:rFonts w:eastAsia="Calibri" w:cs="Times New Roman"/>
              </w:rPr>
              <w:t>0.829</w:t>
            </w:r>
          </w:p>
        </w:tc>
        <w:tc>
          <w:tcPr>
            <w:tcW w:w="1395" w:type="dxa"/>
            <w:gridSpan w:val="4"/>
            <w:tcBorders>
              <w:top w:val="nil"/>
              <w:left w:val="nil"/>
              <w:bottom w:val="nil"/>
              <w:right w:val="nil"/>
            </w:tcBorders>
            <w:shd w:val="clear" w:color="000000" w:fill="FFFFFF"/>
            <w:noWrap/>
            <w:hideMark/>
          </w:tcPr>
          <w:p w14:paraId="537C5050"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6321EAB9"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273696FF"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32BADB07" w14:textId="77777777" w:rsidTr="00FE7743">
        <w:trPr>
          <w:gridAfter w:val="1"/>
          <w:wAfter w:w="311" w:type="dxa"/>
          <w:trHeight w:val="541"/>
        </w:trPr>
        <w:tc>
          <w:tcPr>
            <w:tcW w:w="3566" w:type="dxa"/>
            <w:gridSpan w:val="7"/>
            <w:tcBorders>
              <w:top w:val="nil"/>
              <w:left w:val="nil"/>
              <w:bottom w:val="nil"/>
              <w:right w:val="nil"/>
            </w:tcBorders>
            <w:shd w:val="clear" w:color="000000" w:fill="FFFFFF"/>
            <w:hideMark/>
          </w:tcPr>
          <w:p w14:paraId="0ED43075" w14:textId="77777777" w:rsidR="00D229A2" w:rsidRPr="00D229A2" w:rsidRDefault="00D229A2" w:rsidP="00D229A2">
            <w:pPr>
              <w:spacing w:after="0" w:line="240" w:lineRule="auto"/>
              <w:rPr>
                <w:rFonts w:eastAsia="Calibri" w:cs="Times New Roman"/>
              </w:rPr>
            </w:pPr>
            <w:r w:rsidRPr="00D229A2">
              <w:rPr>
                <w:rFonts w:eastAsia="Calibri" w:cs="Times New Roman"/>
              </w:rPr>
              <w:t>I meet formal performance requirements of the job.</w:t>
            </w:r>
          </w:p>
        </w:tc>
        <w:tc>
          <w:tcPr>
            <w:tcW w:w="1432" w:type="dxa"/>
            <w:gridSpan w:val="6"/>
            <w:tcBorders>
              <w:top w:val="nil"/>
              <w:left w:val="nil"/>
              <w:bottom w:val="nil"/>
              <w:right w:val="nil"/>
            </w:tcBorders>
            <w:shd w:val="clear" w:color="000000" w:fill="FFFFFF"/>
            <w:noWrap/>
            <w:vAlign w:val="center"/>
            <w:hideMark/>
          </w:tcPr>
          <w:p w14:paraId="7D53AA2E" w14:textId="77777777" w:rsidR="00D229A2" w:rsidRPr="00D229A2" w:rsidRDefault="00D229A2" w:rsidP="00D229A2">
            <w:pPr>
              <w:spacing w:after="0" w:line="240" w:lineRule="auto"/>
              <w:rPr>
                <w:rFonts w:eastAsia="Calibri" w:cs="Times New Roman"/>
              </w:rPr>
            </w:pPr>
            <w:r w:rsidRPr="00D229A2">
              <w:rPr>
                <w:rFonts w:eastAsia="Calibri" w:cs="Times New Roman"/>
              </w:rPr>
              <w:t>PER_2</w:t>
            </w:r>
          </w:p>
        </w:tc>
        <w:tc>
          <w:tcPr>
            <w:tcW w:w="1735" w:type="dxa"/>
            <w:gridSpan w:val="7"/>
            <w:tcBorders>
              <w:top w:val="nil"/>
              <w:left w:val="nil"/>
              <w:bottom w:val="nil"/>
              <w:right w:val="nil"/>
            </w:tcBorders>
            <w:shd w:val="clear" w:color="000000" w:fill="FFFFFF"/>
            <w:noWrap/>
            <w:vAlign w:val="center"/>
            <w:hideMark/>
          </w:tcPr>
          <w:p w14:paraId="0DB490F6" w14:textId="77777777" w:rsidR="00D229A2" w:rsidRPr="00D229A2" w:rsidRDefault="00D229A2" w:rsidP="00D229A2">
            <w:pPr>
              <w:spacing w:after="0" w:line="240" w:lineRule="auto"/>
              <w:rPr>
                <w:rFonts w:eastAsia="Calibri" w:cs="Times New Roman"/>
              </w:rPr>
            </w:pPr>
            <w:r w:rsidRPr="00D229A2">
              <w:rPr>
                <w:rFonts w:eastAsia="Calibri" w:cs="Times New Roman"/>
              </w:rPr>
              <w:t>0.813</w:t>
            </w:r>
          </w:p>
        </w:tc>
        <w:tc>
          <w:tcPr>
            <w:tcW w:w="1395" w:type="dxa"/>
            <w:gridSpan w:val="4"/>
            <w:tcBorders>
              <w:top w:val="nil"/>
              <w:left w:val="nil"/>
              <w:bottom w:val="nil"/>
              <w:right w:val="nil"/>
            </w:tcBorders>
            <w:shd w:val="clear" w:color="000000" w:fill="FFFFFF"/>
            <w:noWrap/>
            <w:hideMark/>
          </w:tcPr>
          <w:p w14:paraId="6329F6B8"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5BEAEA60"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5E2E568A"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680F1139" w14:textId="77777777" w:rsidTr="00FE7743">
        <w:trPr>
          <w:gridAfter w:val="1"/>
          <w:wAfter w:w="311" w:type="dxa"/>
          <w:trHeight w:val="631"/>
        </w:trPr>
        <w:tc>
          <w:tcPr>
            <w:tcW w:w="3566" w:type="dxa"/>
            <w:gridSpan w:val="7"/>
            <w:tcBorders>
              <w:top w:val="nil"/>
              <w:left w:val="nil"/>
              <w:bottom w:val="nil"/>
              <w:right w:val="nil"/>
            </w:tcBorders>
            <w:shd w:val="clear" w:color="000000" w:fill="FFFFFF"/>
            <w:hideMark/>
          </w:tcPr>
          <w:p w14:paraId="45716ECA" w14:textId="77777777" w:rsidR="00D229A2" w:rsidRPr="00D229A2" w:rsidRDefault="00D229A2" w:rsidP="00D229A2">
            <w:pPr>
              <w:spacing w:after="0" w:line="240" w:lineRule="auto"/>
              <w:rPr>
                <w:rFonts w:eastAsia="Calibri" w:cs="Times New Roman"/>
              </w:rPr>
            </w:pPr>
            <w:r w:rsidRPr="00D229A2">
              <w:rPr>
                <w:rFonts w:eastAsia="Calibri" w:cs="Times New Roman"/>
              </w:rPr>
              <w:t xml:space="preserve">I don't neglect aspects of the job that I am obligated to perform. </w:t>
            </w:r>
          </w:p>
        </w:tc>
        <w:tc>
          <w:tcPr>
            <w:tcW w:w="1432" w:type="dxa"/>
            <w:gridSpan w:val="6"/>
            <w:tcBorders>
              <w:top w:val="nil"/>
              <w:left w:val="nil"/>
              <w:bottom w:val="nil"/>
              <w:right w:val="nil"/>
            </w:tcBorders>
            <w:shd w:val="clear" w:color="000000" w:fill="FFFFFF"/>
            <w:noWrap/>
            <w:vAlign w:val="center"/>
            <w:hideMark/>
          </w:tcPr>
          <w:p w14:paraId="2BB40DA8" w14:textId="77777777" w:rsidR="00D229A2" w:rsidRPr="00D229A2" w:rsidRDefault="00D229A2" w:rsidP="00D229A2">
            <w:pPr>
              <w:spacing w:after="0" w:line="240" w:lineRule="auto"/>
              <w:rPr>
                <w:rFonts w:eastAsia="Calibri" w:cs="Times New Roman"/>
              </w:rPr>
            </w:pPr>
            <w:r w:rsidRPr="00D229A2">
              <w:rPr>
                <w:rFonts w:eastAsia="Calibri" w:cs="Times New Roman"/>
              </w:rPr>
              <w:t>PER_3</w:t>
            </w:r>
          </w:p>
        </w:tc>
        <w:tc>
          <w:tcPr>
            <w:tcW w:w="1735" w:type="dxa"/>
            <w:gridSpan w:val="7"/>
            <w:tcBorders>
              <w:top w:val="nil"/>
              <w:left w:val="nil"/>
              <w:bottom w:val="nil"/>
              <w:right w:val="nil"/>
            </w:tcBorders>
            <w:shd w:val="clear" w:color="000000" w:fill="FFFFFF"/>
            <w:noWrap/>
            <w:vAlign w:val="center"/>
            <w:hideMark/>
          </w:tcPr>
          <w:p w14:paraId="357CAA71" w14:textId="77777777" w:rsidR="00D229A2" w:rsidRPr="00D229A2" w:rsidRDefault="00D229A2" w:rsidP="00D229A2">
            <w:pPr>
              <w:spacing w:after="0" w:line="240" w:lineRule="auto"/>
              <w:rPr>
                <w:rFonts w:eastAsia="Calibri" w:cs="Times New Roman"/>
              </w:rPr>
            </w:pPr>
            <w:r w:rsidRPr="00D229A2">
              <w:rPr>
                <w:rFonts w:eastAsia="Calibri" w:cs="Times New Roman"/>
              </w:rPr>
              <w:t>0.804</w:t>
            </w:r>
          </w:p>
        </w:tc>
        <w:tc>
          <w:tcPr>
            <w:tcW w:w="1395" w:type="dxa"/>
            <w:gridSpan w:val="4"/>
            <w:tcBorders>
              <w:top w:val="nil"/>
              <w:left w:val="nil"/>
              <w:bottom w:val="nil"/>
              <w:right w:val="nil"/>
            </w:tcBorders>
            <w:shd w:val="clear" w:color="000000" w:fill="FFFFFF"/>
            <w:noWrap/>
            <w:hideMark/>
          </w:tcPr>
          <w:p w14:paraId="0AA384AD"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3E25893C"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410E98F7"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3447D2D8" w14:textId="77777777" w:rsidTr="00FE7743">
        <w:trPr>
          <w:gridAfter w:val="1"/>
          <w:wAfter w:w="311" w:type="dxa"/>
          <w:trHeight w:val="586"/>
        </w:trPr>
        <w:tc>
          <w:tcPr>
            <w:tcW w:w="3566" w:type="dxa"/>
            <w:gridSpan w:val="7"/>
            <w:tcBorders>
              <w:top w:val="nil"/>
              <w:left w:val="nil"/>
              <w:bottom w:val="nil"/>
              <w:right w:val="nil"/>
            </w:tcBorders>
            <w:shd w:val="clear" w:color="000000" w:fill="FFFFFF"/>
            <w:hideMark/>
          </w:tcPr>
          <w:p w14:paraId="25149B37" w14:textId="77777777" w:rsidR="00D229A2" w:rsidRPr="00D229A2" w:rsidRDefault="00D229A2" w:rsidP="00D229A2">
            <w:pPr>
              <w:spacing w:after="0" w:line="240" w:lineRule="auto"/>
              <w:rPr>
                <w:rFonts w:eastAsia="Calibri" w:cs="Times New Roman"/>
              </w:rPr>
            </w:pPr>
            <w:r w:rsidRPr="00D229A2">
              <w:rPr>
                <w:rFonts w:eastAsia="Calibri" w:cs="Times New Roman"/>
              </w:rPr>
              <w:t>I fulfill responsibilities specified in the job. description.</w:t>
            </w:r>
          </w:p>
        </w:tc>
        <w:tc>
          <w:tcPr>
            <w:tcW w:w="1432" w:type="dxa"/>
            <w:gridSpan w:val="6"/>
            <w:tcBorders>
              <w:top w:val="nil"/>
              <w:left w:val="nil"/>
              <w:bottom w:val="nil"/>
              <w:right w:val="nil"/>
            </w:tcBorders>
            <w:shd w:val="clear" w:color="000000" w:fill="FFFFFF"/>
            <w:noWrap/>
            <w:vAlign w:val="center"/>
            <w:hideMark/>
          </w:tcPr>
          <w:p w14:paraId="229348DA" w14:textId="77777777" w:rsidR="00D229A2" w:rsidRPr="00D229A2" w:rsidRDefault="00D229A2" w:rsidP="00D229A2">
            <w:pPr>
              <w:spacing w:after="0" w:line="240" w:lineRule="auto"/>
              <w:rPr>
                <w:rFonts w:eastAsia="Calibri" w:cs="Times New Roman"/>
              </w:rPr>
            </w:pPr>
            <w:r w:rsidRPr="00D229A2">
              <w:rPr>
                <w:rFonts w:eastAsia="Calibri" w:cs="Times New Roman"/>
              </w:rPr>
              <w:t>PER_4</w:t>
            </w:r>
          </w:p>
        </w:tc>
        <w:tc>
          <w:tcPr>
            <w:tcW w:w="1735" w:type="dxa"/>
            <w:gridSpan w:val="7"/>
            <w:tcBorders>
              <w:top w:val="nil"/>
              <w:left w:val="nil"/>
              <w:bottom w:val="nil"/>
              <w:right w:val="nil"/>
            </w:tcBorders>
            <w:shd w:val="clear" w:color="000000" w:fill="FFFFFF"/>
            <w:noWrap/>
            <w:vAlign w:val="center"/>
            <w:hideMark/>
          </w:tcPr>
          <w:p w14:paraId="075E8BB2" w14:textId="77777777" w:rsidR="00D229A2" w:rsidRPr="00D229A2" w:rsidRDefault="00D229A2" w:rsidP="00D229A2">
            <w:pPr>
              <w:spacing w:after="0" w:line="240" w:lineRule="auto"/>
              <w:rPr>
                <w:rFonts w:eastAsia="Calibri" w:cs="Times New Roman"/>
              </w:rPr>
            </w:pPr>
            <w:r w:rsidRPr="00D229A2">
              <w:rPr>
                <w:rFonts w:eastAsia="Calibri" w:cs="Times New Roman"/>
              </w:rPr>
              <w:t>0.862</w:t>
            </w:r>
          </w:p>
        </w:tc>
        <w:tc>
          <w:tcPr>
            <w:tcW w:w="1395" w:type="dxa"/>
            <w:gridSpan w:val="4"/>
            <w:tcBorders>
              <w:top w:val="nil"/>
              <w:left w:val="nil"/>
              <w:bottom w:val="nil"/>
              <w:right w:val="nil"/>
            </w:tcBorders>
            <w:shd w:val="clear" w:color="000000" w:fill="FFFFFF"/>
            <w:noWrap/>
            <w:hideMark/>
          </w:tcPr>
          <w:p w14:paraId="5121DD7E"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1B3AFC99"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40F93A8C"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2899A6AC" w14:textId="77777777" w:rsidTr="00FE7743">
        <w:trPr>
          <w:gridAfter w:val="1"/>
          <w:wAfter w:w="311" w:type="dxa"/>
          <w:trHeight w:val="938"/>
        </w:trPr>
        <w:tc>
          <w:tcPr>
            <w:tcW w:w="3566" w:type="dxa"/>
            <w:gridSpan w:val="7"/>
            <w:tcBorders>
              <w:top w:val="nil"/>
              <w:left w:val="nil"/>
              <w:bottom w:val="nil"/>
              <w:right w:val="nil"/>
            </w:tcBorders>
            <w:shd w:val="clear" w:color="000000" w:fill="FFFFFF"/>
            <w:hideMark/>
          </w:tcPr>
          <w:p w14:paraId="427074F9" w14:textId="77777777" w:rsidR="00D229A2" w:rsidRPr="00D229A2" w:rsidRDefault="00D229A2" w:rsidP="00D229A2">
            <w:pPr>
              <w:spacing w:after="0" w:line="240" w:lineRule="auto"/>
              <w:rPr>
                <w:rFonts w:eastAsia="Calibri" w:cs="Times New Roman"/>
              </w:rPr>
            </w:pPr>
            <w:r w:rsidRPr="00D229A2">
              <w:rPr>
                <w:rFonts w:eastAsia="Calibri" w:cs="Times New Roman"/>
              </w:rPr>
              <w:t>I engage in activities that can positively affect my performance evaluation.</w:t>
            </w:r>
          </w:p>
        </w:tc>
        <w:tc>
          <w:tcPr>
            <w:tcW w:w="1432" w:type="dxa"/>
            <w:gridSpan w:val="6"/>
            <w:tcBorders>
              <w:top w:val="nil"/>
              <w:left w:val="nil"/>
              <w:bottom w:val="nil"/>
              <w:right w:val="nil"/>
            </w:tcBorders>
            <w:shd w:val="clear" w:color="000000" w:fill="FFFFFF"/>
            <w:noWrap/>
            <w:vAlign w:val="center"/>
            <w:hideMark/>
          </w:tcPr>
          <w:p w14:paraId="6F443963" w14:textId="77777777" w:rsidR="00D229A2" w:rsidRPr="00D229A2" w:rsidRDefault="00D229A2" w:rsidP="00D229A2">
            <w:pPr>
              <w:spacing w:after="0" w:line="240" w:lineRule="auto"/>
              <w:rPr>
                <w:rFonts w:eastAsia="Calibri" w:cs="Times New Roman"/>
              </w:rPr>
            </w:pPr>
            <w:r w:rsidRPr="00D229A2">
              <w:rPr>
                <w:rFonts w:eastAsia="Calibri" w:cs="Times New Roman"/>
              </w:rPr>
              <w:t>PER_5</w:t>
            </w:r>
          </w:p>
        </w:tc>
        <w:tc>
          <w:tcPr>
            <w:tcW w:w="1735" w:type="dxa"/>
            <w:gridSpan w:val="7"/>
            <w:tcBorders>
              <w:top w:val="nil"/>
              <w:left w:val="nil"/>
              <w:bottom w:val="nil"/>
              <w:right w:val="nil"/>
            </w:tcBorders>
            <w:shd w:val="clear" w:color="000000" w:fill="FFFFFF"/>
            <w:noWrap/>
            <w:vAlign w:val="center"/>
            <w:hideMark/>
          </w:tcPr>
          <w:p w14:paraId="275A8F5D" w14:textId="77777777" w:rsidR="00D229A2" w:rsidRPr="00D229A2" w:rsidRDefault="00D229A2" w:rsidP="00D229A2">
            <w:pPr>
              <w:spacing w:after="0" w:line="240" w:lineRule="auto"/>
              <w:rPr>
                <w:rFonts w:eastAsia="Calibri" w:cs="Times New Roman"/>
              </w:rPr>
            </w:pPr>
            <w:r w:rsidRPr="00D229A2">
              <w:rPr>
                <w:rFonts w:eastAsia="Calibri" w:cs="Times New Roman"/>
              </w:rPr>
              <w:t>0.828</w:t>
            </w:r>
          </w:p>
        </w:tc>
        <w:tc>
          <w:tcPr>
            <w:tcW w:w="1395" w:type="dxa"/>
            <w:gridSpan w:val="4"/>
            <w:tcBorders>
              <w:top w:val="nil"/>
              <w:left w:val="nil"/>
              <w:bottom w:val="nil"/>
              <w:right w:val="nil"/>
            </w:tcBorders>
            <w:shd w:val="clear" w:color="000000" w:fill="FFFFFF"/>
            <w:noWrap/>
            <w:hideMark/>
          </w:tcPr>
          <w:p w14:paraId="583ABB20"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60299A62"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371480B0"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1CC39457" w14:textId="77777777" w:rsidTr="00FE7743">
        <w:trPr>
          <w:gridAfter w:val="1"/>
          <w:wAfter w:w="311" w:type="dxa"/>
          <w:trHeight w:val="695"/>
        </w:trPr>
        <w:tc>
          <w:tcPr>
            <w:tcW w:w="3566" w:type="dxa"/>
            <w:gridSpan w:val="7"/>
            <w:tcBorders>
              <w:top w:val="nil"/>
              <w:left w:val="nil"/>
              <w:bottom w:val="nil"/>
              <w:right w:val="nil"/>
            </w:tcBorders>
            <w:shd w:val="clear" w:color="000000" w:fill="FFFFFF"/>
            <w:hideMark/>
          </w:tcPr>
          <w:p w14:paraId="299BD9F2" w14:textId="77777777" w:rsidR="00D229A2" w:rsidRPr="00D229A2" w:rsidRDefault="00D229A2" w:rsidP="00D229A2">
            <w:pPr>
              <w:spacing w:after="0" w:line="240" w:lineRule="auto"/>
              <w:rPr>
                <w:rFonts w:eastAsia="Calibri" w:cs="Times New Roman"/>
              </w:rPr>
            </w:pPr>
            <w:r w:rsidRPr="00D229A2">
              <w:rPr>
                <w:rFonts w:eastAsia="Calibri" w:cs="Times New Roman"/>
              </w:rPr>
              <w:t>I perform tasks that are expected of me.</w:t>
            </w:r>
          </w:p>
        </w:tc>
        <w:tc>
          <w:tcPr>
            <w:tcW w:w="1432" w:type="dxa"/>
            <w:gridSpan w:val="6"/>
            <w:tcBorders>
              <w:top w:val="nil"/>
              <w:left w:val="nil"/>
              <w:bottom w:val="nil"/>
              <w:right w:val="nil"/>
            </w:tcBorders>
            <w:shd w:val="clear" w:color="000000" w:fill="FFFFFF"/>
            <w:noWrap/>
            <w:vAlign w:val="center"/>
            <w:hideMark/>
          </w:tcPr>
          <w:p w14:paraId="5B04DB00" w14:textId="77777777" w:rsidR="00D229A2" w:rsidRPr="00D229A2" w:rsidRDefault="00D229A2" w:rsidP="00D229A2">
            <w:pPr>
              <w:spacing w:after="0" w:line="240" w:lineRule="auto"/>
              <w:rPr>
                <w:rFonts w:eastAsia="Calibri" w:cs="Times New Roman"/>
              </w:rPr>
            </w:pPr>
            <w:r w:rsidRPr="00D229A2">
              <w:rPr>
                <w:rFonts w:eastAsia="Calibri" w:cs="Times New Roman"/>
              </w:rPr>
              <w:t>PER_6</w:t>
            </w:r>
          </w:p>
        </w:tc>
        <w:tc>
          <w:tcPr>
            <w:tcW w:w="1735" w:type="dxa"/>
            <w:gridSpan w:val="7"/>
            <w:tcBorders>
              <w:top w:val="nil"/>
              <w:left w:val="nil"/>
              <w:bottom w:val="nil"/>
              <w:right w:val="nil"/>
            </w:tcBorders>
            <w:shd w:val="clear" w:color="000000" w:fill="FFFFFF"/>
            <w:noWrap/>
            <w:vAlign w:val="center"/>
            <w:hideMark/>
          </w:tcPr>
          <w:p w14:paraId="645270C8" w14:textId="77777777" w:rsidR="00D229A2" w:rsidRPr="00D229A2" w:rsidRDefault="00D229A2" w:rsidP="00D229A2">
            <w:pPr>
              <w:spacing w:after="0" w:line="240" w:lineRule="auto"/>
              <w:rPr>
                <w:rFonts w:eastAsia="Calibri" w:cs="Times New Roman"/>
              </w:rPr>
            </w:pPr>
            <w:r w:rsidRPr="00D229A2">
              <w:rPr>
                <w:rFonts w:eastAsia="Calibri" w:cs="Times New Roman"/>
              </w:rPr>
              <w:t>0.873</w:t>
            </w:r>
          </w:p>
        </w:tc>
        <w:tc>
          <w:tcPr>
            <w:tcW w:w="1395" w:type="dxa"/>
            <w:gridSpan w:val="4"/>
            <w:tcBorders>
              <w:top w:val="nil"/>
              <w:left w:val="nil"/>
              <w:bottom w:val="nil"/>
              <w:right w:val="nil"/>
            </w:tcBorders>
            <w:shd w:val="clear" w:color="000000" w:fill="FFFFFF"/>
            <w:noWrap/>
            <w:hideMark/>
          </w:tcPr>
          <w:p w14:paraId="49BD8412"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06807119"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087F754C"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682114F2" w14:textId="77777777" w:rsidTr="00FE7743">
        <w:trPr>
          <w:gridAfter w:val="1"/>
          <w:wAfter w:w="311" w:type="dxa"/>
          <w:trHeight w:val="312"/>
        </w:trPr>
        <w:tc>
          <w:tcPr>
            <w:tcW w:w="3566" w:type="dxa"/>
            <w:gridSpan w:val="7"/>
            <w:tcBorders>
              <w:top w:val="nil"/>
              <w:left w:val="nil"/>
              <w:bottom w:val="nil"/>
              <w:right w:val="nil"/>
            </w:tcBorders>
            <w:shd w:val="clear" w:color="000000" w:fill="FFFFFF"/>
            <w:noWrap/>
            <w:hideMark/>
          </w:tcPr>
          <w:p w14:paraId="161E9C22" w14:textId="77777777" w:rsidR="00D229A2" w:rsidRPr="00D229A2" w:rsidRDefault="00D229A2" w:rsidP="00D229A2">
            <w:pPr>
              <w:spacing w:after="0" w:line="240" w:lineRule="auto"/>
              <w:rPr>
                <w:rFonts w:eastAsia="Calibri" w:cs="Times New Roman"/>
                <w:i/>
                <w:iCs/>
              </w:rPr>
            </w:pPr>
            <w:r w:rsidRPr="00D229A2">
              <w:rPr>
                <w:rFonts w:eastAsia="Calibri" w:cs="Times New Roman"/>
                <w:i/>
                <w:iCs/>
              </w:rPr>
              <w:t xml:space="preserve">Job engagement </w:t>
            </w:r>
          </w:p>
        </w:tc>
        <w:tc>
          <w:tcPr>
            <w:tcW w:w="1432" w:type="dxa"/>
            <w:gridSpan w:val="6"/>
            <w:tcBorders>
              <w:top w:val="nil"/>
              <w:left w:val="nil"/>
              <w:bottom w:val="nil"/>
              <w:right w:val="nil"/>
            </w:tcBorders>
            <w:shd w:val="clear" w:color="000000" w:fill="FFFFFF"/>
            <w:noWrap/>
            <w:vAlign w:val="center"/>
            <w:hideMark/>
          </w:tcPr>
          <w:p w14:paraId="2F58859E"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735" w:type="dxa"/>
            <w:gridSpan w:val="7"/>
            <w:tcBorders>
              <w:top w:val="nil"/>
              <w:left w:val="nil"/>
              <w:bottom w:val="nil"/>
              <w:right w:val="nil"/>
            </w:tcBorders>
            <w:shd w:val="clear" w:color="000000" w:fill="FFFFFF"/>
            <w:noWrap/>
            <w:vAlign w:val="center"/>
            <w:hideMark/>
          </w:tcPr>
          <w:p w14:paraId="720AB9E4"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395" w:type="dxa"/>
            <w:gridSpan w:val="4"/>
            <w:tcBorders>
              <w:top w:val="nil"/>
              <w:left w:val="nil"/>
              <w:bottom w:val="nil"/>
              <w:right w:val="nil"/>
            </w:tcBorders>
            <w:shd w:val="clear" w:color="000000" w:fill="FFFFFF"/>
            <w:noWrap/>
            <w:hideMark/>
          </w:tcPr>
          <w:p w14:paraId="208A4236" w14:textId="77777777" w:rsidR="00D229A2" w:rsidRPr="00D229A2" w:rsidRDefault="00D229A2" w:rsidP="00D229A2">
            <w:pPr>
              <w:spacing w:after="0" w:line="240" w:lineRule="auto"/>
              <w:rPr>
                <w:rFonts w:eastAsia="Calibri" w:cs="Times New Roman"/>
              </w:rPr>
            </w:pPr>
            <w:r w:rsidRPr="00D229A2">
              <w:rPr>
                <w:rFonts w:eastAsia="Calibri" w:cs="Times New Roman"/>
              </w:rPr>
              <w:t>0.954</w:t>
            </w:r>
          </w:p>
        </w:tc>
        <w:tc>
          <w:tcPr>
            <w:tcW w:w="1016" w:type="dxa"/>
            <w:gridSpan w:val="3"/>
            <w:tcBorders>
              <w:top w:val="nil"/>
              <w:left w:val="nil"/>
              <w:bottom w:val="nil"/>
              <w:right w:val="nil"/>
            </w:tcBorders>
            <w:shd w:val="clear" w:color="000000" w:fill="FFFFFF"/>
            <w:noWrap/>
            <w:hideMark/>
          </w:tcPr>
          <w:p w14:paraId="731AD81F" w14:textId="77777777" w:rsidR="00D229A2" w:rsidRPr="00D229A2" w:rsidRDefault="00D229A2" w:rsidP="00D229A2">
            <w:pPr>
              <w:spacing w:after="0" w:line="240" w:lineRule="auto"/>
              <w:rPr>
                <w:rFonts w:eastAsia="Calibri" w:cs="Times New Roman"/>
              </w:rPr>
            </w:pPr>
            <w:r w:rsidRPr="00D229A2">
              <w:rPr>
                <w:rFonts w:eastAsia="Calibri" w:cs="Times New Roman"/>
              </w:rPr>
              <w:t>0.963</w:t>
            </w:r>
          </w:p>
        </w:tc>
        <w:tc>
          <w:tcPr>
            <w:tcW w:w="1185" w:type="dxa"/>
            <w:gridSpan w:val="3"/>
            <w:tcBorders>
              <w:top w:val="nil"/>
              <w:left w:val="nil"/>
              <w:bottom w:val="nil"/>
              <w:right w:val="nil"/>
            </w:tcBorders>
            <w:shd w:val="clear" w:color="000000" w:fill="FFFFFF"/>
            <w:noWrap/>
            <w:hideMark/>
          </w:tcPr>
          <w:p w14:paraId="67E21A8A" w14:textId="77777777" w:rsidR="00D229A2" w:rsidRPr="00D229A2" w:rsidRDefault="00D229A2" w:rsidP="00D229A2">
            <w:pPr>
              <w:spacing w:after="0" w:line="240" w:lineRule="auto"/>
              <w:rPr>
                <w:rFonts w:eastAsia="Calibri" w:cs="Times New Roman"/>
              </w:rPr>
            </w:pPr>
            <w:r w:rsidRPr="00D229A2">
              <w:rPr>
                <w:rFonts w:eastAsia="Calibri" w:cs="Times New Roman"/>
              </w:rPr>
              <w:t>0.813</w:t>
            </w:r>
          </w:p>
        </w:tc>
      </w:tr>
      <w:tr w:rsidR="00D229A2" w:rsidRPr="00D229A2" w14:paraId="6B9A1C30" w14:textId="77777777" w:rsidTr="00FE7743">
        <w:trPr>
          <w:gridAfter w:val="1"/>
          <w:wAfter w:w="311" w:type="dxa"/>
          <w:trHeight w:val="658"/>
        </w:trPr>
        <w:tc>
          <w:tcPr>
            <w:tcW w:w="3566" w:type="dxa"/>
            <w:gridSpan w:val="7"/>
            <w:tcBorders>
              <w:top w:val="nil"/>
              <w:left w:val="nil"/>
              <w:bottom w:val="nil"/>
              <w:right w:val="nil"/>
            </w:tcBorders>
            <w:shd w:val="clear" w:color="000000" w:fill="FFFFFF"/>
            <w:hideMark/>
          </w:tcPr>
          <w:p w14:paraId="582D6892" w14:textId="77777777" w:rsidR="00D229A2" w:rsidRPr="00D229A2" w:rsidRDefault="00D229A2" w:rsidP="00D229A2">
            <w:pPr>
              <w:spacing w:after="0" w:line="240" w:lineRule="auto"/>
              <w:rPr>
                <w:rFonts w:eastAsia="Calibri" w:cs="Times New Roman"/>
              </w:rPr>
            </w:pPr>
            <w:r w:rsidRPr="00D229A2">
              <w:rPr>
                <w:rFonts w:eastAsia="Calibri" w:cs="Times New Roman"/>
              </w:rPr>
              <w:lastRenderedPageBreak/>
              <w:t xml:space="preserve">Being a member of this organization is very captivating. </w:t>
            </w:r>
          </w:p>
        </w:tc>
        <w:tc>
          <w:tcPr>
            <w:tcW w:w="1432" w:type="dxa"/>
            <w:gridSpan w:val="6"/>
            <w:tcBorders>
              <w:top w:val="nil"/>
              <w:left w:val="nil"/>
              <w:bottom w:val="nil"/>
              <w:right w:val="nil"/>
            </w:tcBorders>
            <w:shd w:val="clear" w:color="000000" w:fill="FFFFFF"/>
            <w:noWrap/>
            <w:vAlign w:val="center"/>
            <w:hideMark/>
          </w:tcPr>
          <w:p w14:paraId="61118F04" w14:textId="77777777" w:rsidR="00D229A2" w:rsidRPr="00D229A2" w:rsidRDefault="00D229A2" w:rsidP="00D229A2">
            <w:pPr>
              <w:spacing w:after="0" w:line="240" w:lineRule="auto"/>
              <w:rPr>
                <w:rFonts w:eastAsia="Calibri" w:cs="Times New Roman"/>
              </w:rPr>
            </w:pPr>
            <w:r w:rsidRPr="00D229A2">
              <w:rPr>
                <w:rFonts w:eastAsia="Calibri" w:cs="Times New Roman"/>
              </w:rPr>
              <w:t>EGMNT_1</w:t>
            </w:r>
          </w:p>
        </w:tc>
        <w:tc>
          <w:tcPr>
            <w:tcW w:w="1735" w:type="dxa"/>
            <w:gridSpan w:val="7"/>
            <w:tcBorders>
              <w:top w:val="nil"/>
              <w:left w:val="nil"/>
              <w:bottom w:val="nil"/>
              <w:right w:val="nil"/>
            </w:tcBorders>
            <w:shd w:val="clear" w:color="000000" w:fill="FFFFFF"/>
            <w:noWrap/>
            <w:vAlign w:val="center"/>
            <w:hideMark/>
          </w:tcPr>
          <w:p w14:paraId="79A86E75" w14:textId="77777777" w:rsidR="00D229A2" w:rsidRPr="00D229A2" w:rsidRDefault="00D229A2" w:rsidP="00D229A2">
            <w:pPr>
              <w:spacing w:after="0" w:line="240" w:lineRule="auto"/>
              <w:rPr>
                <w:rFonts w:eastAsia="Calibri" w:cs="Times New Roman"/>
              </w:rPr>
            </w:pPr>
            <w:r w:rsidRPr="00D229A2">
              <w:rPr>
                <w:rFonts w:eastAsia="Calibri" w:cs="Times New Roman"/>
              </w:rPr>
              <w:t>0.913</w:t>
            </w:r>
          </w:p>
        </w:tc>
        <w:tc>
          <w:tcPr>
            <w:tcW w:w="1395" w:type="dxa"/>
            <w:gridSpan w:val="4"/>
            <w:tcBorders>
              <w:top w:val="nil"/>
              <w:left w:val="nil"/>
              <w:bottom w:val="nil"/>
              <w:right w:val="nil"/>
            </w:tcBorders>
            <w:shd w:val="clear" w:color="000000" w:fill="FFFFFF"/>
            <w:noWrap/>
            <w:hideMark/>
          </w:tcPr>
          <w:p w14:paraId="4DA26ED2"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6B8252EA"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01B3D90B"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6F85025A" w14:textId="77777777" w:rsidTr="00FE7743">
        <w:trPr>
          <w:gridAfter w:val="1"/>
          <w:wAfter w:w="311" w:type="dxa"/>
          <w:trHeight w:val="622"/>
        </w:trPr>
        <w:tc>
          <w:tcPr>
            <w:tcW w:w="3566" w:type="dxa"/>
            <w:gridSpan w:val="7"/>
            <w:tcBorders>
              <w:top w:val="nil"/>
              <w:left w:val="nil"/>
              <w:bottom w:val="nil"/>
              <w:right w:val="nil"/>
            </w:tcBorders>
            <w:shd w:val="clear" w:color="000000" w:fill="FFFFFF"/>
            <w:hideMark/>
          </w:tcPr>
          <w:p w14:paraId="12384931" w14:textId="77777777" w:rsidR="00D229A2" w:rsidRPr="00D229A2" w:rsidRDefault="00D229A2" w:rsidP="00D229A2">
            <w:pPr>
              <w:spacing w:after="0" w:line="240" w:lineRule="auto"/>
              <w:rPr>
                <w:rFonts w:eastAsia="Calibri" w:cs="Times New Roman"/>
              </w:rPr>
            </w:pPr>
            <w:r w:rsidRPr="00D229A2">
              <w:rPr>
                <w:rFonts w:eastAsia="Calibri" w:cs="Times New Roman"/>
              </w:rPr>
              <w:t xml:space="preserve">I am really into the “goings-on” in this organization. </w:t>
            </w:r>
          </w:p>
        </w:tc>
        <w:tc>
          <w:tcPr>
            <w:tcW w:w="1432" w:type="dxa"/>
            <w:gridSpan w:val="6"/>
            <w:tcBorders>
              <w:top w:val="nil"/>
              <w:left w:val="nil"/>
              <w:bottom w:val="nil"/>
              <w:right w:val="nil"/>
            </w:tcBorders>
            <w:shd w:val="clear" w:color="000000" w:fill="FFFFFF"/>
            <w:noWrap/>
            <w:vAlign w:val="center"/>
            <w:hideMark/>
          </w:tcPr>
          <w:p w14:paraId="145C88A3" w14:textId="77777777" w:rsidR="00D229A2" w:rsidRPr="00D229A2" w:rsidRDefault="00D229A2" w:rsidP="00D229A2">
            <w:pPr>
              <w:spacing w:after="0" w:line="240" w:lineRule="auto"/>
              <w:rPr>
                <w:rFonts w:eastAsia="Calibri" w:cs="Times New Roman"/>
              </w:rPr>
            </w:pPr>
            <w:r w:rsidRPr="00D229A2">
              <w:rPr>
                <w:rFonts w:eastAsia="Calibri" w:cs="Times New Roman"/>
              </w:rPr>
              <w:t>EGMNT_2</w:t>
            </w:r>
          </w:p>
        </w:tc>
        <w:tc>
          <w:tcPr>
            <w:tcW w:w="1735" w:type="dxa"/>
            <w:gridSpan w:val="7"/>
            <w:tcBorders>
              <w:top w:val="nil"/>
              <w:left w:val="nil"/>
              <w:bottom w:val="nil"/>
              <w:right w:val="nil"/>
            </w:tcBorders>
            <w:shd w:val="clear" w:color="000000" w:fill="FFFFFF"/>
            <w:noWrap/>
            <w:vAlign w:val="center"/>
            <w:hideMark/>
          </w:tcPr>
          <w:p w14:paraId="3CF292A8" w14:textId="77777777" w:rsidR="00D229A2" w:rsidRPr="00D229A2" w:rsidRDefault="00D229A2" w:rsidP="00D229A2">
            <w:pPr>
              <w:spacing w:after="0" w:line="240" w:lineRule="auto"/>
              <w:rPr>
                <w:rFonts w:eastAsia="Calibri" w:cs="Times New Roman"/>
              </w:rPr>
            </w:pPr>
            <w:r w:rsidRPr="00D229A2">
              <w:rPr>
                <w:rFonts w:eastAsia="Calibri" w:cs="Times New Roman"/>
              </w:rPr>
              <w:t>0.857</w:t>
            </w:r>
          </w:p>
        </w:tc>
        <w:tc>
          <w:tcPr>
            <w:tcW w:w="1395" w:type="dxa"/>
            <w:gridSpan w:val="4"/>
            <w:tcBorders>
              <w:top w:val="nil"/>
              <w:left w:val="nil"/>
              <w:bottom w:val="nil"/>
              <w:right w:val="nil"/>
            </w:tcBorders>
            <w:shd w:val="clear" w:color="000000" w:fill="FFFFFF"/>
            <w:noWrap/>
            <w:hideMark/>
          </w:tcPr>
          <w:p w14:paraId="40F10EC6"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7AD0904D"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2E3CDA07"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4160D40E" w14:textId="77777777" w:rsidTr="00FE7743">
        <w:trPr>
          <w:gridAfter w:val="1"/>
          <w:wAfter w:w="311" w:type="dxa"/>
          <w:trHeight w:val="911"/>
        </w:trPr>
        <w:tc>
          <w:tcPr>
            <w:tcW w:w="3566" w:type="dxa"/>
            <w:gridSpan w:val="7"/>
            <w:tcBorders>
              <w:top w:val="nil"/>
              <w:left w:val="nil"/>
              <w:bottom w:val="nil"/>
              <w:right w:val="nil"/>
            </w:tcBorders>
            <w:shd w:val="clear" w:color="000000" w:fill="FFFFFF"/>
            <w:hideMark/>
          </w:tcPr>
          <w:p w14:paraId="5CB81F4B" w14:textId="77777777" w:rsidR="00D229A2" w:rsidRPr="00D229A2" w:rsidRDefault="00D229A2" w:rsidP="00D229A2">
            <w:pPr>
              <w:spacing w:after="0" w:line="240" w:lineRule="auto"/>
              <w:rPr>
                <w:rFonts w:eastAsia="Calibri" w:cs="Times New Roman"/>
              </w:rPr>
            </w:pPr>
            <w:r w:rsidRPr="00D229A2">
              <w:rPr>
                <w:rFonts w:eastAsia="Calibri" w:cs="Times New Roman"/>
              </w:rPr>
              <w:t xml:space="preserve">Being a member of this organization makes me come “alive”. </w:t>
            </w:r>
          </w:p>
        </w:tc>
        <w:tc>
          <w:tcPr>
            <w:tcW w:w="1432" w:type="dxa"/>
            <w:gridSpan w:val="6"/>
            <w:tcBorders>
              <w:top w:val="nil"/>
              <w:left w:val="nil"/>
              <w:bottom w:val="nil"/>
              <w:right w:val="nil"/>
            </w:tcBorders>
            <w:shd w:val="clear" w:color="000000" w:fill="FFFFFF"/>
            <w:noWrap/>
            <w:vAlign w:val="center"/>
            <w:hideMark/>
          </w:tcPr>
          <w:p w14:paraId="1E956FF7" w14:textId="77777777" w:rsidR="00D229A2" w:rsidRPr="00D229A2" w:rsidRDefault="00D229A2" w:rsidP="00D229A2">
            <w:pPr>
              <w:spacing w:after="0" w:line="240" w:lineRule="auto"/>
              <w:rPr>
                <w:rFonts w:eastAsia="Calibri" w:cs="Times New Roman"/>
              </w:rPr>
            </w:pPr>
            <w:r w:rsidRPr="00D229A2">
              <w:rPr>
                <w:rFonts w:eastAsia="Calibri" w:cs="Times New Roman"/>
              </w:rPr>
              <w:t>EGMNT_3</w:t>
            </w:r>
          </w:p>
        </w:tc>
        <w:tc>
          <w:tcPr>
            <w:tcW w:w="1735" w:type="dxa"/>
            <w:gridSpan w:val="7"/>
            <w:tcBorders>
              <w:top w:val="nil"/>
              <w:left w:val="nil"/>
              <w:bottom w:val="nil"/>
              <w:right w:val="nil"/>
            </w:tcBorders>
            <w:shd w:val="clear" w:color="000000" w:fill="FFFFFF"/>
            <w:noWrap/>
            <w:vAlign w:val="center"/>
            <w:hideMark/>
          </w:tcPr>
          <w:p w14:paraId="65F529E6" w14:textId="77777777" w:rsidR="00D229A2" w:rsidRPr="00D229A2" w:rsidRDefault="00D229A2" w:rsidP="00D229A2">
            <w:pPr>
              <w:spacing w:after="0" w:line="240" w:lineRule="auto"/>
              <w:rPr>
                <w:rFonts w:eastAsia="Calibri" w:cs="Times New Roman"/>
              </w:rPr>
            </w:pPr>
            <w:r w:rsidRPr="00D229A2">
              <w:rPr>
                <w:rFonts w:eastAsia="Calibri" w:cs="Times New Roman"/>
              </w:rPr>
              <w:t>0.927</w:t>
            </w:r>
          </w:p>
        </w:tc>
        <w:tc>
          <w:tcPr>
            <w:tcW w:w="1395" w:type="dxa"/>
            <w:gridSpan w:val="4"/>
            <w:tcBorders>
              <w:top w:val="nil"/>
              <w:left w:val="nil"/>
              <w:bottom w:val="nil"/>
              <w:right w:val="nil"/>
            </w:tcBorders>
            <w:shd w:val="clear" w:color="000000" w:fill="FFFFFF"/>
            <w:noWrap/>
            <w:hideMark/>
          </w:tcPr>
          <w:p w14:paraId="09554E39"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28A6A93D"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1CB75C68"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2085DD00" w14:textId="77777777" w:rsidTr="00FE7743">
        <w:trPr>
          <w:gridAfter w:val="1"/>
          <w:wAfter w:w="311" w:type="dxa"/>
          <w:trHeight w:val="938"/>
        </w:trPr>
        <w:tc>
          <w:tcPr>
            <w:tcW w:w="3566" w:type="dxa"/>
            <w:gridSpan w:val="7"/>
            <w:tcBorders>
              <w:top w:val="nil"/>
              <w:left w:val="nil"/>
              <w:bottom w:val="nil"/>
              <w:right w:val="nil"/>
            </w:tcBorders>
            <w:shd w:val="clear" w:color="000000" w:fill="FFFFFF"/>
            <w:hideMark/>
          </w:tcPr>
          <w:p w14:paraId="3AB3E17F" w14:textId="77777777" w:rsidR="00D229A2" w:rsidRPr="00D229A2" w:rsidRDefault="00D229A2" w:rsidP="00D229A2">
            <w:pPr>
              <w:spacing w:after="0" w:line="240" w:lineRule="auto"/>
              <w:rPr>
                <w:rFonts w:eastAsia="Calibri" w:cs="Times New Roman"/>
              </w:rPr>
            </w:pPr>
            <w:r w:rsidRPr="00D229A2">
              <w:rPr>
                <w:rFonts w:eastAsia="Calibri" w:cs="Times New Roman"/>
              </w:rPr>
              <w:t>Being a member of this organization is exhilarating for me.</w:t>
            </w:r>
          </w:p>
        </w:tc>
        <w:tc>
          <w:tcPr>
            <w:tcW w:w="1432" w:type="dxa"/>
            <w:gridSpan w:val="6"/>
            <w:tcBorders>
              <w:top w:val="nil"/>
              <w:left w:val="nil"/>
              <w:bottom w:val="nil"/>
              <w:right w:val="nil"/>
            </w:tcBorders>
            <w:shd w:val="clear" w:color="000000" w:fill="FFFFFF"/>
            <w:noWrap/>
            <w:vAlign w:val="center"/>
            <w:hideMark/>
          </w:tcPr>
          <w:p w14:paraId="21DE98C2" w14:textId="77777777" w:rsidR="00D229A2" w:rsidRPr="00D229A2" w:rsidRDefault="00D229A2" w:rsidP="00D229A2">
            <w:pPr>
              <w:spacing w:after="0" w:line="240" w:lineRule="auto"/>
              <w:rPr>
                <w:rFonts w:eastAsia="Calibri" w:cs="Times New Roman"/>
              </w:rPr>
            </w:pPr>
            <w:r w:rsidRPr="00D229A2">
              <w:rPr>
                <w:rFonts w:eastAsia="Calibri" w:cs="Times New Roman"/>
              </w:rPr>
              <w:t>EGMNT_4</w:t>
            </w:r>
          </w:p>
        </w:tc>
        <w:tc>
          <w:tcPr>
            <w:tcW w:w="1735" w:type="dxa"/>
            <w:gridSpan w:val="7"/>
            <w:tcBorders>
              <w:top w:val="nil"/>
              <w:left w:val="nil"/>
              <w:bottom w:val="nil"/>
              <w:right w:val="nil"/>
            </w:tcBorders>
            <w:shd w:val="clear" w:color="000000" w:fill="FFFFFF"/>
            <w:noWrap/>
            <w:vAlign w:val="center"/>
            <w:hideMark/>
          </w:tcPr>
          <w:p w14:paraId="73971939" w14:textId="77777777" w:rsidR="00D229A2" w:rsidRPr="00D229A2" w:rsidRDefault="00D229A2" w:rsidP="00D229A2">
            <w:pPr>
              <w:spacing w:after="0" w:line="240" w:lineRule="auto"/>
              <w:rPr>
                <w:rFonts w:eastAsia="Calibri" w:cs="Times New Roman"/>
              </w:rPr>
            </w:pPr>
            <w:r w:rsidRPr="00D229A2">
              <w:rPr>
                <w:rFonts w:eastAsia="Calibri" w:cs="Times New Roman"/>
              </w:rPr>
              <w:t>0.914</w:t>
            </w:r>
          </w:p>
        </w:tc>
        <w:tc>
          <w:tcPr>
            <w:tcW w:w="1395" w:type="dxa"/>
            <w:gridSpan w:val="4"/>
            <w:tcBorders>
              <w:top w:val="nil"/>
              <w:left w:val="nil"/>
              <w:bottom w:val="nil"/>
              <w:right w:val="nil"/>
            </w:tcBorders>
            <w:shd w:val="clear" w:color="000000" w:fill="FFFFFF"/>
            <w:noWrap/>
            <w:hideMark/>
          </w:tcPr>
          <w:p w14:paraId="06AF9C3E"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1A09A5CE"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7F2A9AE9"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12C93C15" w14:textId="77777777" w:rsidTr="00FE7743">
        <w:trPr>
          <w:gridAfter w:val="1"/>
          <w:wAfter w:w="311" w:type="dxa"/>
          <w:trHeight w:val="625"/>
        </w:trPr>
        <w:tc>
          <w:tcPr>
            <w:tcW w:w="3566" w:type="dxa"/>
            <w:gridSpan w:val="7"/>
            <w:tcBorders>
              <w:top w:val="nil"/>
              <w:left w:val="nil"/>
              <w:bottom w:val="nil"/>
              <w:right w:val="nil"/>
            </w:tcBorders>
            <w:shd w:val="clear" w:color="000000" w:fill="FFFFFF"/>
            <w:hideMark/>
          </w:tcPr>
          <w:p w14:paraId="4A7C0252" w14:textId="77777777" w:rsidR="00D229A2" w:rsidRPr="00D229A2" w:rsidRDefault="00D229A2" w:rsidP="00D229A2">
            <w:pPr>
              <w:spacing w:after="0" w:line="240" w:lineRule="auto"/>
              <w:rPr>
                <w:rFonts w:eastAsia="Calibri" w:cs="Times New Roman"/>
              </w:rPr>
            </w:pPr>
            <w:r w:rsidRPr="00D229A2">
              <w:rPr>
                <w:rFonts w:eastAsia="Calibri" w:cs="Times New Roman"/>
              </w:rPr>
              <w:t>I am highly engaged in this organization.</w:t>
            </w:r>
          </w:p>
        </w:tc>
        <w:tc>
          <w:tcPr>
            <w:tcW w:w="1432" w:type="dxa"/>
            <w:gridSpan w:val="6"/>
            <w:tcBorders>
              <w:top w:val="nil"/>
              <w:left w:val="nil"/>
              <w:bottom w:val="nil"/>
              <w:right w:val="nil"/>
            </w:tcBorders>
            <w:shd w:val="clear" w:color="000000" w:fill="FFFFFF"/>
            <w:noWrap/>
            <w:vAlign w:val="center"/>
            <w:hideMark/>
          </w:tcPr>
          <w:p w14:paraId="1271DBE8" w14:textId="77777777" w:rsidR="00D229A2" w:rsidRPr="00D229A2" w:rsidRDefault="00D229A2" w:rsidP="00D229A2">
            <w:pPr>
              <w:spacing w:after="0" w:line="240" w:lineRule="auto"/>
              <w:rPr>
                <w:rFonts w:eastAsia="Calibri" w:cs="Times New Roman"/>
              </w:rPr>
            </w:pPr>
            <w:r w:rsidRPr="00D229A2">
              <w:rPr>
                <w:rFonts w:eastAsia="Calibri" w:cs="Times New Roman"/>
              </w:rPr>
              <w:t>EGMNT_5</w:t>
            </w:r>
          </w:p>
        </w:tc>
        <w:tc>
          <w:tcPr>
            <w:tcW w:w="1735" w:type="dxa"/>
            <w:gridSpan w:val="7"/>
            <w:tcBorders>
              <w:top w:val="nil"/>
              <w:left w:val="nil"/>
              <w:bottom w:val="nil"/>
              <w:right w:val="nil"/>
            </w:tcBorders>
            <w:shd w:val="clear" w:color="000000" w:fill="FFFFFF"/>
            <w:noWrap/>
            <w:vAlign w:val="center"/>
            <w:hideMark/>
          </w:tcPr>
          <w:p w14:paraId="350E1E23" w14:textId="77777777" w:rsidR="00D229A2" w:rsidRPr="00D229A2" w:rsidRDefault="00D229A2" w:rsidP="00D229A2">
            <w:pPr>
              <w:spacing w:after="0" w:line="240" w:lineRule="auto"/>
              <w:rPr>
                <w:rFonts w:eastAsia="Calibri" w:cs="Times New Roman"/>
              </w:rPr>
            </w:pPr>
            <w:r w:rsidRPr="00D229A2">
              <w:rPr>
                <w:rFonts w:eastAsia="Calibri" w:cs="Times New Roman"/>
              </w:rPr>
              <w:t>0.914</w:t>
            </w:r>
          </w:p>
        </w:tc>
        <w:tc>
          <w:tcPr>
            <w:tcW w:w="1395" w:type="dxa"/>
            <w:gridSpan w:val="4"/>
            <w:tcBorders>
              <w:top w:val="nil"/>
              <w:left w:val="nil"/>
              <w:bottom w:val="nil"/>
              <w:right w:val="nil"/>
            </w:tcBorders>
            <w:shd w:val="clear" w:color="000000" w:fill="FFFFFF"/>
            <w:noWrap/>
            <w:hideMark/>
          </w:tcPr>
          <w:p w14:paraId="79A6E9CC"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13642316"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03A2ACBB"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19E2F40C" w14:textId="77777777" w:rsidTr="00FE7743">
        <w:trPr>
          <w:gridAfter w:val="1"/>
          <w:wAfter w:w="311" w:type="dxa"/>
          <w:trHeight w:val="749"/>
        </w:trPr>
        <w:tc>
          <w:tcPr>
            <w:tcW w:w="3566" w:type="dxa"/>
            <w:gridSpan w:val="7"/>
            <w:tcBorders>
              <w:top w:val="nil"/>
              <w:left w:val="nil"/>
              <w:bottom w:val="nil"/>
              <w:right w:val="nil"/>
            </w:tcBorders>
            <w:shd w:val="clear" w:color="000000" w:fill="FFFFFF"/>
            <w:hideMark/>
          </w:tcPr>
          <w:p w14:paraId="4D12A34E" w14:textId="77777777" w:rsidR="00D229A2" w:rsidRPr="00D229A2" w:rsidRDefault="00D229A2" w:rsidP="00D229A2">
            <w:pPr>
              <w:spacing w:after="0" w:line="240" w:lineRule="auto"/>
              <w:rPr>
                <w:rFonts w:eastAsia="Calibri" w:cs="Times New Roman"/>
              </w:rPr>
            </w:pPr>
            <w:r w:rsidRPr="00D229A2">
              <w:rPr>
                <w:rFonts w:eastAsia="Calibri" w:cs="Times New Roman"/>
              </w:rPr>
              <w:t>I am committed to this organization.</w:t>
            </w:r>
          </w:p>
        </w:tc>
        <w:tc>
          <w:tcPr>
            <w:tcW w:w="1432" w:type="dxa"/>
            <w:gridSpan w:val="6"/>
            <w:tcBorders>
              <w:top w:val="nil"/>
              <w:left w:val="nil"/>
              <w:bottom w:val="nil"/>
              <w:right w:val="nil"/>
            </w:tcBorders>
            <w:shd w:val="clear" w:color="000000" w:fill="FFFFFF"/>
            <w:noWrap/>
            <w:vAlign w:val="center"/>
            <w:hideMark/>
          </w:tcPr>
          <w:p w14:paraId="5F0FD195" w14:textId="77777777" w:rsidR="00D229A2" w:rsidRPr="00D229A2" w:rsidRDefault="00D229A2" w:rsidP="00D229A2">
            <w:pPr>
              <w:spacing w:after="0" w:line="240" w:lineRule="auto"/>
              <w:rPr>
                <w:rFonts w:eastAsia="Calibri" w:cs="Times New Roman"/>
              </w:rPr>
            </w:pPr>
            <w:r w:rsidRPr="00D229A2">
              <w:rPr>
                <w:rFonts w:eastAsia="Calibri" w:cs="Times New Roman"/>
              </w:rPr>
              <w:t>EGMNT_6</w:t>
            </w:r>
          </w:p>
        </w:tc>
        <w:tc>
          <w:tcPr>
            <w:tcW w:w="1735" w:type="dxa"/>
            <w:gridSpan w:val="7"/>
            <w:tcBorders>
              <w:top w:val="nil"/>
              <w:left w:val="nil"/>
              <w:bottom w:val="nil"/>
              <w:right w:val="nil"/>
            </w:tcBorders>
            <w:shd w:val="clear" w:color="000000" w:fill="FFFFFF"/>
            <w:noWrap/>
            <w:vAlign w:val="center"/>
            <w:hideMark/>
          </w:tcPr>
          <w:p w14:paraId="7CE830B2" w14:textId="77777777" w:rsidR="00D229A2" w:rsidRPr="00D229A2" w:rsidRDefault="00D229A2" w:rsidP="00D229A2">
            <w:pPr>
              <w:spacing w:after="0" w:line="240" w:lineRule="auto"/>
              <w:rPr>
                <w:rFonts w:eastAsia="Calibri" w:cs="Times New Roman"/>
              </w:rPr>
            </w:pPr>
            <w:r w:rsidRPr="00D229A2">
              <w:rPr>
                <w:rFonts w:eastAsia="Calibri" w:cs="Times New Roman"/>
              </w:rPr>
              <w:t>0.884</w:t>
            </w:r>
          </w:p>
        </w:tc>
        <w:tc>
          <w:tcPr>
            <w:tcW w:w="1395" w:type="dxa"/>
            <w:gridSpan w:val="4"/>
            <w:tcBorders>
              <w:top w:val="nil"/>
              <w:left w:val="nil"/>
              <w:bottom w:val="nil"/>
              <w:right w:val="nil"/>
            </w:tcBorders>
            <w:shd w:val="clear" w:color="000000" w:fill="FFFFFF"/>
            <w:noWrap/>
            <w:hideMark/>
          </w:tcPr>
          <w:p w14:paraId="72A10842"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26C6C5E3"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32A25D52"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7DAFF8C7" w14:textId="77777777" w:rsidTr="00FE7743">
        <w:trPr>
          <w:gridAfter w:val="1"/>
          <w:wAfter w:w="311" w:type="dxa"/>
          <w:trHeight w:val="312"/>
        </w:trPr>
        <w:tc>
          <w:tcPr>
            <w:tcW w:w="3566" w:type="dxa"/>
            <w:gridSpan w:val="7"/>
            <w:tcBorders>
              <w:top w:val="nil"/>
              <w:left w:val="nil"/>
              <w:bottom w:val="nil"/>
              <w:right w:val="nil"/>
            </w:tcBorders>
            <w:shd w:val="clear" w:color="000000" w:fill="FFFFFF"/>
            <w:noWrap/>
            <w:hideMark/>
          </w:tcPr>
          <w:p w14:paraId="32B9415C" w14:textId="77777777" w:rsidR="00D229A2" w:rsidRPr="00D229A2" w:rsidRDefault="00D229A2" w:rsidP="00D229A2">
            <w:pPr>
              <w:spacing w:after="0" w:line="240" w:lineRule="auto"/>
              <w:rPr>
                <w:rFonts w:eastAsia="Calibri" w:cs="Times New Roman"/>
                <w:i/>
                <w:iCs/>
              </w:rPr>
            </w:pPr>
            <w:r w:rsidRPr="00D229A2">
              <w:rPr>
                <w:rFonts w:eastAsia="Calibri" w:cs="Times New Roman"/>
                <w:i/>
                <w:iCs/>
              </w:rPr>
              <w:t>Turnover Intention</w:t>
            </w:r>
          </w:p>
        </w:tc>
        <w:tc>
          <w:tcPr>
            <w:tcW w:w="1432" w:type="dxa"/>
            <w:gridSpan w:val="6"/>
            <w:tcBorders>
              <w:top w:val="nil"/>
              <w:left w:val="nil"/>
              <w:bottom w:val="nil"/>
              <w:right w:val="nil"/>
            </w:tcBorders>
            <w:shd w:val="clear" w:color="000000" w:fill="FFFFFF"/>
            <w:noWrap/>
            <w:vAlign w:val="center"/>
            <w:hideMark/>
          </w:tcPr>
          <w:p w14:paraId="080D2777"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735" w:type="dxa"/>
            <w:gridSpan w:val="7"/>
            <w:tcBorders>
              <w:top w:val="nil"/>
              <w:left w:val="nil"/>
              <w:bottom w:val="nil"/>
              <w:right w:val="nil"/>
            </w:tcBorders>
            <w:shd w:val="clear" w:color="000000" w:fill="FFFFFF"/>
            <w:noWrap/>
            <w:vAlign w:val="center"/>
            <w:hideMark/>
          </w:tcPr>
          <w:p w14:paraId="7BAFA6D1"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395" w:type="dxa"/>
            <w:gridSpan w:val="4"/>
            <w:tcBorders>
              <w:top w:val="nil"/>
              <w:left w:val="nil"/>
              <w:bottom w:val="nil"/>
              <w:right w:val="nil"/>
            </w:tcBorders>
            <w:shd w:val="clear" w:color="000000" w:fill="FFFFFF"/>
            <w:noWrap/>
            <w:hideMark/>
          </w:tcPr>
          <w:p w14:paraId="1C9F8EAC" w14:textId="77777777" w:rsidR="00D229A2" w:rsidRPr="00D229A2" w:rsidRDefault="00D229A2" w:rsidP="00D229A2">
            <w:pPr>
              <w:spacing w:after="0" w:line="240" w:lineRule="auto"/>
              <w:rPr>
                <w:rFonts w:eastAsia="Calibri" w:cs="Times New Roman"/>
              </w:rPr>
            </w:pPr>
            <w:r w:rsidRPr="00D229A2">
              <w:rPr>
                <w:rFonts w:eastAsia="Calibri" w:cs="Times New Roman"/>
              </w:rPr>
              <w:t>0.946</w:t>
            </w:r>
          </w:p>
        </w:tc>
        <w:tc>
          <w:tcPr>
            <w:tcW w:w="1016" w:type="dxa"/>
            <w:gridSpan w:val="3"/>
            <w:tcBorders>
              <w:top w:val="nil"/>
              <w:left w:val="nil"/>
              <w:bottom w:val="nil"/>
              <w:right w:val="nil"/>
            </w:tcBorders>
            <w:shd w:val="clear" w:color="000000" w:fill="FFFFFF"/>
            <w:noWrap/>
            <w:hideMark/>
          </w:tcPr>
          <w:p w14:paraId="303121F2" w14:textId="77777777" w:rsidR="00D229A2" w:rsidRPr="00D229A2" w:rsidRDefault="00D229A2" w:rsidP="00D229A2">
            <w:pPr>
              <w:spacing w:after="0" w:line="240" w:lineRule="auto"/>
              <w:rPr>
                <w:rFonts w:eastAsia="Calibri" w:cs="Times New Roman"/>
              </w:rPr>
            </w:pPr>
            <w:r w:rsidRPr="00D229A2">
              <w:rPr>
                <w:rFonts w:eastAsia="Calibri" w:cs="Times New Roman"/>
              </w:rPr>
              <w:t>0.961</w:t>
            </w:r>
          </w:p>
        </w:tc>
        <w:tc>
          <w:tcPr>
            <w:tcW w:w="1185" w:type="dxa"/>
            <w:gridSpan w:val="3"/>
            <w:tcBorders>
              <w:top w:val="nil"/>
              <w:left w:val="nil"/>
              <w:bottom w:val="nil"/>
              <w:right w:val="nil"/>
            </w:tcBorders>
            <w:shd w:val="clear" w:color="000000" w:fill="FFFFFF"/>
            <w:noWrap/>
            <w:hideMark/>
          </w:tcPr>
          <w:p w14:paraId="67F00300" w14:textId="77777777" w:rsidR="00D229A2" w:rsidRPr="00D229A2" w:rsidRDefault="00D229A2" w:rsidP="00D229A2">
            <w:pPr>
              <w:spacing w:after="0" w:line="240" w:lineRule="auto"/>
              <w:rPr>
                <w:rFonts w:eastAsia="Calibri" w:cs="Times New Roman"/>
              </w:rPr>
            </w:pPr>
            <w:r w:rsidRPr="00D229A2">
              <w:rPr>
                <w:rFonts w:eastAsia="Calibri" w:cs="Times New Roman"/>
              </w:rPr>
              <w:t>0.861</w:t>
            </w:r>
          </w:p>
        </w:tc>
      </w:tr>
      <w:tr w:rsidR="00D229A2" w:rsidRPr="00D229A2" w14:paraId="6A4D4209" w14:textId="77777777" w:rsidTr="00FE7743">
        <w:trPr>
          <w:gridAfter w:val="1"/>
          <w:wAfter w:w="311" w:type="dxa"/>
          <w:trHeight w:val="920"/>
        </w:trPr>
        <w:tc>
          <w:tcPr>
            <w:tcW w:w="3566" w:type="dxa"/>
            <w:gridSpan w:val="7"/>
            <w:tcBorders>
              <w:top w:val="nil"/>
              <w:left w:val="nil"/>
              <w:bottom w:val="nil"/>
              <w:right w:val="nil"/>
            </w:tcBorders>
            <w:shd w:val="clear" w:color="000000" w:fill="FFFFFF"/>
            <w:hideMark/>
          </w:tcPr>
          <w:p w14:paraId="62E7EC11" w14:textId="77777777" w:rsidR="00D229A2" w:rsidRPr="00D229A2" w:rsidRDefault="00D229A2" w:rsidP="00D229A2">
            <w:pPr>
              <w:spacing w:after="0" w:line="240" w:lineRule="auto"/>
              <w:rPr>
                <w:rFonts w:eastAsia="Calibri" w:cs="Times New Roman"/>
              </w:rPr>
            </w:pPr>
            <w:r w:rsidRPr="00D229A2">
              <w:rPr>
                <w:rFonts w:eastAsia="Calibri" w:cs="Times New Roman"/>
              </w:rPr>
              <w:t>I am starting to ask my friends/contacts about other job possibilities.</w:t>
            </w:r>
          </w:p>
        </w:tc>
        <w:tc>
          <w:tcPr>
            <w:tcW w:w="1432" w:type="dxa"/>
            <w:gridSpan w:val="6"/>
            <w:tcBorders>
              <w:top w:val="nil"/>
              <w:left w:val="nil"/>
              <w:bottom w:val="nil"/>
              <w:right w:val="nil"/>
            </w:tcBorders>
            <w:shd w:val="clear" w:color="000000" w:fill="FFFFFF"/>
            <w:noWrap/>
            <w:vAlign w:val="center"/>
            <w:hideMark/>
          </w:tcPr>
          <w:p w14:paraId="76583917" w14:textId="77777777" w:rsidR="00D229A2" w:rsidRPr="00D229A2" w:rsidRDefault="00D229A2" w:rsidP="00D229A2">
            <w:pPr>
              <w:spacing w:after="0" w:line="240" w:lineRule="auto"/>
              <w:rPr>
                <w:rFonts w:eastAsia="Calibri" w:cs="Times New Roman"/>
              </w:rPr>
            </w:pPr>
            <w:r w:rsidRPr="00D229A2">
              <w:rPr>
                <w:rFonts w:eastAsia="Calibri" w:cs="Times New Roman"/>
              </w:rPr>
              <w:t>TURNI_1</w:t>
            </w:r>
          </w:p>
        </w:tc>
        <w:tc>
          <w:tcPr>
            <w:tcW w:w="1735" w:type="dxa"/>
            <w:gridSpan w:val="7"/>
            <w:tcBorders>
              <w:top w:val="nil"/>
              <w:left w:val="nil"/>
              <w:bottom w:val="nil"/>
              <w:right w:val="nil"/>
            </w:tcBorders>
            <w:shd w:val="clear" w:color="000000" w:fill="FFFFFF"/>
            <w:noWrap/>
            <w:vAlign w:val="center"/>
            <w:hideMark/>
          </w:tcPr>
          <w:p w14:paraId="31931D4B" w14:textId="77777777" w:rsidR="00D229A2" w:rsidRPr="00D229A2" w:rsidRDefault="00D229A2" w:rsidP="00D229A2">
            <w:pPr>
              <w:spacing w:after="0" w:line="240" w:lineRule="auto"/>
              <w:rPr>
                <w:rFonts w:eastAsia="Calibri" w:cs="Times New Roman"/>
              </w:rPr>
            </w:pPr>
            <w:r w:rsidRPr="00D229A2">
              <w:rPr>
                <w:rFonts w:eastAsia="Calibri" w:cs="Times New Roman"/>
              </w:rPr>
              <w:t>0.913</w:t>
            </w:r>
          </w:p>
        </w:tc>
        <w:tc>
          <w:tcPr>
            <w:tcW w:w="1395" w:type="dxa"/>
            <w:gridSpan w:val="4"/>
            <w:tcBorders>
              <w:top w:val="nil"/>
              <w:left w:val="nil"/>
              <w:bottom w:val="nil"/>
              <w:right w:val="nil"/>
            </w:tcBorders>
            <w:shd w:val="clear" w:color="000000" w:fill="FFFFFF"/>
            <w:noWrap/>
            <w:hideMark/>
          </w:tcPr>
          <w:p w14:paraId="73D79C7C"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319B43DF"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2C87A18C"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2B34D11C" w14:textId="77777777" w:rsidTr="00FE7743">
        <w:trPr>
          <w:gridAfter w:val="1"/>
          <w:wAfter w:w="311" w:type="dxa"/>
          <w:trHeight w:val="625"/>
        </w:trPr>
        <w:tc>
          <w:tcPr>
            <w:tcW w:w="3566" w:type="dxa"/>
            <w:gridSpan w:val="7"/>
            <w:tcBorders>
              <w:top w:val="nil"/>
              <w:left w:val="nil"/>
              <w:bottom w:val="nil"/>
              <w:right w:val="nil"/>
            </w:tcBorders>
            <w:shd w:val="clear" w:color="000000" w:fill="FFFFFF"/>
            <w:hideMark/>
          </w:tcPr>
          <w:p w14:paraId="30EB4CBB" w14:textId="77777777" w:rsidR="00D229A2" w:rsidRPr="00D229A2" w:rsidRDefault="00D229A2" w:rsidP="00D229A2">
            <w:pPr>
              <w:spacing w:after="0" w:line="240" w:lineRule="auto"/>
              <w:rPr>
                <w:rFonts w:eastAsia="Calibri" w:cs="Times New Roman"/>
              </w:rPr>
            </w:pPr>
            <w:r w:rsidRPr="00D229A2">
              <w:rPr>
                <w:rFonts w:eastAsia="Calibri" w:cs="Times New Roman"/>
              </w:rPr>
              <w:t>I am thinking about quitting my job.</w:t>
            </w:r>
          </w:p>
        </w:tc>
        <w:tc>
          <w:tcPr>
            <w:tcW w:w="1432" w:type="dxa"/>
            <w:gridSpan w:val="6"/>
            <w:tcBorders>
              <w:top w:val="nil"/>
              <w:left w:val="nil"/>
              <w:bottom w:val="nil"/>
              <w:right w:val="nil"/>
            </w:tcBorders>
            <w:shd w:val="clear" w:color="000000" w:fill="FFFFFF"/>
            <w:noWrap/>
            <w:vAlign w:val="center"/>
            <w:hideMark/>
          </w:tcPr>
          <w:p w14:paraId="4DEB6645" w14:textId="77777777" w:rsidR="00D229A2" w:rsidRPr="00D229A2" w:rsidRDefault="00D229A2" w:rsidP="00D229A2">
            <w:pPr>
              <w:spacing w:after="0" w:line="240" w:lineRule="auto"/>
              <w:rPr>
                <w:rFonts w:eastAsia="Calibri" w:cs="Times New Roman"/>
              </w:rPr>
            </w:pPr>
            <w:r w:rsidRPr="00D229A2">
              <w:rPr>
                <w:rFonts w:eastAsia="Calibri" w:cs="Times New Roman"/>
              </w:rPr>
              <w:t>TURNI_2</w:t>
            </w:r>
          </w:p>
        </w:tc>
        <w:tc>
          <w:tcPr>
            <w:tcW w:w="1735" w:type="dxa"/>
            <w:gridSpan w:val="7"/>
            <w:tcBorders>
              <w:top w:val="nil"/>
              <w:left w:val="nil"/>
              <w:bottom w:val="nil"/>
              <w:right w:val="nil"/>
            </w:tcBorders>
            <w:shd w:val="clear" w:color="000000" w:fill="FFFFFF"/>
            <w:noWrap/>
            <w:vAlign w:val="center"/>
            <w:hideMark/>
          </w:tcPr>
          <w:p w14:paraId="5ABF31B7" w14:textId="77777777" w:rsidR="00D229A2" w:rsidRPr="00D229A2" w:rsidRDefault="00D229A2" w:rsidP="00D229A2">
            <w:pPr>
              <w:spacing w:after="0" w:line="240" w:lineRule="auto"/>
              <w:rPr>
                <w:rFonts w:eastAsia="Calibri" w:cs="Times New Roman"/>
              </w:rPr>
            </w:pPr>
            <w:r w:rsidRPr="00D229A2">
              <w:rPr>
                <w:rFonts w:eastAsia="Calibri" w:cs="Times New Roman"/>
              </w:rPr>
              <w:t>0.954</w:t>
            </w:r>
          </w:p>
        </w:tc>
        <w:tc>
          <w:tcPr>
            <w:tcW w:w="1395" w:type="dxa"/>
            <w:gridSpan w:val="4"/>
            <w:tcBorders>
              <w:top w:val="nil"/>
              <w:left w:val="nil"/>
              <w:bottom w:val="nil"/>
              <w:right w:val="nil"/>
            </w:tcBorders>
            <w:shd w:val="clear" w:color="000000" w:fill="FFFFFF"/>
            <w:noWrap/>
            <w:hideMark/>
          </w:tcPr>
          <w:p w14:paraId="73E332B6"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6E1D6C45"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79CF9284"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0E590DEC" w14:textId="77777777" w:rsidTr="00FE7743">
        <w:trPr>
          <w:gridAfter w:val="1"/>
          <w:wAfter w:w="311" w:type="dxa"/>
          <w:trHeight w:val="613"/>
        </w:trPr>
        <w:tc>
          <w:tcPr>
            <w:tcW w:w="3566" w:type="dxa"/>
            <w:gridSpan w:val="7"/>
            <w:tcBorders>
              <w:top w:val="nil"/>
              <w:left w:val="nil"/>
              <w:bottom w:val="nil"/>
              <w:right w:val="nil"/>
            </w:tcBorders>
            <w:shd w:val="clear" w:color="000000" w:fill="FFFFFF"/>
            <w:hideMark/>
          </w:tcPr>
          <w:p w14:paraId="2446DC17" w14:textId="77777777" w:rsidR="00D229A2" w:rsidRPr="00D229A2" w:rsidRDefault="00D229A2" w:rsidP="00D229A2">
            <w:pPr>
              <w:spacing w:after="0" w:line="240" w:lineRule="auto"/>
              <w:rPr>
                <w:rFonts w:eastAsia="Calibri" w:cs="Times New Roman"/>
              </w:rPr>
            </w:pPr>
            <w:r w:rsidRPr="00D229A2">
              <w:rPr>
                <w:rFonts w:eastAsia="Calibri" w:cs="Times New Roman"/>
              </w:rPr>
              <w:t>I intend to leave this company within the next six months.</w:t>
            </w:r>
          </w:p>
        </w:tc>
        <w:tc>
          <w:tcPr>
            <w:tcW w:w="1432" w:type="dxa"/>
            <w:gridSpan w:val="6"/>
            <w:tcBorders>
              <w:top w:val="nil"/>
              <w:left w:val="nil"/>
              <w:bottom w:val="nil"/>
              <w:right w:val="nil"/>
            </w:tcBorders>
            <w:shd w:val="clear" w:color="000000" w:fill="FFFFFF"/>
            <w:noWrap/>
            <w:vAlign w:val="center"/>
            <w:hideMark/>
          </w:tcPr>
          <w:p w14:paraId="4D762BAE" w14:textId="77777777" w:rsidR="00D229A2" w:rsidRPr="00D229A2" w:rsidRDefault="00D229A2" w:rsidP="00D229A2">
            <w:pPr>
              <w:spacing w:after="0" w:line="240" w:lineRule="auto"/>
              <w:rPr>
                <w:rFonts w:eastAsia="Calibri" w:cs="Times New Roman"/>
              </w:rPr>
            </w:pPr>
            <w:r w:rsidRPr="00D229A2">
              <w:rPr>
                <w:rFonts w:eastAsia="Calibri" w:cs="Times New Roman"/>
              </w:rPr>
              <w:t>TURNI_3</w:t>
            </w:r>
          </w:p>
        </w:tc>
        <w:tc>
          <w:tcPr>
            <w:tcW w:w="1735" w:type="dxa"/>
            <w:gridSpan w:val="7"/>
            <w:tcBorders>
              <w:top w:val="nil"/>
              <w:left w:val="nil"/>
              <w:bottom w:val="nil"/>
              <w:right w:val="nil"/>
            </w:tcBorders>
            <w:shd w:val="clear" w:color="000000" w:fill="FFFFFF"/>
            <w:noWrap/>
            <w:vAlign w:val="center"/>
            <w:hideMark/>
          </w:tcPr>
          <w:p w14:paraId="49769D6F" w14:textId="77777777" w:rsidR="00D229A2" w:rsidRPr="00D229A2" w:rsidRDefault="00D229A2" w:rsidP="00D229A2">
            <w:pPr>
              <w:spacing w:after="0" w:line="240" w:lineRule="auto"/>
              <w:rPr>
                <w:rFonts w:eastAsia="Calibri" w:cs="Times New Roman"/>
              </w:rPr>
            </w:pPr>
            <w:r w:rsidRPr="00D229A2">
              <w:rPr>
                <w:rFonts w:eastAsia="Calibri" w:cs="Times New Roman"/>
              </w:rPr>
              <w:t>0.921</w:t>
            </w:r>
          </w:p>
        </w:tc>
        <w:tc>
          <w:tcPr>
            <w:tcW w:w="1395" w:type="dxa"/>
            <w:gridSpan w:val="4"/>
            <w:tcBorders>
              <w:top w:val="nil"/>
              <w:left w:val="nil"/>
              <w:bottom w:val="nil"/>
              <w:right w:val="nil"/>
            </w:tcBorders>
            <w:shd w:val="clear" w:color="000000" w:fill="FFFFFF"/>
            <w:noWrap/>
            <w:hideMark/>
          </w:tcPr>
          <w:p w14:paraId="66828264"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nil"/>
              <w:right w:val="nil"/>
            </w:tcBorders>
            <w:shd w:val="clear" w:color="000000" w:fill="FFFFFF"/>
            <w:noWrap/>
            <w:hideMark/>
          </w:tcPr>
          <w:p w14:paraId="37D112B7"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nil"/>
              <w:right w:val="nil"/>
            </w:tcBorders>
            <w:shd w:val="clear" w:color="000000" w:fill="FFFFFF"/>
            <w:noWrap/>
            <w:hideMark/>
          </w:tcPr>
          <w:p w14:paraId="6AC7CEE5"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342BC0FF" w14:textId="77777777" w:rsidTr="00FE7743">
        <w:trPr>
          <w:gridAfter w:val="1"/>
          <w:wAfter w:w="311" w:type="dxa"/>
          <w:trHeight w:val="749"/>
        </w:trPr>
        <w:tc>
          <w:tcPr>
            <w:tcW w:w="3566" w:type="dxa"/>
            <w:gridSpan w:val="7"/>
            <w:tcBorders>
              <w:top w:val="nil"/>
              <w:left w:val="nil"/>
              <w:bottom w:val="single" w:sz="4" w:space="0" w:color="auto"/>
              <w:right w:val="nil"/>
            </w:tcBorders>
            <w:shd w:val="clear" w:color="000000" w:fill="FFFFFF"/>
            <w:hideMark/>
          </w:tcPr>
          <w:p w14:paraId="0977CB6A" w14:textId="77777777" w:rsidR="00D229A2" w:rsidRPr="00D229A2" w:rsidRDefault="00D229A2" w:rsidP="00D229A2">
            <w:pPr>
              <w:spacing w:after="0" w:line="240" w:lineRule="auto"/>
              <w:rPr>
                <w:rFonts w:eastAsia="Calibri" w:cs="Times New Roman"/>
              </w:rPr>
            </w:pPr>
            <w:r w:rsidRPr="00D229A2">
              <w:rPr>
                <w:rFonts w:eastAsia="Calibri" w:cs="Times New Roman"/>
              </w:rPr>
              <w:t>I often look to see if positions in other firms are open.</w:t>
            </w:r>
          </w:p>
        </w:tc>
        <w:tc>
          <w:tcPr>
            <w:tcW w:w="1432" w:type="dxa"/>
            <w:gridSpan w:val="6"/>
            <w:tcBorders>
              <w:top w:val="nil"/>
              <w:left w:val="nil"/>
              <w:bottom w:val="single" w:sz="4" w:space="0" w:color="auto"/>
              <w:right w:val="nil"/>
            </w:tcBorders>
            <w:shd w:val="clear" w:color="000000" w:fill="FFFFFF"/>
            <w:noWrap/>
            <w:vAlign w:val="center"/>
            <w:hideMark/>
          </w:tcPr>
          <w:p w14:paraId="53C34938" w14:textId="77777777" w:rsidR="00D229A2" w:rsidRPr="00D229A2" w:rsidRDefault="00D229A2" w:rsidP="00D229A2">
            <w:pPr>
              <w:spacing w:after="0" w:line="240" w:lineRule="auto"/>
              <w:rPr>
                <w:rFonts w:eastAsia="Calibri" w:cs="Times New Roman"/>
              </w:rPr>
            </w:pPr>
            <w:r w:rsidRPr="00D229A2">
              <w:rPr>
                <w:rFonts w:eastAsia="Calibri" w:cs="Times New Roman"/>
              </w:rPr>
              <w:t>TURNI_4</w:t>
            </w:r>
          </w:p>
        </w:tc>
        <w:tc>
          <w:tcPr>
            <w:tcW w:w="1735" w:type="dxa"/>
            <w:gridSpan w:val="7"/>
            <w:tcBorders>
              <w:top w:val="nil"/>
              <w:left w:val="nil"/>
              <w:bottom w:val="single" w:sz="4" w:space="0" w:color="auto"/>
              <w:right w:val="nil"/>
            </w:tcBorders>
            <w:shd w:val="clear" w:color="000000" w:fill="FFFFFF"/>
            <w:noWrap/>
            <w:vAlign w:val="center"/>
            <w:hideMark/>
          </w:tcPr>
          <w:p w14:paraId="05DCCD87" w14:textId="77777777" w:rsidR="00D229A2" w:rsidRPr="00D229A2" w:rsidRDefault="00D229A2" w:rsidP="00D229A2">
            <w:pPr>
              <w:spacing w:after="0" w:line="240" w:lineRule="auto"/>
              <w:rPr>
                <w:rFonts w:eastAsia="Calibri" w:cs="Times New Roman"/>
              </w:rPr>
            </w:pPr>
            <w:r w:rsidRPr="00D229A2">
              <w:rPr>
                <w:rFonts w:eastAsia="Calibri" w:cs="Times New Roman"/>
              </w:rPr>
              <w:t>0.923</w:t>
            </w:r>
          </w:p>
        </w:tc>
        <w:tc>
          <w:tcPr>
            <w:tcW w:w="1395" w:type="dxa"/>
            <w:gridSpan w:val="4"/>
            <w:tcBorders>
              <w:top w:val="nil"/>
              <w:left w:val="nil"/>
              <w:bottom w:val="single" w:sz="4" w:space="0" w:color="auto"/>
              <w:right w:val="nil"/>
            </w:tcBorders>
            <w:shd w:val="clear" w:color="000000" w:fill="FFFFFF"/>
            <w:noWrap/>
            <w:hideMark/>
          </w:tcPr>
          <w:p w14:paraId="02C561E7"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16" w:type="dxa"/>
            <w:gridSpan w:val="3"/>
            <w:tcBorders>
              <w:top w:val="nil"/>
              <w:left w:val="nil"/>
              <w:bottom w:val="single" w:sz="4" w:space="0" w:color="auto"/>
              <w:right w:val="nil"/>
            </w:tcBorders>
            <w:shd w:val="clear" w:color="000000" w:fill="FFFFFF"/>
            <w:noWrap/>
            <w:hideMark/>
          </w:tcPr>
          <w:p w14:paraId="694994AF"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185" w:type="dxa"/>
            <w:gridSpan w:val="3"/>
            <w:tcBorders>
              <w:top w:val="nil"/>
              <w:left w:val="nil"/>
              <w:bottom w:val="single" w:sz="4" w:space="0" w:color="auto"/>
              <w:right w:val="nil"/>
            </w:tcBorders>
            <w:shd w:val="clear" w:color="000000" w:fill="FFFFFF"/>
            <w:noWrap/>
            <w:hideMark/>
          </w:tcPr>
          <w:p w14:paraId="46D9FF81"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09ED6062" w14:textId="77777777" w:rsidTr="00FE7743">
        <w:trPr>
          <w:gridAfter w:val="2"/>
          <w:wAfter w:w="643" w:type="dxa"/>
          <w:trHeight w:val="351"/>
        </w:trPr>
        <w:tc>
          <w:tcPr>
            <w:tcW w:w="4429" w:type="dxa"/>
            <w:gridSpan w:val="11"/>
            <w:tcBorders>
              <w:top w:val="nil"/>
              <w:left w:val="nil"/>
              <w:right w:val="nil"/>
            </w:tcBorders>
            <w:shd w:val="clear" w:color="000000" w:fill="FFFFFF"/>
            <w:noWrap/>
            <w:vAlign w:val="bottom"/>
            <w:hideMark/>
          </w:tcPr>
          <w:p w14:paraId="0D97B4E8" w14:textId="77777777" w:rsidR="00D229A2" w:rsidRPr="00D229A2" w:rsidRDefault="00D229A2" w:rsidP="00D229A2">
            <w:pPr>
              <w:spacing w:after="0" w:line="240" w:lineRule="auto"/>
              <w:rPr>
                <w:rFonts w:eastAsia="Calibri" w:cs="Times New Roman"/>
              </w:rPr>
            </w:pPr>
          </w:p>
          <w:p w14:paraId="1003D996" w14:textId="77777777" w:rsidR="00D229A2" w:rsidRPr="00D229A2" w:rsidRDefault="00D229A2" w:rsidP="00D229A2">
            <w:pPr>
              <w:spacing w:after="0" w:line="240" w:lineRule="auto"/>
              <w:rPr>
                <w:rFonts w:eastAsia="Calibri" w:cs="Times New Roman"/>
              </w:rPr>
            </w:pPr>
          </w:p>
        </w:tc>
        <w:tc>
          <w:tcPr>
            <w:tcW w:w="1603" w:type="dxa"/>
            <w:gridSpan w:val="7"/>
            <w:tcBorders>
              <w:top w:val="nil"/>
              <w:left w:val="nil"/>
              <w:right w:val="nil"/>
            </w:tcBorders>
            <w:shd w:val="clear" w:color="000000" w:fill="FFFFFF"/>
            <w:noWrap/>
            <w:vAlign w:val="bottom"/>
            <w:hideMark/>
          </w:tcPr>
          <w:p w14:paraId="7EBF16E5"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2917" w:type="dxa"/>
            <w:gridSpan w:val="8"/>
            <w:tcBorders>
              <w:top w:val="nil"/>
              <w:left w:val="nil"/>
              <w:right w:val="nil"/>
            </w:tcBorders>
            <w:shd w:val="clear" w:color="000000" w:fill="FFFFFF"/>
            <w:noWrap/>
            <w:vAlign w:val="bottom"/>
            <w:hideMark/>
          </w:tcPr>
          <w:p w14:paraId="03DE535E"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c>
          <w:tcPr>
            <w:tcW w:w="1048" w:type="dxa"/>
            <w:gridSpan w:val="3"/>
            <w:tcBorders>
              <w:top w:val="nil"/>
              <w:left w:val="nil"/>
              <w:right w:val="nil"/>
            </w:tcBorders>
            <w:shd w:val="clear" w:color="000000" w:fill="FFFFFF"/>
            <w:noWrap/>
            <w:vAlign w:val="bottom"/>
            <w:hideMark/>
          </w:tcPr>
          <w:p w14:paraId="03310083" w14:textId="77777777" w:rsidR="00D229A2" w:rsidRPr="00D229A2" w:rsidRDefault="00D229A2" w:rsidP="00D229A2">
            <w:pPr>
              <w:spacing w:after="0" w:line="240" w:lineRule="auto"/>
              <w:rPr>
                <w:rFonts w:eastAsia="Calibri" w:cs="Times New Roman"/>
              </w:rPr>
            </w:pPr>
            <w:r w:rsidRPr="00D229A2">
              <w:rPr>
                <w:rFonts w:eastAsia="Calibri" w:cs="Times New Roman"/>
              </w:rPr>
              <w:t> </w:t>
            </w:r>
          </w:p>
        </w:tc>
      </w:tr>
      <w:tr w:rsidR="00D229A2" w:rsidRPr="00D229A2" w14:paraId="50BD97E9" w14:textId="77777777" w:rsidTr="00FE7743">
        <w:trPr>
          <w:gridAfter w:val="9"/>
          <w:wAfter w:w="3658" w:type="dxa"/>
          <w:trHeight w:val="312"/>
        </w:trPr>
        <w:tc>
          <w:tcPr>
            <w:tcW w:w="6982" w:type="dxa"/>
            <w:gridSpan w:val="22"/>
            <w:tcBorders>
              <w:top w:val="nil"/>
              <w:left w:val="nil"/>
              <w:bottom w:val="single" w:sz="4" w:space="0" w:color="auto"/>
              <w:right w:val="nil"/>
            </w:tcBorders>
            <w:shd w:val="clear" w:color="000000" w:fill="FFFFFF"/>
            <w:noWrap/>
            <w:vAlign w:val="bottom"/>
            <w:hideMark/>
          </w:tcPr>
          <w:p w14:paraId="72974B52" w14:textId="77777777" w:rsidR="00D229A2" w:rsidRPr="00D229A2" w:rsidRDefault="00D229A2" w:rsidP="00D229A2">
            <w:pPr>
              <w:spacing w:after="0" w:line="240" w:lineRule="auto"/>
              <w:rPr>
                <w:rFonts w:eastAsia="Times New Roman" w:cs="Times New Roman"/>
                <w:b/>
                <w:bCs/>
                <w:kern w:val="0"/>
                <w:szCs w:val="24"/>
                <w14:ligatures w14:val="none"/>
              </w:rPr>
            </w:pPr>
          </w:p>
          <w:p w14:paraId="313170B5" w14:textId="08F7CB5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b/>
                <w:bCs/>
                <w:kern w:val="0"/>
                <w:szCs w:val="24"/>
                <w14:ligatures w14:val="none"/>
              </w:rPr>
              <w:t>Table.</w:t>
            </w:r>
            <w:r w:rsidR="00F037FD">
              <w:rPr>
                <w:rFonts w:eastAsia="Times New Roman" w:cs="Times New Roman"/>
                <w:b/>
                <w:bCs/>
                <w:kern w:val="0"/>
                <w:szCs w:val="24"/>
                <w14:ligatures w14:val="none"/>
              </w:rPr>
              <w:t xml:space="preserve"> 11</w:t>
            </w:r>
            <w:r w:rsidRPr="00D229A2">
              <w:rPr>
                <w:rFonts w:eastAsia="Times New Roman" w:cs="Times New Roman"/>
                <w:b/>
                <w:bCs/>
                <w:kern w:val="0"/>
                <w:szCs w:val="24"/>
                <w14:ligatures w14:val="none"/>
              </w:rPr>
              <w:t>.</w:t>
            </w:r>
            <w:r w:rsidRPr="00D229A2">
              <w:rPr>
                <w:rFonts w:eastAsia="Times New Roman" w:cs="Times New Roman"/>
                <w:kern w:val="0"/>
                <w:szCs w:val="24"/>
                <w14:ligatures w14:val="none"/>
              </w:rPr>
              <w:t xml:space="preserve"> Fornell-Larcker Criterion</w:t>
            </w:r>
          </w:p>
        </w:tc>
      </w:tr>
      <w:tr w:rsidR="00D229A2" w:rsidRPr="00D229A2" w14:paraId="60AADEC8" w14:textId="77777777" w:rsidTr="00FE7743">
        <w:trPr>
          <w:gridAfter w:val="9"/>
          <w:wAfter w:w="3658" w:type="dxa"/>
          <w:trHeight w:val="312"/>
        </w:trPr>
        <w:tc>
          <w:tcPr>
            <w:tcW w:w="2135" w:type="dxa"/>
            <w:gridSpan w:val="2"/>
            <w:tcBorders>
              <w:top w:val="nil"/>
              <w:left w:val="nil"/>
              <w:bottom w:val="single" w:sz="4" w:space="0" w:color="auto"/>
              <w:right w:val="nil"/>
            </w:tcBorders>
            <w:shd w:val="clear" w:color="000000" w:fill="FFFFFF"/>
            <w:noWrap/>
            <w:vAlign w:val="bottom"/>
            <w:hideMark/>
          </w:tcPr>
          <w:p w14:paraId="14799C6A" w14:textId="77777777" w:rsidR="00D229A2" w:rsidRPr="00D229A2" w:rsidRDefault="00D229A2" w:rsidP="00D229A2">
            <w:pPr>
              <w:spacing w:after="0" w:line="240" w:lineRule="auto"/>
              <w:rPr>
                <w:rFonts w:eastAsia="Times New Roman" w:cs="Times New Roman"/>
                <w:b/>
                <w:bCs/>
                <w:kern w:val="0"/>
                <w:szCs w:val="24"/>
                <w14:ligatures w14:val="none"/>
              </w:rPr>
            </w:pPr>
            <w:r w:rsidRPr="00D229A2">
              <w:rPr>
                <w:rFonts w:eastAsia="Times New Roman" w:cs="Times New Roman"/>
                <w:b/>
                <w:bCs/>
                <w:kern w:val="0"/>
                <w:szCs w:val="24"/>
                <w14:ligatures w14:val="none"/>
              </w:rPr>
              <w:t>Variable</w:t>
            </w:r>
          </w:p>
        </w:tc>
        <w:tc>
          <w:tcPr>
            <w:tcW w:w="968" w:type="dxa"/>
            <w:gridSpan w:val="3"/>
            <w:tcBorders>
              <w:top w:val="nil"/>
              <w:left w:val="nil"/>
              <w:bottom w:val="single" w:sz="4" w:space="0" w:color="auto"/>
              <w:right w:val="nil"/>
            </w:tcBorders>
            <w:shd w:val="clear" w:color="000000" w:fill="FFFFFF"/>
            <w:noWrap/>
            <w:vAlign w:val="bottom"/>
            <w:hideMark/>
          </w:tcPr>
          <w:p w14:paraId="18724F06"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1</w:t>
            </w:r>
          </w:p>
        </w:tc>
        <w:tc>
          <w:tcPr>
            <w:tcW w:w="968" w:type="dxa"/>
            <w:gridSpan w:val="4"/>
            <w:tcBorders>
              <w:top w:val="nil"/>
              <w:left w:val="nil"/>
              <w:bottom w:val="single" w:sz="4" w:space="0" w:color="auto"/>
              <w:right w:val="nil"/>
            </w:tcBorders>
            <w:shd w:val="clear" w:color="000000" w:fill="FFFFFF"/>
            <w:noWrap/>
            <w:vAlign w:val="bottom"/>
            <w:hideMark/>
          </w:tcPr>
          <w:p w14:paraId="744E5BB7"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2</w:t>
            </w:r>
          </w:p>
        </w:tc>
        <w:tc>
          <w:tcPr>
            <w:tcW w:w="968" w:type="dxa"/>
            <w:gridSpan w:val="5"/>
            <w:tcBorders>
              <w:top w:val="nil"/>
              <w:left w:val="nil"/>
              <w:bottom w:val="single" w:sz="4" w:space="0" w:color="auto"/>
              <w:right w:val="nil"/>
            </w:tcBorders>
            <w:shd w:val="clear" w:color="000000" w:fill="FFFFFF"/>
            <w:noWrap/>
            <w:vAlign w:val="bottom"/>
            <w:hideMark/>
          </w:tcPr>
          <w:p w14:paraId="7D2160B5"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3</w:t>
            </w:r>
          </w:p>
        </w:tc>
        <w:tc>
          <w:tcPr>
            <w:tcW w:w="968" w:type="dxa"/>
            <w:gridSpan w:val="3"/>
            <w:tcBorders>
              <w:top w:val="nil"/>
              <w:left w:val="nil"/>
              <w:bottom w:val="single" w:sz="4" w:space="0" w:color="auto"/>
              <w:right w:val="nil"/>
            </w:tcBorders>
            <w:shd w:val="clear" w:color="000000" w:fill="FFFFFF"/>
            <w:noWrap/>
            <w:vAlign w:val="bottom"/>
            <w:hideMark/>
          </w:tcPr>
          <w:p w14:paraId="0487E8E2"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4</w:t>
            </w:r>
          </w:p>
        </w:tc>
        <w:tc>
          <w:tcPr>
            <w:tcW w:w="975" w:type="dxa"/>
            <w:gridSpan w:val="5"/>
            <w:tcBorders>
              <w:top w:val="nil"/>
              <w:left w:val="nil"/>
              <w:bottom w:val="single" w:sz="4" w:space="0" w:color="auto"/>
              <w:right w:val="nil"/>
            </w:tcBorders>
            <w:shd w:val="clear" w:color="000000" w:fill="FFFFFF"/>
            <w:noWrap/>
            <w:vAlign w:val="bottom"/>
            <w:hideMark/>
          </w:tcPr>
          <w:p w14:paraId="6CFDD395"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5</w:t>
            </w:r>
          </w:p>
        </w:tc>
      </w:tr>
      <w:tr w:rsidR="00D229A2" w:rsidRPr="00D229A2" w14:paraId="12DB2AFD" w14:textId="77777777" w:rsidTr="00FE7743">
        <w:trPr>
          <w:gridAfter w:val="9"/>
          <w:wAfter w:w="3658" w:type="dxa"/>
          <w:trHeight w:val="312"/>
        </w:trPr>
        <w:tc>
          <w:tcPr>
            <w:tcW w:w="2135" w:type="dxa"/>
            <w:gridSpan w:val="2"/>
            <w:tcBorders>
              <w:top w:val="nil"/>
              <w:left w:val="nil"/>
              <w:bottom w:val="nil"/>
              <w:right w:val="nil"/>
            </w:tcBorders>
            <w:shd w:val="clear" w:color="000000" w:fill="FFFFFF"/>
            <w:noWrap/>
            <w:hideMark/>
          </w:tcPr>
          <w:p w14:paraId="16318EFA"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Engagement (1)</w:t>
            </w:r>
          </w:p>
        </w:tc>
        <w:tc>
          <w:tcPr>
            <w:tcW w:w="968" w:type="dxa"/>
            <w:gridSpan w:val="3"/>
            <w:tcBorders>
              <w:top w:val="nil"/>
              <w:left w:val="nil"/>
              <w:bottom w:val="nil"/>
              <w:right w:val="nil"/>
            </w:tcBorders>
            <w:shd w:val="clear" w:color="000000" w:fill="FFFFFF"/>
            <w:hideMark/>
          </w:tcPr>
          <w:p w14:paraId="0646CB04"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0.902</w:t>
            </w:r>
          </w:p>
        </w:tc>
        <w:tc>
          <w:tcPr>
            <w:tcW w:w="968" w:type="dxa"/>
            <w:gridSpan w:val="4"/>
            <w:tcBorders>
              <w:top w:val="nil"/>
              <w:left w:val="nil"/>
              <w:bottom w:val="nil"/>
              <w:right w:val="nil"/>
            </w:tcBorders>
            <w:shd w:val="clear" w:color="000000" w:fill="FFFFFF"/>
            <w:hideMark/>
          </w:tcPr>
          <w:p w14:paraId="64E702C9"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968" w:type="dxa"/>
            <w:gridSpan w:val="5"/>
            <w:tcBorders>
              <w:top w:val="nil"/>
              <w:left w:val="nil"/>
              <w:bottom w:val="nil"/>
              <w:right w:val="nil"/>
            </w:tcBorders>
            <w:shd w:val="clear" w:color="000000" w:fill="FFFFFF"/>
            <w:hideMark/>
          </w:tcPr>
          <w:p w14:paraId="0D62CAEA"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968" w:type="dxa"/>
            <w:gridSpan w:val="3"/>
            <w:tcBorders>
              <w:top w:val="nil"/>
              <w:left w:val="nil"/>
              <w:bottom w:val="nil"/>
              <w:right w:val="nil"/>
            </w:tcBorders>
            <w:shd w:val="clear" w:color="000000" w:fill="FFFFFF"/>
            <w:hideMark/>
          </w:tcPr>
          <w:p w14:paraId="220F2A15"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975" w:type="dxa"/>
            <w:gridSpan w:val="5"/>
            <w:tcBorders>
              <w:top w:val="nil"/>
              <w:left w:val="nil"/>
              <w:bottom w:val="nil"/>
              <w:right w:val="nil"/>
            </w:tcBorders>
            <w:shd w:val="clear" w:color="000000" w:fill="FFFFFF"/>
            <w:hideMark/>
          </w:tcPr>
          <w:p w14:paraId="3ACE2E83"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r>
      <w:tr w:rsidR="00D229A2" w:rsidRPr="00D229A2" w14:paraId="31D53DB1" w14:textId="77777777" w:rsidTr="00FE7743">
        <w:trPr>
          <w:gridAfter w:val="9"/>
          <w:wAfter w:w="3658" w:type="dxa"/>
          <w:trHeight w:val="312"/>
        </w:trPr>
        <w:tc>
          <w:tcPr>
            <w:tcW w:w="2135" w:type="dxa"/>
            <w:gridSpan w:val="2"/>
            <w:tcBorders>
              <w:top w:val="nil"/>
              <w:left w:val="nil"/>
              <w:bottom w:val="nil"/>
              <w:right w:val="nil"/>
            </w:tcBorders>
            <w:shd w:val="clear" w:color="000000" w:fill="FFFFFF"/>
            <w:noWrap/>
            <w:hideMark/>
          </w:tcPr>
          <w:p w14:paraId="7D0CE5C0"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lastRenderedPageBreak/>
              <w:t>Justice (2)</w:t>
            </w:r>
          </w:p>
        </w:tc>
        <w:tc>
          <w:tcPr>
            <w:tcW w:w="968" w:type="dxa"/>
            <w:gridSpan w:val="3"/>
            <w:tcBorders>
              <w:top w:val="nil"/>
              <w:left w:val="nil"/>
              <w:bottom w:val="nil"/>
              <w:right w:val="nil"/>
            </w:tcBorders>
            <w:shd w:val="clear" w:color="000000" w:fill="FFFFFF"/>
            <w:hideMark/>
          </w:tcPr>
          <w:p w14:paraId="72D6FFA4"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0.589</w:t>
            </w:r>
          </w:p>
        </w:tc>
        <w:tc>
          <w:tcPr>
            <w:tcW w:w="968" w:type="dxa"/>
            <w:gridSpan w:val="4"/>
            <w:tcBorders>
              <w:top w:val="nil"/>
              <w:left w:val="nil"/>
              <w:bottom w:val="nil"/>
              <w:right w:val="nil"/>
            </w:tcBorders>
            <w:shd w:val="clear" w:color="000000" w:fill="FFFFFF"/>
            <w:hideMark/>
          </w:tcPr>
          <w:p w14:paraId="3D1A3163"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0.886</w:t>
            </w:r>
          </w:p>
        </w:tc>
        <w:tc>
          <w:tcPr>
            <w:tcW w:w="968" w:type="dxa"/>
            <w:gridSpan w:val="5"/>
            <w:tcBorders>
              <w:top w:val="nil"/>
              <w:left w:val="nil"/>
              <w:bottom w:val="nil"/>
              <w:right w:val="nil"/>
            </w:tcBorders>
            <w:shd w:val="clear" w:color="000000" w:fill="FFFFFF"/>
            <w:hideMark/>
          </w:tcPr>
          <w:p w14:paraId="30E571B7"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968" w:type="dxa"/>
            <w:gridSpan w:val="3"/>
            <w:tcBorders>
              <w:top w:val="nil"/>
              <w:left w:val="nil"/>
              <w:bottom w:val="nil"/>
              <w:right w:val="nil"/>
            </w:tcBorders>
            <w:shd w:val="clear" w:color="000000" w:fill="FFFFFF"/>
            <w:hideMark/>
          </w:tcPr>
          <w:p w14:paraId="6D484FA5"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975" w:type="dxa"/>
            <w:gridSpan w:val="5"/>
            <w:tcBorders>
              <w:top w:val="nil"/>
              <w:left w:val="nil"/>
              <w:bottom w:val="nil"/>
              <w:right w:val="nil"/>
            </w:tcBorders>
            <w:shd w:val="clear" w:color="000000" w:fill="FFFFFF"/>
            <w:hideMark/>
          </w:tcPr>
          <w:p w14:paraId="0A2468CD"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r>
      <w:tr w:rsidR="00D229A2" w:rsidRPr="00D229A2" w14:paraId="3DEB3D58" w14:textId="77777777" w:rsidTr="00FE7743">
        <w:trPr>
          <w:gridAfter w:val="9"/>
          <w:wAfter w:w="3658" w:type="dxa"/>
          <w:trHeight w:val="312"/>
        </w:trPr>
        <w:tc>
          <w:tcPr>
            <w:tcW w:w="2135" w:type="dxa"/>
            <w:gridSpan w:val="2"/>
            <w:tcBorders>
              <w:top w:val="nil"/>
              <w:left w:val="nil"/>
              <w:bottom w:val="nil"/>
              <w:right w:val="nil"/>
            </w:tcBorders>
            <w:shd w:val="clear" w:color="000000" w:fill="FFFFFF"/>
            <w:noWrap/>
            <w:hideMark/>
          </w:tcPr>
          <w:p w14:paraId="5CAC7223"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i/>
                <w:iCs/>
                <w:kern w:val="0"/>
                <w:szCs w:val="24"/>
                <w14:ligatures w14:val="none"/>
              </w:rPr>
              <w:t>PICLD</w:t>
            </w:r>
            <w:r w:rsidRPr="00D229A2">
              <w:rPr>
                <w:rFonts w:eastAsia="Times New Roman" w:cs="Times New Roman"/>
                <w:kern w:val="0"/>
                <w:szCs w:val="24"/>
                <w14:ligatures w14:val="none"/>
              </w:rPr>
              <w:t xml:space="preserve"> (3)</w:t>
            </w:r>
          </w:p>
        </w:tc>
        <w:tc>
          <w:tcPr>
            <w:tcW w:w="968" w:type="dxa"/>
            <w:gridSpan w:val="3"/>
            <w:tcBorders>
              <w:top w:val="nil"/>
              <w:left w:val="nil"/>
              <w:bottom w:val="nil"/>
              <w:right w:val="nil"/>
            </w:tcBorders>
            <w:shd w:val="clear" w:color="000000" w:fill="FFFFFF"/>
            <w:hideMark/>
          </w:tcPr>
          <w:p w14:paraId="5EA38374"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0.426</w:t>
            </w:r>
          </w:p>
        </w:tc>
        <w:tc>
          <w:tcPr>
            <w:tcW w:w="968" w:type="dxa"/>
            <w:gridSpan w:val="4"/>
            <w:tcBorders>
              <w:top w:val="nil"/>
              <w:left w:val="nil"/>
              <w:bottom w:val="nil"/>
              <w:right w:val="nil"/>
            </w:tcBorders>
            <w:shd w:val="clear" w:color="000000" w:fill="FFFFFF"/>
            <w:hideMark/>
          </w:tcPr>
          <w:p w14:paraId="41F6D1B5"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0.579</w:t>
            </w:r>
          </w:p>
        </w:tc>
        <w:tc>
          <w:tcPr>
            <w:tcW w:w="968" w:type="dxa"/>
            <w:gridSpan w:val="5"/>
            <w:tcBorders>
              <w:top w:val="nil"/>
              <w:left w:val="nil"/>
              <w:bottom w:val="nil"/>
              <w:right w:val="nil"/>
            </w:tcBorders>
            <w:shd w:val="clear" w:color="000000" w:fill="FFFFFF"/>
            <w:hideMark/>
          </w:tcPr>
          <w:p w14:paraId="34D7DB0E"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0.828</w:t>
            </w:r>
          </w:p>
        </w:tc>
        <w:tc>
          <w:tcPr>
            <w:tcW w:w="968" w:type="dxa"/>
            <w:gridSpan w:val="3"/>
            <w:tcBorders>
              <w:top w:val="nil"/>
              <w:left w:val="nil"/>
              <w:bottom w:val="nil"/>
              <w:right w:val="nil"/>
            </w:tcBorders>
            <w:shd w:val="clear" w:color="000000" w:fill="FFFFFF"/>
            <w:hideMark/>
          </w:tcPr>
          <w:p w14:paraId="57FB7ACE"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975" w:type="dxa"/>
            <w:gridSpan w:val="5"/>
            <w:tcBorders>
              <w:top w:val="nil"/>
              <w:left w:val="nil"/>
              <w:bottom w:val="nil"/>
              <w:right w:val="nil"/>
            </w:tcBorders>
            <w:shd w:val="clear" w:color="000000" w:fill="FFFFFF"/>
            <w:hideMark/>
          </w:tcPr>
          <w:p w14:paraId="65A31F0E"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r>
      <w:tr w:rsidR="00D229A2" w:rsidRPr="00D229A2" w14:paraId="766F9C3B" w14:textId="77777777" w:rsidTr="00FE7743">
        <w:trPr>
          <w:gridAfter w:val="9"/>
          <w:wAfter w:w="3658" w:type="dxa"/>
          <w:trHeight w:val="312"/>
        </w:trPr>
        <w:tc>
          <w:tcPr>
            <w:tcW w:w="2135" w:type="dxa"/>
            <w:gridSpan w:val="2"/>
            <w:tcBorders>
              <w:top w:val="nil"/>
              <w:left w:val="nil"/>
              <w:bottom w:val="nil"/>
              <w:right w:val="nil"/>
            </w:tcBorders>
            <w:shd w:val="clear" w:color="000000" w:fill="FFFFFF"/>
            <w:noWrap/>
            <w:hideMark/>
          </w:tcPr>
          <w:p w14:paraId="049D29F8"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Performance (4)</w:t>
            </w:r>
          </w:p>
        </w:tc>
        <w:tc>
          <w:tcPr>
            <w:tcW w:w="968" w:type="dxa"/>
            <w:gridSpan w:val="3"/>
            <w:tcBorders>
              <w:top w:val="nil"/>
              <w:left w:val="nil"/>
              <w:bottom w:val="nil"/>
              <w:right w:val="nil"/>
            </w:tcBorders>
            <w:shd w:val="clear" w:color="000000" w:fill="FFFFFF"/>
            <w:hideMark/>
          </w:tcPr>
          <w:p w14:paraId="1C5FD022"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0.173</w:t>
            </w:r>
          </w:p>
        </w:tc>
        <w:tc>
          <w:tcPr>
            <w:tcW w:w="968" w:type="dxa"/>
            <w:gridSpan w:val="4"/>
            <w:tcBorders>
              <w:top w:val="nil"/>
              <w:left w:val="nil"/>
              <w:bottom w:val="nil"/>
              <w:right w:val="nil"/>
            </w:tcBorders>
            <w:shd w:val="clear" w:color="000000" w:fill="FFFFFF"/>
            <w:hideMark/>
          </w:tcPr>
          <w:p w14:paraId="22C0754E"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0.240</w:t>
            </w:r>
          </w:p>
        </w:tc>
        <w:tc>
          <w:tcPr>
            <w:tcW w:w="968" w:type="dxa"/>
            <w:gridSpan w:val="5"/>
            <w:tcBorders>
              <w:top w:val="nil"/>
              <w:left w:val="nil"/>
              <w:bottom w:val="nil"/>
              <w:right w:val="nil"/>
            </w:tcBorders>
            <w:shd w:val="clear" w:color="000000" w:fill="FFFFFF"/>
            <w:hideMark/>
          </w:tcPr>
          <w:p w14:paraId="4C60F9B7"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0.415</w:t>
            </w:r>
          </w:p>
        </w:tc>
        <w:tc>
          <w:tcPr>
            <w:tcW w:w="968" w:type="dxa"/>
            <w:gridSpan w:val="3"/>
            <w:tcBorders>
              <w:top w:val="nil"/>
              <w:left w:val="nil"/>
              <w:bottom w:val="nil"/>
              <w:right w:val="nil"/>
            </w:tcBorders>
            <w:shd w:val="clear" w:color="000000" w:fill="FFFFFF"/>
            <w:hideMark/>
          </w:tcPr>
          <w:p w14:paraId="3F58CD27"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0.835</w:t>
            </w:r>
          </w:p>
        </w:tc>
        <w:tc>
          <w:tcPr>
            <w:tcW w:w="975" w:type="dxa"/>
            <w:gridSpan w:val="5"/>
            <w:tcBorders>
              <w:top w:val="nil"/>
              <w:left w:val="nil"/>
              <w:bottom w:val="nil"/>
              <w:right w:val="nil"/>
            </w:tcBorders>
            <w:shd w:val="clear" w:color="000000" w:fill="FFFFFF"/>
            <w:hideMark/>
          </w:tcPr>
          <w:p w14:paraId="4CC32BAE"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r>
      <w:tr w:rsidR="00D229A2" w:rsidRPr="00D229A2" w14:paraId="056DBB16" w14:textId="77777777" w:rsidTr="00FE7743">
        <w:trPr>
          <w:gridAfter w:val="9"/>
          <w:wAfter w:w="3658" w:type="dxa"/>
          <w:trHeight w:val="312"/>
        </w:trPr>
        <w:tc>
          <w:tcPr>
            <w:tcW w:w="2135" w:type="dxa"/>
            <w:gridSpan w:val="2"/>
            <w:tcBorders>
              <w:top w:val="nil"/>
              <w:left w:val="nil"/>
              <w:bottom w:val="single" w:sz="4" w:space="0" w:color="auto"/>
              <w:right w:val="nil"/>
            </w:tcBorders>
            <w:shd w:val="clear" w:color="000000" w:fill="FFFFFF"/>
            <w:noWrap/>
            <w:hideMark/>
          </w:tcPr>
          <w:p w14:paraId="32C98476"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Turnover (5)</w:t>
            </w:r>
          </w:p>
        </w:tc>
        <w:tc>
          <w:tcPr>
            <w:tcW w:w="968" w:type="dxa"/>
            <w:gridSpan w:val="3"/>
            <w:tcBorders>
              <w:top w:val="nil"/>
              <w:left w:val="nil"/>
              <w:bottom w:val="single" w:sz="4" w:space="0" w:color="auto"/>
              <w:right w:val="nil"/>
            </w:tcBorders>
            <w:shd w:val="clear" w:color="000000" w:fill="FFFFFF"/>
            <w:hideMark/>
          </w:tcPr>
          <w:p w14:paraId="77EB749C"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-0.564</w:t>
            </w:r>
          </w:p>
        </w:tc>
        <w:tc>
          <w:tcPr>
            <w:tcW w:w="968" w:type="dxa"/>
            <w:gridSpan w:val="4"/>
            <w:tcBorders>
              <w:top w:val="nil"/>
              <w:left w:val="nil"/>
              <w:bottom w:val="single" w:sz="4" w:space="0" w:color="auto"/>
              <w:right w:val="nil"/>
            </w:tcBorders>
            <w:shd w:val="clear" w:color="000000" w:fill="FFFFFF"/>
            <w:hideMark/>
          </w:tcPr>
          <w:p w14:paraId="1EE58B65"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-0.558</w:t>
            </w:r>
          </w:p>
        </w:tc>
        <w:tc>
          <w:tcPr>
            <w:tcW w:w="968" w:type="dxa"/>
            <w:gridSpan w:val="5"/>
            <w:tcBorders>
              <w:top w:val="nil"/>
              <w:left w:val="nil"/>
              <w:bottom w:val="single" w:sz="4" w:space="0" w:color="auto"/>
              <w:right w:val="nil"/>
            </w:tcBorders>
            <w:shd w:val="clear" w:color="000000" w:fill="FFFFFF"/>
            <w:hideMark/>
          </w:tcPr>
          <w:p w14:paraId="67216BF1"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-0.308</w:t>
            </w:r>
          </w:p>
        </w:tc>
        <w:tc>
          <w:tcPr>
            <w:tcW w:w="968" w:type="dxa"/>
            <w:gridSpan w:val="3"/>
            <w:tcBorders>
              <w:top w:val="nil"/>
              <w:left w:val="nil"/>
              <w:bottom w:val="single" w:sz="4" w:space="0" w:color="auto"/>
              <w:right w:val="nil"/>
            </w:tcBorders>
            <w:shd w:val="clear" w:color="000000" w:fill="FFFFFF"/>
            <w:hideMark/>
          </w:tcPr>
          <w:p w14:paraId="0836FCFB"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-0.155</w:t>
            </w:r>
          </w:p>
        </w:tc>
        <w:tc>
          <w:tcPr>
            <w:tcW w:w="975" w:type="dxa"/>
            <w:gridSpan w:val="5"/>
            <w:tcBorders>
              <w:top w:val="nil"/>
              <w:left w:val="nil"/>
              <w:bottom w:val="single" w:sz="4" w:space="0" w:color="auto"/>
              <w:right w:val="nil"/>
            </w:tcBorders>
            <w:shd w:val="clear" w:color="000000" w:fill="FFFFFF"/>
            <w:hideMark/>
          </w:tcPr>
          <w:p w14:paraId="4093E966"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0.928</w:t>
            </w:r>
          </w:p>
        </w:tc>
      </w:tr>
      <w:tr w:rsidR="00D229A2" w:rsidRPr="00D229A2" w14:paraId="3411C78F" w14:textId="77777777" w:rsidTr="00FE7743">
        <w:trPr>
          <w:gridAfter w:val="9"/>
          <w:wAfter w:w="3658" w:type="dxa"/>
          <w:trHeight w:val="637"/>
        </w:trPr>
        <w:tc>
          <w:tcPr>
            <w:tcW w:w="6982" w:type="dxa"/>
            <w:gridSpan w:val="22"/>
            <w:tcBorders>
              <w:top w:val="single" w:sz="4" w:space="0" w:color="auto"/>
              <w:left w:val="nil"/>
              <w:bottom w:val="nil"/>
              <w:right w:val="nil"/>
            </w:tcBorders>
            <w:shd w:val="clear" w:color="000000" w:fill="FFFFFF"/>
            <w:hideMark/>
          </w:tcPr>
          <w:p w14:paraId="5DAEE3FA" w14:textId="315DCD55"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i/>
                <w:iCs/>
                <w:kern w:val="0"/>
                <w:szCs w:val="24"/>
                <w14:ligatures w14:val="none"/>
              </w:rPr>
              <w:t xml:space="preserve">Notes: </w:t>
            </w:r>
            <w:r w:rsidRPr="00D229A2">
              <w:rPr>
                <w:rFonts w:eastAsia="Times New Roman" w:cs="Times New Roman"/>
                <w:kern w:val="0"/>
                <w:szCs w:val="24"/>
                <w14:ligatures w14:val="none"/>
              </w:rPr>
              <w:t>N= 183</w:t>
            </w:r>
            <w:r w:rsidR="00876F59">
              <w:rPr>
                <w:rFonts w:eastAsia="Times New Roman" w:cs="Times New Roman"/>
                <w:kern w:val="0"/>
                <w:szCs w:val="24"/>
                <w14:ligatures w14:val="none"/>
              </w:rPr>
              <w:t>;</w:t>
            </w:r>
            <w:r w:rsidRPr="00D229A2">
              <w:rPr>
                <w:rFonts w:eastAsia="Times New Roman" w:cs="Times New Roman"/>
                <w:kern w:val="0"/>
                <w:szCs w:val="24"/>
                <w14:ligatures w14:val="none"/>
              </w:rPr>
              <w:t xml:space="preserve"> </w:t>
            </w:r>
            <w:r w:rsidRPr="00D229A2">
              <w:rPr>
                <w:rFonts w:eastAsia="Times New Roman" w:cs="Times New Roman"/>
                <w:i/>
                <w:iCs/>
                <w:kern w:val="0"/>
                <w:szCs w:val="24"/>
                <w14:ligatures w14:val="none"/>
              </w:rPr>
              <w:t>PICLD</w:t>
            </w:r>
            <w:r w:rsidRPr="00D229A2">
              <w:rPr>
                <w:rFonts w:eastAsia="Times New Roman" w:cs="Times New Roman"/>
                <w:kern w:val="0"/>
                <w:szCs w:val="24"/>
                <w14:ligatures w14:val="none"/>
              </w:rPr>
              <w:t>= perceived inclusion climate for leader diversity</w:t>
            </w:r>
          </w:p>
          <w:p w14:paraId="196CD560" w14:textId="77777777" w:rsidR="00D229A2" w:rsidRPr="00D229A2" w:rsidRDefault="00D229A2" w:rsidP="00D229A2">
            <w:pPr>
              <w:spacing w:after="0" w:line="240" w:lineRule="auto"/>
              <w:rPr>
                <w:rFonts w:eastAsia="Times New Roman" w:cs="Times New Roman"/>
                <w:kern w:val="0"/>
                <w:szCs w:val="24"/>
                <w14:ligatures w14:val="none"/>
              </w:rPr>
            </w:pPr>
          </w:p>
          <w:p w14:paraId="7F427865" w14:textId="77777777" w:rsidR="00D229A2" w:rsidRPr="00D229A2" w:rsidRDefault="00D229A2" w:rsidP="00D229A2">
            <w:pPr>
              <w:spacing w:after="0" w:line="240" w:lineRule="auto"/>
              <w:rPr>
                <w:rFonts w:eastAsia="Times New Roman" w:cs="Times New Roman"/>
                <w:kern w:val="0"/>
                <w:szCs w:val="24"/>
                <w14:ligatures w14:val="none"/>
              </w:rPr>
            </w:pPr>
          </w:p>
        </w:tc>
      </w:tr>
      <w:tr w:rsidR="00D229A2" w:rsidRPr="00D229A2" w14:paraId="28A8BC58" w14:textId="77777777" w:rsidTr="00FE7743">
        <w:trPr>
          <w:gridAfter w:val="8"/>
          <w:wAfter w:w="3569" w:type="dxa"/>
          <w:trHeight w:val="312"/>
        </w:trPr>
        <w:tc>
          <w:tcPr>
            <w:tcW w:w="6040" w:type="dxa"/>
            <w:gridSpan w:val="19"/>
            <w:tcBorders>
              <w:top w:val="nil"/>
              <w:left w:val="nil"/>
              <w:bottom w:val="single" w:sz="4" w:space="0" w:color="auto"/>
              <w:right w:val="nil"/>
            </w:tcBorders>
            <w:shd w:val="clear" w:color="000000" w:fill="FFFFFF"/>
            <w:noWrap/>
            <w:hideMark/>
          </w:tcPr>
          <w:p w14:paraId="29217F02" w14:textId="37DEEC8A" w:rsidR="00D229A2" w:rsidRPr="00D229A2" w:rsidRDefault="00D229A2" w:rsidP="00D229A2">
            <w:pPr>
              <w:spacing w:after="0" w:line="240" w:lineRule="auto"/>
              <w:rPr>
                <w:rFonts w:eastAsia="Times New Roman" w:cs="Times New Roman"/>
                <w:kern w:val="0"/>
                <w:szCs w:val="24"/>
                <w:lang w:val="fr-FR"/>
                <w14:ligatures w14:val="none"/>
              </w:rPr>
            </w:pPr>
            <w:r w:rsidRPr="00D229A2">
              <w:rPr>
                <w:rFonts w:eastAsia="Times New Roman" w:cs="Times New Roman"/>
                <w:b/>
                <w:bCs/>
                <w:kern w:val="0"/>
                <w:szCs w:val="24"/>
                <w:lang w:val="fr-FR"/>
                <w14:ligatures w14:val="none"/>
              </w:rPr>
              <w:t>Table. 1</w:t>
            </w:r>
            <w:r w:rsidR="00F037FD">
              <w:rPr>
                <w:rFonts w:eastAsia="Times New Roman" w:cs="Times New Roman"/>
                <w:b/>
                <w:bCs/>
                <w:kern w:val="0"/>
                <w:szCs w:val="24"/>
                <w:lang w:val="fr-FR"/>
                <w14:ligatures w14:val="none"/>
              </w:rPr>
              <w:t>2</w:t>
            </w:r>
            <w:r w:rsidRPr="00D229A2">
              <w:rPr>
                <w:rFonts w:eastAsia="Times New Roman" w:cs="Times New Roman"/>
                <w:b/>
                <w:bCs/>
                <w:kern w:val="0"/>
                <w:szCs w:val="24"/>
                <w:lang w:val="fr-FR"/>
                <w14:ligatures w14:val="none"/>
              </w:rPr>
              <w:t xml:space="preserve">. </w:t>
            </w:r>
            <w:proofErr w:type="spellStart"/>
            <w:r w:rsidRPr="00D229A2">
              <w:rPr>
                <w:rFonts w:eastAsia="Times New Roman" w:cs="Times New Roman"/>
                <w:kern w:val="0"/>
                <w:szCs w:val="24"/>
                <w:lang w:val="fr-FR"/>
                <w14:ligatures w14:val="none"/>
              </w:rPr>
              <w:t>Heterotrait-Monotrait</w:t>
            </w:r>
            <w:proofErr w:type="spellEnd"/>
            <w:r w:rsidRPr="00D229A2">
              <w:rPr>
                <w:rFonts w:eastAsia="Times New Roman" w:cs="Times New Roman"/>
                <w:kern w:val="0"/>
                <w:szCs w:val="24"/>
                <w:lang w:val="fr-FR"/>
                <w14:ligatures w14:val="none"/>
              </w:rPr>
              <w:t xml:space="preserve"> Ratio (HTMT)</w:t>
            </w:r>
          </w:p>
        </w:tc>
        <w:tc>
          <w:tcPr>
            <w:tcW w:w="1031" w:type="dxa"/>
            <w:gridSpan w:val="4"/>
            <w:tcBorders>
              <w:top w:val="nil"/>
              <w:left w:val="nil"/>
              <w:bottom w:val="single" w:sz="4" w:space="0" w:color="auto"/>
              <w:right w:val="nil"/>
            </w:tcBorders>
            <w:shd w:val="clear" w:color="000000" w:fill="FFFFFF"/>
            <w:noWrap/>
            <w:vAlign w:val="bottom"/>
            <w:hideMark/>
          </w:tcPr>
          <w:p w14:paraId="05124333" w14:textId="77777777" w:rsidR="00D229A2" w:rsidRPr="00D229A2" w:rsidRDefault="00D229A2" w:rsidP="00D229A2">
            <w:pPr>
              <w:spacing w:after="0" w:line="240" w:lineRule="auto"/>
              <w:rPr>
                <w:rFonts w:eastAsia="Times New Roman" w:cs="Times New Roman"/>
                <w:kern w:val="0"/>
                <w:szCs w:val="24"/>
                <w:lang w:val="fr-FR"/>
                <w14:ligatures w14:val="none"/>
              </w:rPr>
            </w:pPr>
            <w:r w:rsidRPr="00D229A2">
              <w:rPr>
                <w:rFonts w:eastAsia="Times New Roman" w:cs="Times New Roman"/>
                <w:kern w:val="0"/>
                <w:szCs w:val="24"/>
                <w:lang w:val="fr-FR"/>
                <w14:ligatures w14:val="none"/>
              </w:rPr>
              <w:t> </w:t>
            </w:r>
          </w:p>
        </w:tc>
      </w:tr>
      <w:tr w:rsidR="00D229A2" w:rsidRPr="00D229A2" w14:paraId="7B5BBEF3" w14:textId="77777777" w:rsidTr="00FE7743">
        <w:trPr>
          <w:gridAfter w:val="8"/>
          <w:wAfter w:w="3569" w:type="dxa"/>
          <w:trHeight w:val="312"/>
        </w:trPr>
        <w:tc>
          <w:tcPr>
            <w:tcW w:w="2145" w:type="dxa"/>
            <w:gridSpan w:val="3"/>
            <w:tcBorders>
              <w:top w:val="nil"/>
              <w:left w:val="nil"/>
              <w:bottom w:val="single" w:sz="4" w:space="0" w:color="auto"/>
              <w:right w:val="nil"/>
            </w:tcBorders>
            <w:shd w:val="clear" w:color="000000" w:fill="FFFFFF"/>
            <w:noWrap/>
            <w:vAlign w:val="bottom"/>
            <w:hideMark/>
          </w:tcPr>
          <w:p w14:paraId="6C4E3403" w14:textId="77777777" w:rsidR="00D229A2" w:rsidRPr="00D229A2" w:rsidRDefault="00D229A2" w:rsidP="00D229A2">
            <w:pPr>
              <w:spacing w:after="0" w:line="240" w:lineRule="auto"/>
              <w:rPr>
                <w:rFonts w:eastAsia="Times New Roman" w:cs="Times New Roman"/>
                <w:b/>
                <w:bCs/>
                <w:kern w:val="0"/>
                <w:szCs w:val="24"/>
                <w14:ligatures w14:val="none"/>
              </w:rPr>
            </w:pPr>
            <w:r w:rsidRPr="00D229A2">
              <w:rPr>
                <w:rFonts w:eastAsia="Times New Roman" w:cs="Times New Roman"/>
                <w:b/>
                <w:bCs/>
                <w:kern w:val="0"/>
                <w:szCs w:val="24"/>
                <w14:ligatures w14:val="none"/>
              </w:rPr>
              <w:t>Variable</w:t>
            </w:r>
          </w:p>
        </w:tc>
        <w:tc>
          <w:tcPr>
            <w:tcW w:w="973" w:type="dxa"/>
            <w:gridSpan w:val="3"/>
            <w:tcBorders>
              <w:top w:val="nil"/>
              <w:left w:val="nil"/>
              <w:bottom w:val="single" w:sz="4" w:space="0" w:color="auto"/>
              <w:right w:val="nil"/>
            </w:tcBorders>
            <w:shd w:val="clear" w:color="000000" w:fill="FFFFFF"/>
            <w:noWrap/>
            <w:vAlign w:val="bottom"/>
            <w:hideMark/>
          </w:tcPr>
          <w:p w14:paraId="0F2E5233"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1</w:t>
            </w:r>
          </w:p>
        </w:tc>
        <w:tc>
          <w:tcPr>
            <w:tcW w:w="973" w:type="dxa"/>
            <w:gridSpan w:val="4"/>
            <w:tcBorders>
              <w:top w:val="nil"/>
              <w:left w:val="nil"/>
              <w:bottom w:val="single" w:sz="4" w:space="0" w:color="auto"/>
              <w:right w:val="nil"/>
            </w:tcBorders>
            <w:shd w:val="clear" w:color="000000" w:fill="FFFFFF"/>
            <w:noWrap/>
            <w:vAlign w:val="bottom"/>
            <w:hideMark/>
          </w:tcPr>
          <w:p w14:paraId="7F1432C9"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2</w:t>
            </w:r>
          </w:p>
        </w:tc>
        <w:tc>
          <w:tcPr>
            <w:tcW w:w="973" w:type="dxa"/>
            <w:gridSpan w:val="5"/>
            <w:tcBorders>
              <w:top w:val="nil"/>
              <w:left w:val="nil"/>
              <w:bottom w:val="single" w:sz="4" w:space="0" w:color="auto"/>
              <w:right w:val="nil"/>
            </w:tcBorders>
            <w:shd w:val="clear" w:color="000000" w:fill="FFFFFF"/>
            <w:noWrap/>
            <w:vAlign w:val="bottom"/>
            <w:hideMark/>
          </w:tcPr>
          <w:p w14:paraId="44ED3511"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3</w:t>
            </w:r>
          </w:p>
        </w:tc>
        <w:tc>
          <w:tcPr>
            <w:tcW w:w="976" w:type="dxa"/>
            <w:gridSpan w:val="4"/>
            <w:tcBorders>
              <w:top w:val="nil"/>
              <w:left w:val="nil"/>
              <w:bottom w:val="single" w:sz="4" w:space="0" w:color="auto"/>
              <w:right w:val="nil"/>
            </w:tcBorders>
            <w:shd w:val="clear" w:color="000000" w:fill="FFFFFF"/>
            <w:noWrap/>
            <w:vAlign w:val="bottom"/>
            <w:hideMark/>
          </w:tcPr>
          <w:p w14:paraId="5B19A451"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4</w:t>
            </w:r>
          </w:p>
        </w:tc>
        <w:tc>
          <w:tcPr>
            <w:tcW w:w="1031" w:type="dxa"/>
            <w:gridSpan w:val="4"/>
            <w:tcBorders>
              <w:top w:val="nil"/>
              <w:left w:val="nil"/>
              <w:bottom w:val="single" w:sz="4" w:space="0" w:color="auto"/>
              <w:right w:val="nil"/>
            </w:tcBorders>
            <w:shd w:val="clear" w:color="000000" w:fill="FFFFFF"/>
            <w:noWrap/>
            <w:vAlign w:val="bottom"/>
            <w:hideMark/>
          </w:tcPr>
          <w:p w14:paraId="01C19AC9" w14:textId="77777777" w:rsidR="00D229A2" w:rsidRPr="00D229A2" w:rsidRDefault="00D229A2" w:rsidP="00D229A2">
            <w:pPr>
              <w:spacing w:after="0" w:line="240" w:lineRule="auto"/>
              <w:jc w:val="center"/>
              <w:rPr>
                <w:rFonts w:eastAsia="Times New Roman" w:cs="Times New Roman"/>
                <w:b/>
                <w:bCs/>
                <w:kern w:val="0"/>
                <w:szCs w:val="24"/>
                <w14:ligatures w14:val="none"/>
              </w:rPr>
            </w:pPr>
            <w:r w:rsidRPr="00D229A2">
              <w:rPr>
                <w:rFonts w:eastAsia="Times New Roman" w:cs="Times New Roman"/>
                <w:b/>
                <w:bCs/>
                <w:kern w:val="0"/>
                <w:szCs w:val="24"/>
                <w14:ligatures w14:val="none"/>
              </w:rPr>
              <w:t>5</w:t>
            </w:r>
          </w:p>
        </w:tc>
      </w:tr>
      <w:tr w:rsidR="00D229A2" w:rsidRPr="00D229A2" w14:paraId="491AFFB3" w14:textId="77777777" w:rsidTr="00FE7743">
        <w:trPr>
          <w:gridAfter w:val="8"/>
          <w:wAfter w:w="3569" w:type="dxa"/>
          <w:trHeight w:val="312"/>
        </w:trPr>
        <w:tc>
          <w:tcPr>
            <w:tcW w:w="2145" w:type="dxa"/>
            <w:gridSpan w:val="3"/>
            <w:tcBorders>
              <w:top w:val="nil"/>
              <w:left w:val="nil"/>
              <w:bottom w:val="nil"/>
              <w:right w:val="nil"/>
            </w:tcBorders>
            <w:shd w:val="clear" w:color="000000" w:fill="FFFFFF"/>
            <w:noWrap/>
            <w:hideMark/>
          </w:tcPr>
          <w:p w14:paraId="09B95762"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Engagement (1)</w:t>
            </w:r>
          </w:p>
        </w:tc>
        <w:tc>
          <w:tcPr>
            <w:tcW w:w="973" w:type="dxa"/>
            <w:gridSpan w:val="3"/>
            <w:tcBorders>
              <w:top w:val="nil"/>
              <w:left w:val="nil"/>
              <w:bottom w:val="nil"/>
              <w:right w:val="nil"/>
            </w:tcBorders>
            <w:shd w:val="clear" w:color="000000" w:fill="FFFFFF"/>
            <w:hideMark/>
          </w:tcPr>
          <w:p w14:paraId="265A12C2"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w:t>
            </w:r>
          </w:p>
        </w:tc>
        <w:tc>
          <w:tcPr>
            <w:tcW w:w="973" w:type="dxa"/>
            <w:gridSpan w:val="4"/>
            <w:tcBorders>
              <w:top w:val="nil"/>
              <w:left w:val="nil"/>
              <w:bottom w:val="nil"/>
              <w:right w:val="nil"/>
            </w:tcBorders>
            <w:shd w:val="clear" w:color="000000" w:fill="FFFFFF"/>
            <w:hideMark/>
          </w:tcPr>
          <w:p w14:paraId="688E733E"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973" w:type="dxa"/>
            <w:gridSpan w:val="5"/>
            <w:tcBorders>
              <w:top w:val="nil"/>
              <w:left w:val="nil"/>
              <w:bottom w:val="nil"/>
              <w:right w:val="nil"/>
            </w:tcBorders>
            <w:shd w:val="clear" w:color="000000" w:fill="FFFFFF"/>
            <w:hideMark/>
          </w:tcPr>
          <w:p w14:paraId="3BE7F867"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976" w:type="dxa"/>
            <w:gridSpan w:val="4"/>
            <w:tcBorders>
              <w:top w:val="nil"/>
              <w:left w:val="nil"/>
              <w:bottom w:val="nil"/>
              <w:right w:val="nil"/>
            </w:tcBorders>
            <w:shd w:val="clear" w:color="000000" w:fill="FFFFFF"/>
            <w:hideMark/>
          </w:tcPr>
          <w:p w14:paraId="4D3149F4"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031" w:type="dxa"/>
            <w:gridSpan w:val="4"/>
            <w:tcBorders>
              <w:top w:val="nil"/>
              <w:left w:val="nil"/>
              <w:bottom w:val="nil"/>
              <w:right w:val="nil"/>
            </w:tcBorders>
            <w:shd w:val="clear" w:color="000000" w:fill="FFFFFF"/>
            <w:noWrap/>
            <w:hideMark/>
          </w:tcPr>
          <w:p w14:paraId="76EEFADE"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r>
      <w:tr w:rsidR="00D229A2" w:rsidRPr="00D229A2" w14:paraId="6BC06AA2" w14:textId="77777777" w:rsidTr="00FE7743">
        <w:trPr>
          <w:gridAfter w:val="8"/>
          <w:wAfter w:w="3569" w:type="dxa"/>
          <w:trHeight w:val="312"/>
        </w:trPr>
        <w:tc>
          <w:tcPr>
            <w:tcW w:w="2145" w:type="dxa"/>
            <w:gridSpan w:val="3"/>
            <w:tcBorders>
              <w:top w:val="nil"/>
              <w:left w:val="nil"/>
              <w:bottom w:val="nil"/>
              <w:right w:val="nil"/>
            </w:tcBorders>
            <w:shd w:val="clear" w:color="000000" w:fill="FFFFFF"/>
            <w:noWrap/>
            <w:hideMark/>
          </w:tcPr>
          <w:p w14:paraId="2BD042FB"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Justice (2)</w:t>
            </w:r>
          </w:p>
        </w:tc>
        <w:tc>
          <w:tcPr>
            <w:tcW w:w="973" w:type="dxa"/>
            <w:gridSpan w:val="3"/>
            <w:tcBorders>
              <w:top w:val="nil"/>
              <w:left w:val="nil"/>
              <w:bottom w:val="nil"/>
              <w:right w:val="nil"/>
            </w:tcBorders>
            <w:shd w:val="clear" w:color="000000" w:fill="FFFFFF"/>
            <w:hideMark/>
          </w:tcPr>
          <w:p w14:paraId="6FA65F90"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0.609</w:t>
            </w:r>
          </w:p>
        </w:tc>
        <w:tc>
          <w:tcPr>
            <w:tcW w:w="973" w:type="dxa"/>
            <w:gridSpan w:val="4"/>
            <w:tcBorders>
              <w:top w:val="nil"/>
              <w:left w:val="nil"/>
              <w:bottom w:val="nil"/>
              <w:right w:val="nil"/>
            </w:tcBorders>
            <w:shd w:val="clear" w:color="000000" w:fill="FFFFFF"/>
            <w:hideMark/>
          </w:tcPr>
          <w:p w14:paraId="5CAD02FC"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w:t>
            </w:r>
          </w:p>
        </w:tc>
        <w:tc>
          <w:tcPr>
            <w:tcW w:w="973" w:type="dxa"/>
            <w:gridSpan w:val="5"/>
            <w:tcBorders>
              <w:top w:val="nil"/>
              <w:left w:val="nil"/>
              <w:bottom w:val="nil"/>
              <w:right w:val="nil"/>
            </w:tcBorders>
            <w:shd w:val="clear" w:color="000000" w:fill="FFFFFF"/>
            <w:hideMark/>
          </w:tcPr>
          <w:p w14:paraId="74585822"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976" w:type="dxa"/>
            <w:gridSpan w:val="4"/>
            <w:tcBorders>
              <w:top w:val="nil"/>
              <w:left w:val="nil"/>
              <w:bottom w:val="nil"/>
              <w:right w:val="nil"/>
            </w:tcBorders>
            <w:shd w:val="clear" w:color="000000" w:fill="FFFFFF"/>
            <w:hideMark/>
          </w:tcPr>
          <w:p w14:paraId="7C3A0157"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031" w:type="dxa"/>
            <w:gridSpan w:val="4"/>
            <w:tcBorders>
              <w:top w:val="nil"/>
              <w:left w:val="nil"/>
              <w:bottom w:val="nil"/>
              <w:right w:val="nil"/>
            </w:tcBorders>
            <w:shd w:val="clear" w:color="000000" w:fill="FFFFFF"/>
            <w:noWrap/>
            <w:hideMark/>
          </w:tcPr>
          <w:p w14:paraId="58526383"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r>
      <w:tr w:rsidR="00D229A2" w:rsidRPr="00D229A2" w14:paraId="69BE3221" w14:textId="77777777" w:rsidTr="00FE7743">
        <w:trPr>
          <w:gridAfter w:val="8"/>
          <w:wAfter w:w="3569" w:type="dxa"/>
          <w:trHeight w:val="312"/>
        </w:trPr>
        <w:tc>
          <w:tcPr>
            <w:tcW w:w="2145" w:type="dxa"/>
            <w:gridSpan w:val="3"/>
            <w:tcBorders>
              <w:top w:val="nil"/>
              <w:left w:val="nil"/>
              <w:bottom w:val="nil"/>
              <w:right w:val="nil"/>
            </w:tcBorders>
            <w:shd w:val="clear" w:color="000000" w:fill="FFFFFF"/>
            <w:noWrap/>
            <w:hideMark/>
          </w:tcPr>
          <w:p w14:paraId="4FC7C515"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i/>
                <w:iCs/>
                <w:kern w:val="0"/>
                <w:szCs w:val="24"/>
                <w14:ligatures w14:val="none"/>
              </w:rPr>
              <w:t xml:space="preserve">PICLD </w:t>
            </w:r>
            <w:r w:rsidRPr="00D229A2">
              <w:rPr>
                <w:rFonts w:eastAsia="Times New Roman" w:cs="Times New Roman"/>
                <w:kern w:val="0"/>
                <w:szCs w:val="24"/>
                <w14:ligatures w14:val="none"/>
              </w:rPr>
              <w:t>(3)</w:t>
            </w:r>
          </w:p>
        </w:tc>
        <w:tc>
          <w:tcPr>
            <w:tcW w:w="973" w:type="dxa"/>
            <w:gridSpan w:val="3"/>
            <w:tcBorders>
              <w:top w:val="nil"/>
              <w:left w:val="nil"/>
              <w:bottom w:val="nil"/>
              <w:right w:val="nil"/>
            </w:tcBorders>
            <w:shd w:val="clear" w:color="000000" w:fill="FFFFFF"/>
            <w:hideMark/>
          </w:tcPr>
          <w:p w14:paraId="3DE096C3"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0.441</w:t>
            </w:r>
          </w:p>
        </w:tc>
        <w:tc>
          <w:tcPr>
            <w:tcW w:w="973" w:type="dxa"/>
            <w:gridSpan w:val="4"/>
            <w:tcBorders>
              <w:top w:val="nil"/>
              <w:left w:val="nil"/>
              <w:bottom w:val="nil"/>
              <w:right w:val="nil"/>
            </w:tcBorders>
            <w:shd w:val="clear" w:color="000000" w:fill="FFFFFF"/>
            <w:hideMark/>
          </w:tcPr>
          <w:p w14:paraId="6C049266"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0.598</w:t>
            </w:r>
          </w:p>
        </w:tc>
        <w:tc>
          <w:tcPr>
            <w:tcW w:w="973" w:type="dxa"/>
            <w:gridSpan w:val="5"/>
            <w:tcBorders>
              <w:top w:val="nil"/>
              <w:left w:val="nil"/>
              <w:bottom w:val="nil"/>
              <w:right w:val="nil"/>
            </w:tcBorders>
            <w:shd w:val="clear" w:color="000000" w:fill="FFFFFF"/>
            <w:hideMark/>
          </w:tcPr>
          <w:p w14:paraId="067151EA"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w:t>
            </w:r>
          </w:p>
        </w:tc>
        <w:tc>
          <w:tcPr>
            <w:tcW w:w="976" w:type="dxa"/>
            <w:gridSpan w:val="4"/>
            <w:tcBorders>
              <w:top w:val="nil"/>
              <w:left w:val="nil"/>
              <w:bottom w:val="nil"/>
              <w:right w:val="nil"/>
            </w:tcBorders>
            <w:shd w:val="clear" w:color="000000" w:fill="FFFFFF"/>
            <w:hideMark/>
          </w:tcPr>
          <w:p w14:paraId="44601F0D"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 </w:t>
            </w:r>
          </w:p>
        </w:tc>
        <w:tc>
          <w:tcPr>
            <w:tcW w:w="1031" w:type="dxa"/>
            <w:gridSpan w:val="4"/>
            <w:tcBorders>
              <w:top w:val="nil"/>
              <w:left w:val="nil"/>
              <w:bottom w:val="nil"/>
              <w:right w:val="nil"/>
            </w:tcBorders>
            <w:shd w:val="clear" w:color="000000" w:fill="FFFFFF"/>
            <w:noWrap/>
            <w:hideMark/>
          </w:tcPr>
          <w:p w14:paraId="36941389"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r>
      <w:tr w:rsidR="00D229A2" w:rsidRPr="00D229A2" w14:paraId="1295A146" w14:textId="77777777" w:rsidTr="00FE7743">
        <w:trPr>
          <w:gridAfter w:val="8"/>
          <w:wAfter w:w="3569" w:type="dxa"/>
          <w:trHeight w:val="312"/>
        </w:trPr>
        <w:tc>
          <w:tcPr>
            <w:tcW w:w="2145" w:type="dxa"/>
            <w:gridSpan w:val="3"/>
            <w:tcBorders>
              <w:top w:val="nil"/>
              <w:left w:val="nil"/>
              <w:bottom w:val="nil"/>
              <w:right w:val="nil"/>
            </w:tcBorders>
            <w:shd w:val="clear" w:color="000000" w:fill="FFFFFF"/>
            <w:noWrap/>
            <w:hideMark/>
          </w:tcPr>
          <w:p w14:paraId="40960124"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Performance (4)</w:t>
            </w:r>
          </w:p>
        </w:tc>
        <w:tc>
          <w:tcPr>
            <w:tcW w:w="973" w:type="dxa"/>
            <w:gridSpan w:val="3"/>
            <w:tcBorders>
              <w:top w:val="nil"/>
              <w:left w:val="nil"/>
              <w:bottom w:val="nil"/>
              <w:right w:val="nil"/>
            </w:tcBorders>
            <w:shd w:val="clear" w:color="000000" w:fill="FFFFFF"/>
            <w:hideMark/>
          </w:tcPr>
          <w:p w14:paraId="55B6A429"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0.178</w:t>
            </w:r>
          </w:p>
        </w:tc>
        <w:tc>
          <w:tcPr>
            <w:tcW w:w="973" w:type="dxa"/>
            <w:gridSpan w:val="4"/>
            <w:tcBorders>
              <w:top w:val="nil"/>
              <w:left w:val="nil"/>
              <w:bottom w:val="nil"/>
              <w:right w:val="nil"/>
            </w:tcBorders>
            <w:shd w:val="clear" w:color="000000" w:fill="FFFFFF"/>
            <w:hideMark/>
          </w:tcPr>
          <w:p w14:paraId="5AC489D1"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0.255</w:t>
            </w:r>
          </w:p>
        </w:tc>
        <w:tc>
          <w:tcPr>
            <w:tcW w:w="973" w:type="dxa"/>
            <w:gridSpan w:val="5"/>
            <w:tcBorders>
              <w:top w:val="nil"/>
              <w:left w:val="nil"/>
              <w:bottom w:val="nil"/>
              <w:right w:val="nil"/>
            </w:tcBorders>
            <w:shd w:val="clear" w:color="000000" w:fill="FFFFFF"/>
            <w:hideMark/>
          </w:tcPr>
          <w:p w14:paraId="40E7F75C"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0.435</w:t>
            </w:r>
          </w:p>
        </w:tc>
        <w:tc>
          <w:tcPr>
            <w:tcW w:w="976" w:type="dxa"/>
            <w:gridSpan w:val="4"/>
            <w:tcBorders>
              <w:top w:val="nil"/>
              <w:left w:val="nil"/>
              <w:bottom w:val="nil"/>
              <w:right w:val="nil"/>
            </w:tcBorders>
            <w:shd w:val="clear" w:color="000000" w:fill="FFFFFF"/>
            <w:hideMark/>
          </w:tcPr>
          <w:p w14:paraId="1E09557F"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w:t>
            </w:r>
          </w:p>
        </w:tc>
        <w:tc>
          <w:tcPr>
            <w:tcW w:w="1031" w:type="dxa"/>
            <w:gridSpan w:val="4"/>
            <w:tcBorders>
              <w:top w:val="nil"/>
              <w:left w:val="nil"/>
              <w:bottom w:val="nil"/>
              <w:right w:val="nil"/>
            </w:tcBorders>
            <w:shd w:val="clear" w:color="000000" w:fill="FFFFFF"/>
            <w:noWrap/>
            <w:hideMark/>
          </w:tcPr>
          <w:p w14:paraId="6721B124"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 </w:t>
            </w:r>
          </w:p>
        </w:tc>
      </w:tr>
      <w:tr w:rsidR="00D229A2" w:rsidRPr="00D229A2" w14:paraId="2F55AFC5" w14:textId="77777777" w:rsidTr="00FE7743">
        <w:trPr>
          <w:gridAfter w:val="8"/>
          <w:wAfter w:w="3569" w:type="dxa"/>
          <w:trHeight w:val="312"/>
        </w:trPr>
        <w:tc>
          <w:tcPr>
            <w:tcW w:w="2145" w:type="dxa"/>
            <w:gridSpan w:val="3"/>
            <w:tcBorders>
              <w:top w:val="nil"/>
              <w:left w:val="nil"/>
              <w:bottom w:val="single" w:sz="4" w:space="0" w:color="auto"/>
              <w:right w:val="nil"/>
            </w:tcBorders>
            <w:shd w:val="clear" w:color="000000" w:fill="FFFFFF"/>
            <w:noWrap/>
            <w:hideMark/>
          </w:tcPr>
          <w:p w14:paraId="1158C330" w14:textId="77777777"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kern w:val="0"/>
                <w:szCs w:val="24"/>
                <w14:ligatures w14:val="none"/>
              </w:rPr>
              <w:t>Turnover (5)</w:t>
            </w:r>
          </w:p>
        </w:tc>
        <w:tc>
          <w:tcPr>
            <w:tcW w:w="973" w:type="dxa"/>
            <w:gridSpan w:val="3"/>
            <w:tcBorders>
              <w:top w:val="nil"/>
              <w:left w:val="nil"/>
              <w:bottom w:val="single" w:sz="4" w:space="0" w:color="auto"/>
              <w:right w:val="nil"/>
            </w:tcBorders>
            <w:shd w:val="clear" w:color="000000" w:fill="FFFFFF"/>
            <w:hideMark/>
          </w:tcPr>
          <w:p w14:paraId="1544CA3A"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0.586</w:t>
            </w:r>
          </w:p>
        </w:tc>
        <w:tc>
          <w:tcPr>
            <w:tcW w:w="973" w:type="dxa"/>
            <w:gridSpan w:val="4"/>
            <w:tcBorders>
              <w:top w:val="nil"/>
              <w:left w:val="nil"/>
              <w:bottom w:val="single" w:sz="4" w:space="0" w:color="auto"/>
              <w:right w:val="nil"/>
            </w:tcBorders>
            <w:shd w:val="clear" w:color="000000" w:fill="FFFFFF"/>
            <w:hideMark/>
          </w:tcPr>
          <w:p w14:paraId="0B0ED8FB"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0.591</w:t>
            </w:r>
          </w:p>
        </w:tc>
        <w:tc>
          <w:tcPr>
            <w:tcW w:w="973" w:type="dxa"/>
            <w:gridSpan w:val="5"/>
            <w:tcBorders>
              <w:top w:val="nil"/>
              <w:left w:val="nil"/>
              <w:bottom w:val="single" w:sz="4" w:space="0" w:color="auto"/>
              <w:right w:val="nil"/>
            </w:tcBorders>
            <w:shd w:val="clear" w:color="000000" w:fill="FFFFFF"/>
            <w:hideMark/>
          </w:tcPr>
          <w:p w14:paraId="53A6DAB7"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0.319</w:t>
            </w:r>
          </w:p>
        </w:tc>
        <w:tc>
          <w:tcPr>
            <w:tcW w:w="976" w:type="dxa"/>
            <w:gridSpan w:val="4"/>
            <w:tcBorders>
              <w:top w:val="nil"/>
              <w:left w:val="nil"/>
              <w:bottom w:val="single" w:sz="4" w:space="0" w:color="auto"/>
              <w:right w:val="nil"/>
            </w:tcBorders>
            <w:shd w:val="clear" w:color="000000" w:fill="FFFFFF"/>
            <w:hideMark/>
          </w:tcPr>
          <w:p w14:paraId="43218DE6"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0.162</w:t>
            </w:r>
          </w:p>
        </w:tc>
        <w:tc>
          <w:tcPr>
            <w:tcW w:w="1031" w:type="dxa"/>
            <w:gridSpan w:val="4"/>
            <w:tcBorders>
              <w:top w:val="nil"/>
              <w:left w:val="nil"/>
              <w:bottom w:val="single" w:sz="4" w:space="0" w:color="auto"/>
              <w:right w:val="nil"/>
            </w:tcBorders>
            <w:shd w:val="clear" w:color="000000" w:fill="FFFFFF"/>
            <w:noWrap/>
            <w:hideMark/>
          </w:tcPr>
          <w:p w14:paraId="794D8E36" w14:textId="77777777" w:rsidR="00D229A2" w:rsidRPr="00D229A2" w:rsidRDefault="00D229A2" w:rsidP="00D229A2">
            <w:pPr>
              <w:spacing w:after="0" w:line="240" w:lineRule="auto"/>
              <w:jc w:val="center"/>
              <w:rPr>
                <w:rFonts w:eastAsia="Times New Roman" w:cs="Times New Roman"/>
                <w:kern w:val="0"/>
                <w:szCs w:val="24"/>
                <w14:ligatures w14:val="none"/>
              </w:rPr>
            </w:pPr>
            <w:r w:rsidRPr="00D229A2">
              <w:rPr>
                <w:rFonts w:eastAsia="Times New Roman" w:cs="Times New Roman"/>
                <w:kern w:val="0"/>
                <w:szCs w:val="24"/>
                <w14:ligatures w14:val="none"/>
              </w:rPr>
              <w:t>–</w:t>
            </w:r>
          </w:p>
        </w:tc>
      </w:tr>
      <w:tr w:rsidR="00D229A2" w:rsidRPr="00D229A2" w14:paraId="3E45B1C9" w14:textId="77777777" w:rsidTr="00FE7743">
        <w:trPr>
          <w:gridAfter w:val="8"/>
          <w:wAfter w:w="3569" w:type="dxa"/>
          <w:trHeight w:val="625"/>
        </w:trPr>
        <w:tc>
          <w:tcPr>
            <w:tcW w:w="7071" w:type="dxa"/>
            <w:gridSpan w:val="23"/>
            <w:tcBorders>
              <w:top w:val="single" w:sz="4" w:space="0" w:color="auto"/>
              <w:left w:val="nil"/>
              <w:bottom w:val="nil"/>
              <w:right w:val="nil"/>
            </w:tcBorders>
            <w:shd w:val="clear" w:color="000000" w:fill="FFFFFF"/>
            <w:hideMark/>
          </w:tcPr>
          <w:p w14:paraId="0544DFAD" w14:textId="6BE0D6D4" w:rsidR="00D229A2" w:rsidRPr="00D229A2" w:rsidRDefault="00D229A2" w:rsidP="00D229A2">
            <w:pPr>
              <w:spacing w:after="0" w:line="240" w:lineRule="auto"/>
              <w:rPr>
                <w:rFonts w:eastAsia="Times New Roman" w:cs="Times New Roman"/>
                <w:kern w:val="0"/>
                <w:szCs w:val="24"/>
                <w14:ligatures w14:val="none"/>
              </w:rPr>
            </w:pPr>
            <w:r w:rsidRPr="00D229A2">
              <w:rPr>
                <w:rFonts w:eastAsia="Times New Roman" w:cs="Times New Roman"/>
                <w:i/>
                <w:iCs/>
                <w:kern w:val="0"/>
                <w:szCs w:val="24"/>
                <w14:ligatures w14:val="none"/>
              </w:rPr>
              <w:t>Notes</w:t>
            </w:r>
            <w:r w:rsidRPr="00D229A2">
              <w:rPr>
                <w:rFonts w:eastAsia="Times New Roman" w:cs="Times New Roman"/>
                <w:kern w:val="0"/>
                <w:szCs w:val="24"/>
                <w14:ligatures w14:val="none"/>
              </w:rPr>
              <w:t xml:space="preserve">: N= 183, </w:t>
            </w:r>
            <w:r w:rsidRPr="00D229A2">
              <w:rPr>
                <w:rFonts w:eastAsia="Times New Roman" w:cs="Times New Roman"/>
                <w:i/>
                <w:iCs/>
                <w:kern w:val="0"/>
                <w:szCs w:val="24"/>
                <w14:ligatures w14:val="none"/>
              </w:rPr>
              <w:t>PICLD</w:t>
            </w:r>
            <w:r w:rsidRPr="00D229A2">
              <w:rPr>
                <w:rFonts w:eastAsia="Times New Roman" w:cs="Times New Roman"/>
                <w:kern w:val="0"/>
                <w:szCs w:val="24"/>
                <w14:ligatures w14:val="none"/>
              </w:rPr>
              <w:t xml:space="preserve">= </w:t>
            </w:r>
            <w:r w:rsidR="00AF6261">
              <w:rPr>
                <w:rFonts w:eastAsia="Times New Roman" w:cs="Times New Roman"/>
                <w:kern w:val="0"/>
                <w:szCs w:val="24"/>
                <w14:ligatures w14:val="none"/>
              </w:rPr>
              <w:t>P</w:t>
            </w:r>
            <w:r w:rsidRPr="00D229A2">
              <w:rPr>
                <w:rFonts w:eastAsia="Times New Roman" w:cs="Times New Roman"/>
                <w:kern w:val="0"/>
                <w:szCs w:val="24"/>
                <w14:ligatures w14:val="none"/>
              </w:rPr>
              <w:t>erceived inclusion climate for leader diversity</w:t>
            </w:r>
          </w:p>
        </w:tc>
      </w:tr>
    </w:tbl>
    <w:p w14:paraId="46AFA355" w14:textId="4E031314" w:rsidR="003C4BAC" w:rsidRDefault="003C4BAC" w:rsidP="00D229A2"/>
    <w:p w14:paraId="2221BE28" w14:textId="77777777" w:rsidR="0086443B" w:rsidRPr="0086443B" w:rsidRDefault="00000000" w:rsidP="0086443B">
      <w:pPr>
        <w:rPr>
          <w:b/>
          <w:bCs/>
        </w:rPr>
      </w:pPr>
      <w:bookmarkStart w:id="0" w:name="_Toc135055202"/>
      <w:r w:rsidRPr="002E7C9E">
        <w:rPr>
          <w:b/>
          <w:bCs/>
        </w:rPr>
        <w:t xml:space="preserve">Phase 5: </w:t>
      </w:r>
      <w:bookmarkEnd w:id="0"/>
      <w:r w:rsidR="0086443B" w:rsidRPr="0086443B">
        <w:rPr>
          <w:b/>
          <w:bCs/>
        </w:rPr>
        <w:t xml:space="preserve">Literature Review and Hypothesis Development </w:t>
      </w:r>
    </w:p>
    <w:p w14:paraId="0388C2BA" w14:textId="77777777" w:rsidR="0086443B" w:rsidRPr="00402CAA" w:rsidRDefault="0086443B" w:rsidP="0086443B">
      <w:pPr>
        <w:rPr>
          <w:i/>
          <w:iCs/>
        </w:rPr>
      </w:pPr>
      <w:r w:rsidRPr="00402CAA">
        <w:rPr>
          <w:i/>
          <w:iCs/>
        </w:rPr>
        <w:t>3.5.1. PICLD and Organizational Justice</w:t>
      </w:r>
    </w:p>
    <w:p w14:paraId="30A303E8" w14:textId="77777777" w:rsidR="0086443B" w:rsidRPr="00402CAA" w:rsidRDefault="0086443B" w:rsidP="0086443B">
      <w:pPr>
        <w:spacing w:line="480" w:lineRule="auto"/>
        <w:ind w:firstLine="720"/>
      </w:pPr>
      <w:r w:rsidRPr="00402CAA">
        <w:t xml:space="preserve">In organizational behavior literature, fairness is often embedded in “organizational justice.” Organizational justice refers to how one perceives outcome distribution fairness </w:t>
      </w:r>
      <w:r w:rsidRPr="00402CAA">
        <w:fldChar w:fldCharType="begin"/>
      </w:r>
      <w:r w:rsidRPr="00402CAA">
        <w:instrText xml:space="preserve"> ADDIN ZOTERO_ITEM CSL_CITATION {"citationID":"amefjol5ir","properties":{"formattedCitation":"(Adams, 1965)","plainCitation":"(Adams, 1965)","noteIndex":0},"citationItems":[{"id":577,"uris":["http://zotero.org/users/8724424/items/L26JWTLT"],"itemData":{"id":577,"type":"chapter","abstract":"The process of exchange is almost continual in human interactions, and appears to have characteristics peculiar to itself, and to generate affect, motivation, and behavior that cannot be predicted unless exchange processes are understood. This chapter describes two major concepts relating to the perception of justice and injustice; the concept of relative deprivation and the complementary concept of relative gratification. All dissatisfaction and low morale are related to a person's suffering injustice in social exchanges. However, a significant portion of cases can be usefully explained by invoking injustice as an explanatory concept. In the theory of inequity, both the antecedents and consequences of perceived injustice have been stated in terms that permit quite specific predictions to be made about the behavior of persons entering social exchanges. Relative deprivation and distributive justice, as theoretical concepts, specify some of the conditions that arouse perceptions of injustice and complementarily, the conditions that lead men to feel that their relations with others are just. The need for much additional research notwithstanding, the theoretical analyses that have been made of injustice in social exchanges should result not only in a better general understanding of the phenomenon, but should lead to a degree of social control not previously possible. The experience of injustice need not be an accepted fact of life.","container-title":"Advances in Experimental Social Psychology","language":"en","note":"DOI: 10.1016/S0065-2601(08)60108-2","page":"267-299","publisher":"Academic Press","source":"ScienceDirect","title":"Inequity In Social Exchange","URL":"https://www.sciencedirect.com/science/article/pii/S0065260108601082","volume":"2","author":[{"family":"Adams","given":"J. Stacy"}],"editor":[{"family":"Berkowitz","given":"Leonard"}],"accessed":{"date-parts":[["2023",3,2]]},"issued":{"date-parts":[["1965",1,1]]}}}],"schema":"https://github.com/citation-style-language/schema/raw/master/csl-citation.json"} </w:instrText>
      </w:r>
      <w:r w:rsidRPr="00402CAA">
        <w:fldChar w:fldCharType="separate"/>
      </w:r>
      <w:r w:rsidRPr="00402CAA">
        <w:t>(Adams, 1965)</w:t>
      </w:r>
      <w:r w:rsidRPr="00402CAA">
        <w:fldChar w:fldCharType="end"/>
      </w:r>
      <w:r w:rsidRPr="00402CAA">
        <w:t xml:space="preserve">; fairness of the outcome decision based on processes and procedures </w:t>
      </w:r>
      <w:r w:rsidRPr="00402CAA">
        <w:fldChar w:fldCharType="begin"/>
      </w:r>
      <w:r w:rsidRPr="00402CAA">
        <w:instrText xml:space="preserve"> ADDIN ZOTERO_ITEM CSL_CITATION {"citationID":"a11rtlv773s","properties":{"formattedCitation":"(Leventhal, 1976)","plainCitation":"(Leventhal, 1976)","noteIndex":0},"citationItems":[{"id":579,"uris":["http://zotero.org/users/8724424/items/INZDAYS3"],"itemData":{"id":579,"type":"article-journal","abstract":"This paper presents an alternative to the predominant equity theory for studying the concept of fairness in social relationships. According to the equity theory, or merit principle, fairness in social relationships occurs when rewards, punishments, and resources are allocated in proportion to one's input or contributions. The basic problems of this theory are that it employs a unidimensional concept of fairness and that it emphasizes only the fairness of distribution, ignoring the fairness of procedure. In contrast, the alternative to this theory is based on two justice rules, the distributional and the procedural. Distribution rules follow certain criteria: the individual's contributions, his needs, and the equality theory. These criteria are considered relative to the individual's role within the particular setting or social system. A justice judgment sequence estimates the individual's deservingness based on each rule. Final judgments evolve from a rule-combination equation.","language":"en","note":"publisher: Dr. Gerald S. Leventhal, Department of Psychology, Wayne State University, Detroit, Michigan 48202 (free)","source":"eric.ed.gov","title":"What Should Be Done with Equity Theory? New Approaches to the Study of Fairness in Social Relationships.","title-short":"What Should Be Done with Equity Theory?","URL":"https://eric.ed.gov/?id=ed142463","author":[{"family":"Leventhal","given":"Gerald S."}],"accessed":{"date-parts":[["2023",3,2]]},"issued":{"date-parts":[["1976",9]]}}}],"schema":"https://github.com/citation-style-language/schema/raw/master/csl-citation.json"} </w:instrText>
      </w:r>
      <w:r w:rsidRPr="00402CAA">
        <w:fldChar w:fldCharType="separate"/>
      </w:r>
      <w:r w:rsidRPr="00402CAA">
        <w:t>(Leventhal, 1976)</w:t>
      </w:r>
      <w:r w:rsidRPr="00402CAA">
        <w:fldChar w:fldCharType="end"/>
      </w:r>
      <w:r w:rsidRPr="00402CAA">
        <w:t xml:space="preserve">; and fairness in interpersonal treatment and being provided unbiased information when enacting procedures </w:t>
      </w:r>
      <w:r w:rsidRPr="00402CAA">
        <w:fldChar w:fldCharType="begin"/>
      </w:r>
      <w:r w:rsidRPr="00402CAA">
        <w:instrText xml:space="preserve"> ADDIN ZOTERO_ITEM CSL_CITATION {"citationID":"ada71bmogd","properties":{"formattedCitation":"(Bies &amp; Moag, 1986)","plainCitation":"(Bies &amp; Moag, 1986)","noteIndex":0},"citationItems":[{"id":1127,"uris":["http://zotero.org/users/8724424/items/PA63VPZR"],"itemData":{"id":1127,"type":"book","collection-title":"In Research on negotiation in organizations","edition":"R. Lewicki, B. Sheppard, &amp; M. Bazerman","event-place":"Greenwich, CT","publisher":"JAI Press","publisher-place":"Greenwich, CT","source":"cir.nii.ac.jp","title":"Interactional justice: Communications criteria of fairness","URL":"https://cir.nii.ac.jp/crid/1583387450502494336","volume":"Vol. 1, 43-55","author":[{"family":"Bies","given":"Robert J."},{"family":"Moag","given":"J. S."}],"accessed":{"date-parts":[["2023",5,9]]},"issued":{"date-parts":[["1986"]]}}}],"schema":"https://github.com/citation-style-language/schema/raw/master/csl-citation.json"} </w:instrText>
      </w:r>
      <w:r w:rsidRPr="00402CAA">
        <w:fldChar w:fldCharType="separate"/>
      </w:r>
      <w:r w:rsidRPr="00402CAA">
        <w:t>(Bies and Moag, 1986)</w:t>
      </w:r>
      <w:r w:rsidRPr="00402CAA">
        <w:fldChar w:fldCharType="end"/>
      </w:r>
      <w:r w:rsidRPr="00402CAA">
        <w:t xml:space="preserve">. Organizational fairness can be defined as how employees perceive the fairness of decisions due to the allocation or outcome distributions, the processes for decision-making, and how employees interpret treatment in terms of procedures, distributions, and relational interactions </w:t>
      </w:r>
      <w:r w:rsidRPr="00402CAA">
        <w:fldChar w:fldCharType="begin"/>
      </w:r>
      <w:r w:rsidRPr="00402CAA">
        <w:instrText xml:space="preserve"> ADDIN ZOTERO_ITEM CSL_CITATION {"citationID":"a2kg73pbhvt","properties":{"formattedCitation":"(Matta et al., 2017; Wolfe et al., 2018)","plainCitation":"(Matta et al., 2017; Wolfe et al., 2018)","noteIndex":0},"citationItems":[{"id":1092,"uris":["http://zotero.org/users/8724424/items/6MI2EMDP"],"itemData":{"id":1092,"type":"article-journal","abstract":"Research on organizational justice has predominantly focused on between-individual differences in average levels of fair treatment experienced by employees. Recently, researchers have also demonstrated the importance of considering dynamic, within-individual fluctuations in fair treatment experienced by employees over time. Drawing on uncertainty management theory, we merge these two streams of research and introduce the concept of “justice variability,” which captures between-person differences in the stability of fairness over time. Contrary to the intuitive notion that more fairness is always better, our work shows that being treated consistently unfairly can be better for employees than being treated fairly sometimes and unfairly at other times. Specifically, in a lab study, variably fair treatment resulted in greater physiological stress than both consistently fair and consistently unfair treatment. In a multilevel, experience-sampling field study, we replicated the positive association between justice variability and stress, and we also showed that justice variability exacerbated the positive, daily relationship between general workplace uncertainty and stress. Moreover, daily stress mediated the effects of justice variability on daily job dissatisfaction and emotional exhaustion. Finally, we showed that supervisors with more self-control tended to be less variable in their fair treatment over time.","container-title":"Academy of Management Journal","DOI":"10.5465/amj.2014.0455","ISSN":"0001-4273","issue":"2","journalAbbreviation":"AMJ","note":"publisher: Academy of Management","page":"743-770","source":"journals.aom.org (Atypon)","title":"Is Consistently Unfair Better than Sporadically Fair? An Investigation of Justice Variability and Stress","title-short":"Is Consistently Unfair Better than Sporadically Fair?","volume":"60","author":[{"family":"Matta","given":"Fadel K."},{"family":"Scott","given":"Brent A."},{"family":"Colquitt","given":"Jason A."},{"family":"Koopman","given":"Joel"},{"family":"Passantino","given":"Liana G."}],"issued":{"date-parts":[["2017",4]]}}},{"id":1087,"uris":["http://zotero.org/users/8724424/items/FAAHJM24"],"itemData":{"id":1087,"type":"article-journal","abstract":"Purpose\nLaw enforcement officers who believe their supervisors are organizationally fair are more satisfied with their jobs, more confident in their authority, and more likely to use procedural justice. The problem, however, is that we have little understanding concerning why officers care about being treated fairly. We address this issue by drawing on fairness heuristic and uncertainty management theories.\nMethods\nWe used survey data from a sample of Border Patrol agents (N=868) to help advance our understanding of the association between organizational justice and job satisfaction. Regression analyses and Stata's margins command were used to visualize the interaction effects.\nResults\nWe found that agents facing uncertainty focused more attention on fair supervisor treatment than their counterparts when considering how satisfied they were with their jobs. Both general workplace uncertainty and uncertainty stemming from recent negative publicity moderated the relationship between organizational justice and job satisfaction.\nConclusions\nOrganizational justice appears to be more salient to agents facing uncertainty because supervisor fairness provides cues that the agency has their best interests in mind and will support them in the future.","container-title":"Journal of Criminal Justice","DOI":"10.1016/j.jcrimjus.2017.11.003","ISSN":"0047-2352","journalAbbreviation":"Journal of Criminal Justice","language":"en","page":"20-29","source":"ScienceDirect","title":"Why does organizational justice matter? Uncertainty management among law enforcement officers","title-short":"Why does organizational justice matter?","volume":"54","author":[{"family":"Wolfe","given":"Scott E."},{"family":"Rojek","given":"Jeff"},{"family":"Manjarrez","given":"Victor M."},{"family":"Rojek","given":"Allison"}],"issued":{"date-parts":[["2018",1,1]]}}}],"schema":"https://github.com/citation-style-language/schema/raw/master/csl-citation.json"} </w:instrText>
      </w:r>
      <w:r w:rsidRPr="00402CAA">
        <w:fldChar w:fldCharType="separate"/>
      </w:r>
      <w:r w:rsidRPr="00402CAA">
        <w:t xml:space="preserve">(Matta </w:t>
      </w:r>
      <w:r w:rsidRPr="00402CAA">
        <w:rPr>
          <w:i/>
          <w:iCs/>
        </w:rPr>
        <w:t xml:space="preserve">et al., </w:t>
      </w:r>
      <w:r w:rsidRPr="00402CAA">
        <w:t xml:space="preserve">2017; Wolfe </w:t>
      </w:r>
      <w:r w:rsidRPr="00402CAA">
        <w:rPr>
          <w:i/>
          <w:iCs/>
        </w:rPr>
        <w:t xml:space="preserve">et al., </w:t>
      </w:r>
      <w:r w:rsidRPr="00402CAA">
        <w:t>2018)</w:t>
      </w:r>
      <w:r w:rsidRPr="00402CAA">
        <w:fldChar w:fldCharType="end"/>
      </w:r>
      <w:r w:rsidRPr="00402CAA">
        <w:t xml:space="preserve">. Research has positively linked organizational justice to </w:t>
      </w:r>
      <w:r w:rsidRPr="00402CAA">
        <w:lastRenderedPageBreak/>
        <w:t>organizational citizenship behavior (</w:t>
      </w:r>
      <w:r w:rsidRPr="00402CAA">
        <w:fldChar w:fldCharType="begin"/>
      </w:r>
      <w:r w:rsidRPr="00402CAA">
        <w:instrText xml:space="preserve"> ADDIN ZOTERO_ITEM CSL_CITATION {"citationID":"a2cnb7fvt2c","properties":{"formattedCitation":"\\uldash{(Gurbuz et al., 2016)}","plainCitation":"(Gurbuz et al., 2016)","dontUpdate":true,"noteIndex":0},"citationItems":[{"id":655,"uris":["http://zotero.org/users/8724424/items/XQRGWT2W"],"itemData":{"id":655,"type":"article-journal","abstract":"The main purpose of present study is to provide a meta-analytic examination of the relationship between organizational justice and organizational citizenship behavior in Turkish sample using principles of psychometric meta-analysis method. In this context, 37 individual (primary) studies in Turkish organizational behavior and organizational psychology literature were obtained and examined, and 29 of them were identified as appropriate for meta-analysis. Results based on 29 individual studies (N = 8674) indicated a moderately strong, positive relationship between organizational justice and organizational citizenship behavior. The theoretical and practical contributions of these findings were discussed, and directions for future research were identified.","container-title":"Türk Psikoloji Dergisi","ISSN":"1300-4433","issue":"77","page":"61-79","source":"Tilburg University Research Portal","title":"Organizational justice and organization citizenship behavior relationship: A meta-analysis on studies in Turkey","title-short":"Organizational justice and organization citizenship behavior relationship","volume":"31","author":[{"family":"Gurbuz","given":"Sait"},{"family":"Ayhan","given":"Ozgur"},{"family":"Sert","given":"Mahmut"}],"issued":{"date-parts":[["2016"]]}}}],"schema":"https://github.com/citation-style-language/schema/raw/master/csl-citation.json"} </w:instrText>
      </w:r>
      <w:r w:rsidRPr="00402CAA">
        <w:fldChar w:fldCharType="separate"/>
      </w:r>
      <w:r w:rsidRPr="00402CAA">
        <w:t xml:space="preserve">Gurbuz </w:t>
      </w:r>
      <w:r w:rsidRPr="00402CAA">
        <w:rPr>
          <w:i/>
          <w:iCs/>
        </w:rPr>
        <w:t>et al.</w:t>
      </w:r>
      <w:r w:rsidRPr="00402CAA">
        <w:t>, 2016)</w:t>
      </w:r>
      <w:r w:rsidRPr="00402CAA">
        <w:fldChar w:fldCharType="end"/>
      </w:r>
      <w:r w:rsidRPr="00402CAA">
        <w:t xml:space="preserve">, knowledge sharing </w:t>
      </w:r>
      <w:r w:rsidRPr="00402CAA">
        <w:fldChar w:fldCharType="begin"/>
      </w:r>
      <w:r w:rsidRPr="00402CAA">
        <w:instrText xml:space="preserve"> ADDIN ZOTERO_ITEM CSL_CITATION {"citationID":"a15i00rkkof","properties":{"formattedCitation":"(Akram et al., 2017)","plainCitation":"(Akram et al., 2017)","noteIndex":0},"citationItems":[{"id":652,"uris":["http://zotero.org/users/8724424/items/9W4HI7IA"],"itemData":{"id":652,"type":"article-journal","abstract":"This study assessed the impact of organizational justice on knowledge sharing among employees of Chinese telecommunications firms. The study focused on five forms of organizational justice (distributive, procedural, interactional, temporal, and spatial) and two forms of knowledge sharing (donating and collecting). A self-administered questionnaire yielded data for 245 employees. The data were analyzed using a two-step process in Amos 21. First, the measurement model was determined through CFA. Second, SEM was applied to test the hypotheses. The results suggest that if employees have positive perceptions of distributive, procedural, interactional, and temporal justice, they are intrinsically encouraged to share their knowledge with colleagues. Spatial justice, however, was found to affect knowledge sharing negatively and significantly. In an organizational work context, each form of organizational justice has a unique contribution toward knowledge sharing. Therefore, all forms of organizational justice should be considered.\nResumen\nEste estudio es un intento de determinar el impacto de la justicia organizacional en el intercambio de conocimiento entre los empleados del sector de las telecomunicaciones en China, dándosele particular atención a las formas de justicia organizacional: justicia distributiva, procedimental, interaccional, temporal y justicia espacial. El intercambio de conocimiento, en este sentido, se definirá como donación de conocimiento y colección de conocimiento. Se distribuyó un cuestionario autoadministrado con el objetivo de obtener respuestas de 245 empleados, cuyo análisis de datos se llevó a cabo en dos etapas: la primera, mediante el Análisis Factorial Confirmatorio (AFC) y, la segunda, por medio del Modelo de Ecuaciones Estructurales (SEM). En ambas etapas se hizo uso de AMOS 21.Los resultados del estudio sugieren que si los empleados tienen percepciones positivas sobre la justicia distributiva, procedimental, interaccional y temporal, están intrínsecamente motivados a compartir sus conocimientos con sus compañeros de trabajo. La justicia espacial, por su parte, resultó ser negativa pero con un significante efecto en el intercambio de conocimiento. Cada forma de justicia organizacional contribuye de forma especial en el intercambio de conocimiento; de ahí que, en el contexto organizacional de trabajo, se sugiera considerarlas todas y cada una de ellas como igualmente importantes.","container-title":"Journal of Innovation &amp; Knowledge","DOI":"10.1016/j.jik.2016.09.002","ISSN":"2444-569X","issue":"3","journalAbbreviation":"Journal of Innovation &amp; Knowledge","language":"en","page":"134-145","source":"ScienceDirect","title":"The effect of organizational justice on knowledge sharing: Empirical evidence from the Chinese telecommunications sector","title-short":"The effect of organizational justice on knowledge sharing","volume":"2","author":[{"family":"Akram","given":"Tayyaba"},{"family":"Lei","given":"Shen"},{"family":"Haider","given":"Muhammad Jamal"},{"family":"Hussain","given":"Syed Talib"},{"family":"Puig","given":"Lilian Consuelo Mustelier"}],"issued":{"date-parts":[["2017",9,1]]}}}],"schema":"https://github.com/citation-style-language/schema/raw/master/csl-citation.json"} </w:instrText>
      </w:r>
      <w:r w:rsidRPr="00402CAA">
        <w:fldChar w:fldCharType="separate"/>
      </w:r>
      <w:r w:rsidRPr="00402CAA">
        <w:t xml:space="preserve">(Akram </w:t>
      </w:r>
      <w:r w:rsidRPr="00402CAA">
        <w:rPr>
          <w:i/>
          <w:iCs/>
        </w:rPr>
        <w:t>et al.,</w:t>
      </w:r>
      <w:r w:rsidRPr="00402CAA">
        <w:t xml:space="preserve"> 2017)</w:t>
      </w:r>
      <w:r w:rsidRPr="00402CAA">
        <w:fldChar w:fldCharType="end"/>
      </w:r>
      <w:r w:rsidRPr="00402CAA">
        <w:t xml:space="preserve">, innovative work behavior </w:t>
      </w:r>
      <w:r w:rsidRPr="00402CAA">
        <w:fldChar w:fldCharType="begin"/>
      </w:r>
      <w:r w:rsidRPr="00402CAA">
        <w:instrText xml:space="preserve"> ADDIN ZOTERO_ITEM CSL_CITATION {"citationID":"a18dkbb65p8","properties":{"formattedCitation":"(Akram et al., 2016)","plainCitation":"(Akram et al., 2016)","noteIndex":0},"citationItems":[{"id":651,"uris":["http://zotero.org/users/8724424/items/MZZTHJ36"],"itemData":{"id":651,"type":"article-journal","abstract":"This study aimed at exploring the impact of organizational justice in the form of distributive,\nprocedural, interactional, temporal and spatial justice on the innovative work behavior of the\nemployees working in telecommunication sector of China. Data was collected from 235\nemployees and analyzed by using correlation and multiple regression analysis. The results of\nthese analyses suggested that all forms of organizational justice have a strong and positive\nimpact on the innovative work behavior of the Chinese employees, particularly, spatial and\ntemporal justice were found explaining highest variance in innovative work behavior of\nemployees respectively. Lastly study implications are also discussed in this paper.","container-title":"Journal of Creativity and Business Innovation","title":"The Effects of Organizational Justice on the Innovative Work Behavior of Employees: An Empirical Study from China","volume":"2","author":[{"family":"Akram","given":"Tayyaba"},{"family":"Haider","given":"Muhammad"},{"family":"Feng","given":"Yan"}],"issued":{"date-parts":[["2016"]]}}}],"schema":"https://github.com/citation-style-language/schema/raw/master/csl-citation.json"} </w:instrText>
      </w:r>
      <w:r w:rsidRPr="00402CAA">
        <w:fldChar w:fldCharType="separate"/>
      </w:r>
      <w:r w:rsidRPr="00402CAA">
        <w:t xml:space="preserve">(Akram </w:t>
      </w:r>
      <w:r w:rsidRPr="00402CAA">
        <w:rPr>
          <w:i/>
          <w:iCs/>
        </w:rPr>
        <w:t xml:space="preserve">et al., </w:t>
      </w:r>
      <w:r w:rsidRPr="00402CAA">
        <w:t>2016)</w:t>
      </w:r>
      <w:r w:rsidRPr="00402CAA">
        <w:fldChar w:fldCharType="end"/>
      </w:r>
      <w:r w:rsidRPr="00402CAA">
        <w:t xml:space="preserve">, and performance </w:t>
      </w:r>
      <w:r w:rsidRPr="00402CAA">
        <w:fldChar w:fldCharType="begin"/>
      </w:r>
      <w:r w:rsidRPr="00402CAA">
        <w:instrText xml:space="preserve"> ADDIN ZOTERO_ITEM CSL_CITATION {"citationID":"a1igad80amt","properties":{"formattedCitation":"(Yardan et al., 2014)","plainCitation":"(Yardan et al., 2014)","noteIndex":0},"citationItems":[{"id":646,"uris":["http://zotero.org/users/8724424/items/8SXZP7SF"],"itemData":{"id":646,"type":"article-journal","abstract":"Today, the most important element for the efficient and effective functioning of organizations is human resource. Organizations need employees whom performance goes beyond formal duties as a vitalsource of organizational effectiveness. On the other hand, employees exhibit higher levels of performance and act more than their job descriptions when they believe they are treated fairly at workplace. Based on this, two important organizational concepts will be recognized which are called as organizational citizenship behavior and organizational justice. In this study, the effect of employees' who are working in a hospital, perceptions of organizational justice on organizational citizenship behavior were investigated. The work group of the study is formed by 162 employees (58.27 %) working as anallied health personnel consists of nurse, midwife, laboratory technician and medical secretary. At the end of study, distributive justice has a positive effect on the conscientious and courtesy; interactional justice has a positive effect on the conscientious and civic virtue. Organizational justice perception factor explains 3.1% of the OCB. According to these results, increasing employees' justice perceptions in a positive way, OCB can beslightly improved.","container-title":"Journal of Human Resources Management and Labor Studies","journalAbbreviation":"Journal of Human Resources Management and Labor Studies","source":"ResearchGate","title":"The Effect of Employees' Perceptions of Organizational Justice on Organizational Citizenship Behavior: An Applicationin Turkish Public Hospital","title-short":"The Effect of Employees' Perceptions of Organizational Justice on Organizational Citizenship Behavior","volume":"2","author":[{"family":"Yardan","given":"Elif"},{"family":"Durukan Köse","given":"Serap"},{"family":"Köse","given":"Tuncay"}],"issued":{"date-parts":[["2014",6,14]]}}}],"schema":"https://github.com/citation-style-language/schema/raw/master/csl-citation.json"} </w:instrText>
      </w:r>
      <w:r w:rsidRPr="00402CAA">
        <w:fldChar w:fldCharType="separate"/>
      </w:r>
      <w:r w:rsidRPr="00402CAA">
        <w:t xml:space="preserve">(Yardan </w:t>
      </w:r>
      <w:r w:rsidRPr="00402CAA">
        <w:rPr>
          <w:i/>
          <w:iCs/>
        </w:rPr>
        <w:t xml:space="preserve">et al., </w:t>
      </w:r>
      <w:r w:rsidRPr="00402CAA">
        <w:t>2014)</w:t>
      </w:r>
      <w:r w:rsidRPr="00402CAA">
        <w:fldChar w:fldCharType="end"/>
      </w:r>
      <w:r w:rsidRPr="00402CAA">
        <w:t xml:space="preserve">. In contrast, when organizations are believed to be unfair in their practices by employees, it could lead to negative repercussions such as deviant behaviors </w:t>
      </w:r>
      <w:r w:rsidRPr="00402CAA">
        <w:fldChar w:fldCharType="begin"/>
      </w:r>
      <w:r w:rsidRPr="00402CAA">
        <w:instrText xml:space="preserve"> ADDIN ZOTERO_ITEM CSL_CITATION {"citationID":"a2i8kiv5q5g","properties":{"formattedCitation":"(Demir, 2011)","plainCitation":"(Demir, 2011)","noteIndex":0},"citationItems":[{"id":626,"uris":["http://zotero.org/users/8724424/items/T35VR4EP"],"itemData":{"id":626,"type":"article-journal","abstract":"The purposes of this study are (1) to investigate the influence of organizational justice (OJ) and organizational trust (OT) on employees' types of commitment to organization and deviant behavior and (2) to examine the relationship between the dimension of organizational commitment (OC) and organizational deviance (OD). Through conducting a face-to-face interview, a total of 554 questionnaires were collected from employees who were full-time employees of the five-star hotels operating in the south-west part of Turkey. Structural Equation Modeling (SEM) indicates a remarkable result that both OJ and OT have a significant and positive influence on affective commitment (AC), continuance commitment (CC) and normative commitment (NC). Contrarily, OJ, OT and dimensions of OC have a significant and negative influence on organizational deviance. As a result, the findings indicate that all factors have a significant correlation with each other.","container-title":"Anatolia","DOI":"10.1080/13032917.2011.597934","ISSN":"1303-2917","issue":"2","note":"publisher: Routledge\n_eprint: https://doi.org/10.1080/13032917.2011.597934","page":"204-221","source":"Taylor and Francis+NEJM","title":"Effects of organizational justice, trust and commitment on employees' deviant behavior","volume":"22","author":[{"family":"Demir","given":"Mahmut"}],"issued":{"date-parts":[["2011",8,1]]}}}],"schema":"https://github.com/citation-style-language/schema/raw/master/csl-citation.json"} </w:instrText>
      </w:r>
      <w:r w:rsidRPr="00402CAA">
        <w:fldChar w:fldCharType="separate"/>
      </w:r>
      <w:r w:rsidRPr="00402CAA">
        <w:t>(Demir, 2011)</w:t>
      </w:r>
      <w:r w:rsidRPr="00402CAA">
        <w:fldChar w:fldCharType="end"/>
      </w:r>
      <w:r w:rsidRPr="00402CAA">
        <w:t xml:space="preserve">, and higher turnover intention </w:t>
      </w:r>
      <w:r w:rsidRPr="00402CAA">
        <w:fldChar w:fldCharType="begin"/>
      </w:r>
      <w:r w:rsidRPr="00402CAA">
        <w:instrText xml:space="preserve"> ADDIN ZOTERO_ITEM CSL_CITATION {"citationID":"a28tn975h19","properties":{"formattedCitation":"(Soltis et al., 2013)","plainCitation":"(Soltis et al., 2013)","noteIndex":0},"citationItems":[{"id":954,"uris":["http://zotero.org/users/8724424/items/WPEEYVVU"],"itemData":{"id":954,"type":"article-journal","abstract":"Organizations are increasingly concerned about retaining human talent, particularly within knowledge-based industries where turnover is expensive. Our study employs a social network perspective to explore the influence of employees' formal and informal workplace relationships on their turnover intentions. We do this in a life sciences organization experiencing employee turnover at over twice the rate of the industry average. Drawing on extant work on the effects of distributive justice at work, we argue that employees who are heavily sought out for advice see themselves as being under-rewarded for the time and effort that goes into providing advice, thus increasing turnover intentions. Additionally, we argue that employees see the ability to seek out advice as a form of social support that embeds them into the organization and decreases intention to quit. By exploring the network positions of individuals in the workflow and advice networks, we demonstrate that when employees are either providing advice to someone they are obligated to work with or are able to seek out advice from others who are not required to work with them, the relationship with turnover intentions is most intense. We conclude by discussing contributions to the theory and practice of human resource management.","container-title":"Human Resource Management","DOI":"10.1002/hrm.21542","ISSN":"1099-050X","issue":"4","language":"en","note":"_eprint: https://onlinelibrary.wiley.com/doi/pdf/10.1002/hrm.21542","page":"561-584","source":"Wiley Online Library","title":"A Social Network Perspective on Turnover Intentions: The Role of Distributive Justice and Social Support","title-short":"A Social Network Perspective on Turnover Intentions","volume":"52","author":[{"family":"Soltis","given":"Scott M."},{"family":"Agneessens","given":"Filip"},{"family":"Sasovova","given":"Zuzana"},{"family":"Labianca","given":"Giuseppe (Joe)"}],"issued":{"date-parts":[["2013"]]}}}],"schema":"https://github.com/citation-style-language/schema/raw/master/csl-citation.json"} </w:instrText>
      </w:r>
      <w:r w:rsidRPr="00402CAA">
        <w:fldChar w:fldCharType="separate"/>
      </w:r>
      <w:r w:rsidRPr="00402CAA">
        <w:t xml:space="preserve">(Soltis </w:t>
      </w:r>
      <w:r w:rsidRPr="00402CAA">
        <w:rPr>
          <w:i/>
          <w:iCs/>
        </w:rPr>
        <w:t>et al.,</w:t>
      </w:r>
      <w:r w:rsidRPr="00402CAA">
        <w:t xml:space="preserve"> 2013)</w:t>
      </w:r>
      <w:r w:rsidRPr="00402CAA">
        <w:fldChar w:fldCharType="end"/>
      </w:r>
      <w:r w:rsidRPr="00402CAA">
        <w:t xml:space="preserve">. Previous studies have revealed various antecedents of organizational justice. Organizational factors such as culture and leadership can influence employees’ perceptions of organizational justice. For example, organizational climate directly impacts organizational justice </w:t>
      </w:r>
      <w:r w:rsidRPr="00402CAA">
        <w:fldChar w:fldCharType="begin"/>
      </w:r>
      <w:r w:rsidRPr="00402CAA">
        <w:instrText xml:space="preserve"> ADDIN ZOTERO_ITEM CSL_CITATION {"citationID":"a1gi3mnt899","properties":{"formattedCitation":"(Tavangarmarvasti et al., 2020)","plainCitation":"(Tavangarmarvasti et al., 2020)","noteIndex":0},"citationItems":[{"id":671,"uris":["http://zotero.org/users/8724424/items/A9Y7XH3K"],"itemData":{"id":671,"type":"article-journal","abstract":"Background: Justice is a human rights law. One type of justice is organizational justice, which is affected by various factors. But the key question is, does emotional intelligence have a direct impact on organizational justice and organizational entrepreneurship? And does mediating organizational justice have an indirect effect on organizational entrepreneurship? Aims: To ...","container-title":"Journal of psychologicalscience","issue":"86","language":"en","note":"publisher: Journal of psychologicalscience","page":"171-181","source":"psychologicalscience.ir","title":"Designing a structural model of organizational justice, determining antecedents (organizational climate, emotional intelligence, organizational ethical values) and outcomes (organizational entrepreneurship)","volume":"19","author":[{"family":"Tavangarmarvasti","given":"Zahra"},{"family":"Mohmadifar","given":"Mohammad Ali"},{"family":"Aminbaidokhti","given":"Ali Akbar"}],"issued":{"date-parts":[["2020",4,10]]}}}],"schema":"https://github.com/citation-style-language/schema/raw/master/csl-citation.json"} </w:instrText>
      </w:r>
      <w:r w:rsidRPr="00402CAA">
        <w:fldChar w:fldCharType="separate"/>
      </w:r>
      <w:r w:rsidRPr="00402CAA">
        <w:t xml:space="preserve">(Tavangarmarvasti </w:t>
      </w:r>
      <w:r w:rsidRPr="00402CAA">
        <w:rPr>
          <w:i/>
          <w:iCs/>
        </w:rPr>
        <w:t xml:space="preserve">et al., </w:t>
      </w:r>
      <w:r w:rsidRPr="00402CAA">
        <w:t>2020)</w:t>
      </w:r>
      <w:r w:rsidRPr="00402CAA">
        <w:fldChar w:fldCharType="end"/>
      </w:r>
      <w:r w:rsidRPr="00402CAA">
        <w:t xml:space="preserve">. When an organization shows concern for and cares about employee well-being through organizational support, it can positively influence their overall justice perceptions </w:t>
      </w:r>
      <w:r w:rsidRPr="00402CAA">
        <w:fldChar w:fldCharType="begin"/>
      </w:r>
      <w:r w:rsidRPr="00402CAA">
        <w:instrText xml:space="preserve"> ADDIN ZOTERO_ITEM CSL_CITATION {"citationID":"auf2ojggv8","properties":{"formattedCitation":"(Eisenberger et al., 2002)","plainCitation":"(Eisenberger et al., 2002)","noteIndex":0},"citationItems":[{"id":956,"uris":["http://zotero.org/users/8724424/items/C7CS2TAJ"],"itemData":{"id":956,"type":"article-journal","abstract":"Three studies investigated the relationships among employees' perception of supervisor support (PSS), perceived organizational support (POS), and employee turnover. Study 1 found, with 314 employees drawn from a variety of organizations, that PSS was positively related to temporal change in POS, suggesting that PSS leads to POS. Study 2 established, with 300 retail sales employees, that the PSS-POS relationship increased with perceived supervisor status in the organization. Study 3 found, with 493 retail sales employees, evidence consistent with the view that POS completely mediated a negative relationship between PSS and employee turnover. These studies suggest that supervisors, to the extent that they are identified with the organization, contribute to POS and, ultimately, to job retention. (PsycINFO Database Record (c) 2016 APA, all rights reserved)","container-title":"Journal of Applied Psychology","DOI":"10.1037/0021-9010.87.3.565","ISSN":"1939-1854","note":"publisher-place: US\npublisher: American Psychological Association","page":"565-573","source":"APA PsycNet","title":"Perceived supervisor support: Contributions to perceived organizational support and employee retention","title-short":"Perceived supervisor support","volume":"87","author":[{"family":"Eisenberger","given":"Robert"},{"family":"Stinglhamber","given":"Florence"},{"family":"Vandenberghe","given":"Christian"},{"family":"Sucharski","given":"Ivan L."},{"family":"Rhoades","given":"Linda"}],"issued":{"date-parts":[["2002"]]}}}],"schema":"https://github.com/citation-style-language/schema/raw/master/csl-citation.json"} </w:instrText>
      </w:r>
      <w:r w:rsidRPr="00402CAA">
        <w:fldChar w:fldCharType="separate"/>
      </w:r>
      <w:r w:rsidRPr="00402CAA">
        <w:t>(Eisenberger</w:t>
      </w:r>
      <w:r w:rsidRPr="00402CAA">
        <w:rPr>
          <w:i/>
          <w:iCs/>
        </w:rPr>
        <w:t xml:space="preserve"> et al., </w:t>
      </w:r>
      <w:r w:rsidRPr="00402CAA">
        <w:t>2002)</w:t>
      </w:r>
      <w:r w:rsidRPr="00402CAA">
        <w:fldChar w:fldCharType="end"/>
      </w:r>
      <w:r w:rsidRPr="00402CAA">
        <w:t xml:space="preserve">. Also, the relationship between inclusive leadership and OCB was revealed to be partially mediated by organizational justice </w:t>
      </w:r>
      <w:r w:rsidRPr="00402CAA">
        <w:fldChar w:fldCharType="begin"/>
      </w:r>
      <w:r w:rsidRPr="00402CAA">
        <w:instrText xml:space="preserve"> ADDIN ZOTERO_ITEM CSL_CITATION {"citationID":"a1b6a8lkfak","properties":{"formattedCitation":"(T. B. H. Tran &amp; Choi, 2019)","plainCitation":"(T. B. H. Tran &amp; Choi, 2019)","noteIndex":0},"citationItems":[{"id":624,"uris":["http://zotero.org/users/8724424/items/GFNBUV8J"],"itemData":{"id":624,"type":"article-journal","abstract":"The aim of this article is to examine the causal relationship between inclusive leadership and employees’ organizational citizenship behavior (OCB) of Vietnam service workers. This article also examines the mediating roles of organizational justice and organizational learning culture in this causal relationship. We collected data via a questionnaire survey of a sample of 268 employees from four service firms in Vietnam. The results showed that inclusive leadership is positively related to OCB. Moreover, both organizational justice and organizational learning culture played partial mediating roles in the inclusive leadership–OCB relationship. The findings advance the literature on leadership by studying an underexplored type of leadership in relation to employee OCB. They also extend our knowledge of organizational justice and learning culture by specifying these as mediators in the mechanisms of employee inclusive leadership–OCB relations. The article thus adds to a body of work in which OCB is connected with leaders’ behavior and organizational level predictors.","container-title":"Journal of Pacific Rim Psychology","DOI":"10.1017/prp.2019.10","ISSN":"1834-4909","language":"en","note":"publisher: Cambridge University Press","page":"e17","source":"Cambridge University Press","title":"Effects of inclusive leadership on organizational citizenship behavior: the mediating roles of organizational justice and learning culture","title-short":"Effects of inclusive leadership on organizational citizenship behavior","volume":"13","author":[{"family":"Tran","given":"Thi Bich Hanh"},{"family":"Choi","given":"Suk Bong"}],"issued":{"date-parts":[["2019"]],"season":"ed"}}}],"schema":"https://github.com/citation-style-language/schema/raw/master/csl-citation.json"} </w:instrText>
      </w:r>
      <w:r w:rsidRPr="00402CAA">
        <w:fldChar w:fldCharType="separate"/>
      </w:r>
      <w:r w:rsidRPr="00402CAA">
        <w:t>(Tran and Choi, 2019)</w:t>
      </w:r>
      <w:r w:rsidRPr="00402CAA">
        <w:fldChar w:fldCharType="end"/>
      </w:r>
      <w:r w:rsidRPr="00402CAA">
        <w:t xml:space="preserve">. </w:t>
      </w:r>
    </w:p>
    <w:p w14:paraId="78D9A6CE" w14:textId="77777777" w:rsidR="0086443B" w:rsidRPr="00402CAA" w:rsidRDefault="0086443B" w:rsidP="0086443B">
      <w:pPr>
        <w:spacing w:line="480" w:lineRule="auto"/>
        <w:ind w:firstLine="720"/>
      </w:pPr>
      <w:r w:rsidRPr="00402CAA">
        <w:t xml:space="preserve">Inclusion has been conceptualized by Mor Barak (2000) as a continuum for the degree in which employees perceive to be involved with important organizational processes (Cho and Mor Barak, 2008). To foster a sense of inclusion, a climate must be developed, so that employees see that diverse leaders </w:t>
      </w:r>
      <w:proofErr w:type="gramStart"/>
      <w:r w:rsidRPr="00402CAA">
        <w:t>have the ability to</w:t>
      </w:r>
      <w:proofErr w:type="gramEnd"/>
      <w:r w:rsidRPr="00402CAA">
        <w:t xml:space="preserve"> be themselves, are treated as insiders, but also given the opportunity to gain insight from and utilize team member differences (Boekhorst, 2015; </w:t>
      </w:r>
      <w:proofErr w:type="spellStart"/>
      <w:r w:rsidRPr="00402CAA">
        <w:t>Dwertmann</w:t>
      </w:r>
      <w:proofErr w:type="spellEnd"/>
      <w:r w:rsidRPr="00402CAA">
        <w:t xml:space="preserve"> and Boehm, 2016; </w:t>
      </w:r>
      <w:proofErr w:type="spellStart"/>
      <w:r w:rsidRPr="00402CAA">
        <w:t>Ellemers</w:t>
      </w:r>
      <w:proofErr w:type="spellEnd"/>
      <w:r w:rsidRPr="00402CAA">
        <w:t xml:space="preserve"> </w:t>
      </w:r>
      <w:r w:rsidRPr="00402CAA">
        <w:rPr>
          <w:i/>
          <w:iCs/>
        </w:rPr>
        <w:t>et al.,</w:t>
      </w:r>
      <w:r w:rsidRPr="00402CAA">
        <w:t xml:space="preserve"> 2013; Nishii, 2013; Shore</w:t>
      </w:r>
      <w:r w:rsidRPr="00402CAA">
        <w:rPr>
          <w:i/>
          <w:iCs/>
        </w:rPr>
        <w:t xml:space="preserve"> et al., </w:t>
      </w:r>
      <w:r w:rsidRPr="00402CAA">
        <w:t xml:space="preserve">2011). Furthermore, integrating employees into organizational practices is crucial to fulfilling their psychological needs and desire for belongingness by forming and establishing relationships with other organizational members (Chaudhry </w:t>
      </w:r>
      <w:r w:rsidRPr="00402CAA">
        <w:rPr>
          <w:i/>
          <w:iCs/>
        </w:rPr>
        <w:t>et al.,</w:t>
      </w:r>
      <w:r w:rsidRPr="00402CAA">
        <w:t xml:space="preserve"> 2021), especially with those on the management hierarchy who are diverse. On the other hand, employees' sense of </w:t>
      </w:r>
      <w:r w:rsidRPr="00402CAA">
        <w:lastRenderedPageBreak/>
        <w:t xml:space="preserve">belonging and self-esteem can be lowered if they feel they are being ignored or rejected (Neubauer </w:t>
      </w:r>
      <w:r w:rsidRPr="00402CAA">
        <w:rPr>
          <w:i/>
          <w:iCs/>
        </w:rPr>
        <w:t>et al.,</w:t>
      </w:r>
      <w:r w:rsidRPr="00402CAA">
        <w:t xml:space="preserve"> 2017) when organizational practices do not provide pathways for them to develop a meaningful relationship with demographically diverse leaders. </w:t>
      </w:r>
    </w:p>
    <w:p w14:paraId="50E130A2" w14:textId="77777777" w:rsidR="0086443B" w:rsidRPr="00402CAA" w:rsidRDefault="0086443B" w:rsidP="0086443B">
      <w:pPr>
        <w:spacing w:line="480" w:lineRule="auto"/>
        <w:ind w:firstLine="720"/>
      </w:pPr>
      <w:r w:rsidRPr="00402CAA">
        <w:t xml:space="preserve">According to the Social Exchange theory (SET), the notion of time is a critical characteristic where one accrues knowledge from previous actions and forms expectations regarding future obligations (Blau, 1964; </w:t>
      </w:r>
      <w:proofErr w:type="spellStart"/>
      <w:r w:rsidRPr="00402CAA">
        <w:t>Gouldner</w:t>
      </w:r>
      <w:proofErr w:type="spellEnd"/>
      <w:r w:rsidRPr="00402CAA">
        <w:t xml:space="preserve">, 1960). It has been suggested that attributions of justice do not have a specific start or end time due to expansive time bracketing (Colquitt </w:t>
      </w:r>
      <w:r w:rsidRPr="00402CAA">
        <w:rPr>
          <w:i/>
          <w:iCs/>
        </w:rPr>
        <w:t>et al.,</w:t>
      </w:r>
      <w:r w:rsidRPr="00402CAA">
        <w:t xml:space="preserve"> 2013). Employees in a social exchange relationship evaluate justice as an ‘entity’ as opposed to an ‘event’ based on their ability to form significant and meaningful interactions. Therefore, organizations that actively promote the inclusion of demographic diversity among leaders, can ignite employees’ justice perceptions because inclusionary work practices allow them to form meaningful social connections and interpersonal relationships with diverse leaders, while judging the fairness of policies due to their integration. When organizations promote an inclusion climate for leader diversity, it could signal to employees that diverse perspectives are valued on the management hierarchy, in turn it could have an influence on their attitudes such as perceived organizational justice. Moreover, when organizations show that they value, support, and respect leader diversity it can signal to employees that the organization is trying to instill a sense of psychological belonging and commitment for leaders who come from diverse demographic backgrounds (Belias and </w:t>
      </w:r>
      <w:proofErr w:type="spellStart"/>
      <w:r w:rsidRPr="00402CAA">
        <w:t>Koustelios</w:t>
      </w:r>
      <w:proofErr w:type="spellEnd"/>
      <w:r w:rsidRPr="00402CAA">
        <w:t xml:space="preserve">, 2014). In turn, employees will evaluate the exchange relationship as positive, in which they reciprocate with increased levels of perceived organizational justice (Colquitt </w:t>
      </w:r>
      <w:r w:rsidRPr="00402CAA">
        <w:rPr>
          <w:i/>
          <w:iCs/>
        </w:rPr>
        <w:t>et al.,</w:t>
      </w:r>
      <w:r w:rsidRPr="00402CAA">
        <w:t xml:space="preserve"> 2001) in support of diversity and inclusion initiatives established by the organization to promote an inclusionary working climate that fosters the acceptance of leader diversity. The following hypothesis is proposed: </w:t>
      </w:r>
    </w:p>
    <w:p w14:paraId="6A13A42B" w14:textId="77777777" w:rsidR="0086443B" w:rsidRPr="00402CAA" w:rsidRDefault="0086443B" w:rsidP="0086443B">
      <w:pPr>
        <w:spacing w:line="480" w:lineRule="auto"/>
        <w:ind w:firstLine="720"/>
      </w:pPr>
      <w:r w:rsidRPr="00402CAA">
        <w:lastRenderedPageBreak/>
        <w:t xml:space="preserve">H1: </w:t>
      </w:r>
      <w:r w:rsidRPr="00402CAA">
        <w:rPr>
          <w:i/>
          <w:iCs/>
        </w:rPr>
        <w:t>PICLD</w:t>
      </w:r>
      <w:r w:rsidRPr="00402CAA">
        <w:t xml:space="preserve"> will have a positive influence on organizational justice. </w:t>
      </w:r>
    </w:p>
    <w:p w14:paraId="0E8E065A" w14:textId="77777777" w:rsidR="0086443B" w:rsidRPr="00402CAA" w:rsidRDefault="0086443B" w:rsidP="0086443B">
      <w:pPr>
        <w:spacing w:line="480" w:lineRule="auto"/>
        <w:rPr>
          <w:i/>
          <w:iCs/>
        </w:rPr>
      </w:pPr>
      <w:bookmarkStart w:id="1" w:name="_Toc135055195"/>
      <w:r w:rsidRPr="00402CAA">
        <w:rPr>
          <w:i/>
          <w:iCs/>
        </w:rPr>
        <w:t>3.5.2. PICLD, Organizational Justice, and Performance</w:t>
      </w:r>
      <w:bookmarkEnd w:id="1"/>
    </w:p>
    <w:p w14:paraId="7996606A" w14:textId="77777777" w:rsidR="0086443B" w:rsidRPr="00402CAA" w:rsidRDefault="0086443B" w:rsidP="0086443B">
      <w:pPr>
        <w:spacing w:line="480" w:lineRule="auto"/>
      </w:pPr>
      <w:r w:rsidRPr="00402CAA">
        <w:tab/>
      </w:r>
      <w:r w:rsidRPr="00402CAA">
        <w:fldChar w:fldCharType="begin"/>
      </w:r>
      <w:r w:rsidRPr="00402CAA">
        <w:instrText xml:space="preserve"> ADDIN ZOTERO_ITEM CSL_CITATION {"citationID":"a15247stk2l","properties":{"formattedCitation":"\\uldash{(Borman et al., 2003)}","plainCitation":"(Borman et al., 2003)","dontUpdate":true,"noteIndex":0},"citationItems":[{"id":315,"uris":["http://zotero.org/users/8724424/items/YUA8Q4H9"],"itemData":{"id":315,"type":"book","abstract":"Includes established theories and cutting-edge developments. Presents the work of an international group of experts. Presents the nature, origin, implications, an future course of major unresolved issues in the area.","ISBN":"978-0-471-26453-8","language":"en","number-of-pages":"667","publisher":"John Wiley and Sons","source":"Google Books","title":"Handbook of Psychology, Industrial and Organizational Psychology, CafeScribe","author":[{"family":"Borman","given":"Walter C."},{"family":"Ilgen","given":"Daniel R."},{"family":"Klimoski","given":"Richard J."}],"issued":{"date-parts":[["2003",3,10]]}}}],"schema":"https://github.com/citation-style-language/schema/raw/master/csl-citation.json"} </w:instrText>
      </w:r>
      <w:r w:rsidRPr="00402CAA">
        <w:fldChar w:fldCharType="separate"/>
      </w:r>
      <w:r w:rsidRPr="00402CAA">
        <w:t xml:space="preserve">Borman </w:t>
      </w:r>
      <w:r w:rsidRPr="00402CAA">
        <w:rPr>
          <w:i/>
        </w:rPr>
        <w:t>et al.</w:t>
      </w:r>
      <w:r w:rsidRPr="00402CAA">
        <w:t xml:space="preserve"> (2003)</w:t>
      </w:r>
      <w:r w:rsidRPr="00402CAA">
        <w:fldChar w:fldCharType="end"/>
      </w:r>
      <w:r w:rsidRPr="00402CAA">
        <w:t xml:space="preserve"> defined performance as “the total expected value to the organization of the discrete behavioral episodes that an individual carries out over a standard period of time.” Organizational factors such as culture (</w:t>
      </w:r>
      <w:proofErr w:type="spellStart"/>
      <w:r w:rsidRPr="00402CAA">
        <w:t>Paais</w:t>
      </w:r>
      <w:proofErr w:type="spellEnd"/>
      <w:r w:rsidRPr="00402CAA">
        <w:t xml:space="preserve"> and </w:t>
      </w:r>
      <w:proofErr w:type="spellStart"/>
      <w:r w:rsidRPr="00402CAA">
        <w:t>Pattiruhu</w:t>
      </w:r>
      <w:proofErr w:type="spellEnd"/>
      <w:r w:rsidRPr="00402CAA">
        <w:t>, 2020) and climate (</w:t>
      </w:r>
      <w:proofErr w:type="spellStart"/>
      <w:r w:rsidRPr="00402CAA">
        <w:t>Pradoto</w:t>
      </w:r>
      <w:proofErr w:type="spellEnd"/>
      <w:r w:rsidRPr="00402CAA">
        <w:t xml:space="preserve"> </w:t>
      </w:r>
      <w:r w:rsidRPr="00402CAA">
        <w:rPr>
          <w:i/>
          <w:iCs/>
        </w:rPr>
        <w:t xml:space="preserve">et al., </w:t>
      </w:r>
      <w:r w:rsidRPr="00402CAA">
        <w:t xml:space="preserve">2022) have both been found to positively influence performance. </w:t>
      </w:r>
    </w:p>
    <w:p w14:paraId="18FDCBC7" w14:textId="77777777" w:rsidR="0086443B" w:rsidRPr="00402CAA" w:rsidRDefault="0086443B" w:rsidP="00B23428">
      <w:pPr>
        <w:spacing w:line="480" w:lineRule="auto"/>
        <w:ind w:firstLine="720"/>
      </w:pPr>
      <w:r w:rsidRPr="00402CAA">
        <w:t>Belongingness and uniqueness serve as key elements in Shore e</w:t>
      </w:r>
      <w:r w:rsidRPr="00402CAA">
        <w:rPr>
          <w:i/>
          <w:iCs/>
        </w:rPr>
        <w:t>t al.'s</w:t>
      </w:r>
      <w:r w:rsidRPr="00402CAA">
        <w:t xml:space="preserve"> (2011) conceptualization of inclusion in work groups, leading to higher performance. Prior research shows that organizational fairness, as it relates to procedural and distributive aspects of the decision-making process, positively influences employees' performance due to attitudinal changes </w:t>
      </w:r>
      <w:r w:rsidRPr="00402CAA">
        <w:fldChar w:fldCharType="begin"/>
      </w:r>
      <w:r w:rsidRPr="00402CAA">
        <w:instrText xml:space="preserve"> ADDIN ZOTERO_ITEM CSL_CITATION {"citationID":"a101olmtl56","properties":{"formattedCitation":"(Cho &amp; Sai, 2013)","plainCitation":"(Cho &amp; Sai, 2013)","noteIndex":0},"citationItems":[{"id":264,"uris":["http://zotero.org/users/8724424/items/MWWREXBF"],"itemData":{"id":264,"type":"article-journal","abstract":"The theory of organizational justice has been supported by numerous empirical studies in the private sector. Although public administration scholars have investigated the fairness issue in pay and promotions, the main focus was confined to specific groups such as females and racial minorities. This research seeks to fill the gap by providing some generalizable findings. We investigate the justice issue by considering both individual- and organizational-level factors. By employing hierarchical linear modeling (HLM), the research examines whether the three dimensions of organizational justice?distributive, procedural, and informational justice?and several organizational-level factors affect four outcomes, including expectancy for career development, employee satisfaction, loyalty to senior leadership, and cooperation. The analysis confirms that the three dimensions of organizational justice are substantially associated with those employee attitudes, although organizational-level factors have little impact on them.","container-title":"Review of Public Personnel Administration","DOI":"10.1177/0734371X12458126","ISSN":"0734-371X","issue":"3","language":"en","note":"publisher: SAGE Publications Inc","page":"227-251","source":"SAGE Journals","title":"Does Organizational Justice Matter in the Federal Workplace?","volume":"33","author":[{"family":"Cho","given":"Yoon Jik"},{"family":"Sai","given":"Na"}],"issued":{"date-parts":[["2013",9,1]]}}}],"schema":"https://github.com/citation-style-language/schema/raw/master/csl-citation.json"} </w:instrText>
      </w:r>
      <w:r w:rsidRPr="00402CAA">
        <w:fldChar w:fldCharType="separate"/>
      </w:r>
      <w:r w:rsidRPr="00402CAA">
        <w:t>(Cho and Sai, 2013)</w:t>
      </w:r>
      <w:r w:rsidRPr="00402CAA">
        <w:fldChar w:fldCharType="end"/>
      </w:r>
      <w:r w:rsidRPr="00402CAA">
        <w:t>. Furthermore, perceptions of organizational fairness magnify employees' trust in leadership and their organizational performance (Cohen-</w:t>
      </w:r>
      <w:proofErr w:type="spellStart"/>
      <w:r w:rsidRPr="00402CAA">
        <w:t>Charash</w:t>
      </w:r>
      <w:proofErr w:type="spellEnd"/>
      <w:r w:rsidRPr="00402CAA">
        <w:t xml:space="preserve"> and Spector, 2001; Rubin, 2009). An empirical study conducted by Chung </w:t>
      </w:r>
      <w:r w:rsidRPr="00402CAA">
        <w:rPr>
          <w:i/>
          <w:iCs/>
        </w:rPr>
        <w:t>et al.</w:t>
      </w:r>
      <w:r w:rsidRPr="00402CAA">
        <w:t xml:space="preserve"> (2020) revealed that workgroup inclusion has a positive relationship with employee performance. </w:t>
      </w:r>
    </w:p>
    <w:p w14:paraId="5B7F6224" w14:textId="77777777" w:rsidR="0086443B" w:rsidRPr="00402CAA" w:rsidRDefault="0086443B" w:rsidP="0086443B">
      <w:pPr>
        <w:spacing w:line="480" w:lineRule="auto"/>
        <w:ind w:firstLine="720"/>
      </w:pPr>
      <w:r w:rsidRPr="00402CAA">
        <w:t xml:space="preserve">While research on fairness at the individual level has contributed towards theoretical advancement via their explanations of relationships between perceived organizational fairness and different work behaviors, a collective approach towards investigating fairness might be more appropriate to account for social contexts to explain higher-level outcomes </w:t>
      </w:r>
      <w:r w:rsidRPr="00402CAA">
        <w:fldChar w:fldCharType="begin"/>
      </w:r>
      <w:r w:rsidRPr="00402CAA">
        <w:instrText xml:space="preserve"> ADDIN ZOTERO_ITEM CSL_CITATION {"citationID":"a25m14ukn1e","properties":{"formattedCitation":"(Mossholder et al., 1998; Naumann &amp; Bennett, 2000)","plainCitation":"(Mossholder et al., 1998; Naumann &amp; Bennett, 2000)","noteIndex":0},"citationItems":[{"id":300,"uris":["http://zotero.org/users/8724424/items/VPYA9I5A"],"itemData":{"id":300,"type":"article-journal","container-title":"Journal of Management","issue":"4","language":"en","page":"533-552","source":"Zotero","title":"Relationships between Bases of Power and Work Reactions: The Mediational Role of Procedural Justice","volume":"24","author":[{"family":"Mossholder","given":"Kevin W"},{"family":"Bennett","given":"Nathan"},{"family":"Kemery","given":"Edward R"},{"family":"Wesolowski","given":"Mark A"}],"issued":{"date-parts":[["1998"]]}}},{"id":301,"uris":["http://zotero.org/users/8724424/items/WJIYK9MF"],"itemData":{"id":301,"type":"article-journal","abstract":"Current conceptualizations of procedural justice focus largely on the individual level of analysis; no framework exists for examining procedural justice's social context. Empirical tests reported here offer some support for group-level and cross-level hypotheses. Work group perceptions of cohesion and supervisor visibility in demonstrating procedural justice were associated with the development of procedural justice climate. Procedural justice climate was positively associated with helping behaviors after the effects of individual procedural justice perceptions were controlled for.","container-title":"Academy of Management Journal","DOI":"10.5465/1556416","ISSN":"0001-4273","issue":"5","journalAbbreviation":"AMJ","note":"publisher: Academy of Management","page":"881-889","source":"journals.aom.org (Atypon)","title":"A Case for Procedural Justice Climate: Development and Test of a Multilevel Model","title-short":"A Case for Procedural Justice Climate","volume":"43","author":[{"family":"Naumann","given":"Stefanie E."},{"family":"Bennett","given":"Nathan"}],"issued":{"date-parts":[["2000",10]]}}}],"schema":"https://github.com/citation-style-language/schema/raw/master/csl-citation.json"} </w:instrText>
      </w:r>
      <w:r w:rsidRPr="00402CAA">
        <w:fldChar w:fldCharType="separate"/>
      </w:r>
      <w:r w:rsidRPr="00402CAA">
        <w:t xml:space="preserve">(Mossholder </w:t>
      </w:r>
      <w:r w:rsidRPr="00402CAA">
        <w:rPr>
          <w:i/>
          <w:iCs/>
        </w:rPr>
        <w:t xml:space="preserve">et al., </w:t>
      </w:r>
      <w:r w:rsidRPr="00402CAA">
        <w:t>1998; Naumann and Bennett, 2000)</w:t>
      </w:r>
      <w:r w:rsidRPr="00402CAA">
        <w:fldChar w:fldCharType="end"/>
      </w:r>
      <w:r w:rsidRPr="00402CAA">
        <w:t xml:space="preserve">. Employees are highly influenced by how others get treated in terms of fairness, which dictates their perceptions of overall fairness </w:t>
      </w:r>
      <w:r w:rsidRPr="00402CAA">
        <w:fldChar w:fldCharType="begin"/>
      </w:r>
      <w:r w:rsidRPr="00402CAA">
        <w:instrText xml:space="preserve"> ADDIN ZOTERO_ITEM CSL_CITATION {"citationID":"a2ncgkqso40","properties":{"formattedCitation":"(A. Li &amp; Cropanzano, 2009; Naumann &amp; Bennett, 2000)","plainCitation":"(A. Li &amp; Cropanzano, 2009; Naumann &amp; Bennett, 2000)","noteIndex":0},"citationItems":[{"id":304,"uris":["http://zotero.org/users/8724424/items/9I6AD7JZ"],"itemData":{"id":304,"type":"article-journal","abstract":"Like many constructs within the managerial sciences, organizational justice has traditionally been conceptualized as an individual-level phenomenon. In recent years, this has begun to change, as a number of research studies have explored justice as a collective or group-level construct. The authors provide a review of this literature, historically tracing the growth of this research tradition, reviewing measurement issues, and discussing available research findings. The authors argue that there are at least two viable treatments of unit-level justice. Justice climate pertains to the manner in which a team is treated by outside agents, such as an authority figure. Intraunit justice climate pertains to the manner in which teammates treat one another. Although much more research is needed, evidence suggests that both justice climate and intraunit fairness are useful predictors of work attitudes and behavior.","container-title":"Journal of Management","DOI":"10.1177/0149206308330557","ISSN":"0149-2063, 1557-1211","issue":"3","journalAbbreviation":"Journal of Management","language":"en","page":"564-599","source":"DOI.org (Crossref)","title":"Fairness at the Group Level: Justice Climate and Intraunit Justice Climate","title-short":"Fairness at the Group Level","volume":"35","author":[{"family":"Li","given":"Andrew"},{"family":"Cropanzano","given":"Russell"}],"issued":{"date-parts":[["2009",6]]}}},{"id":301,"uris":["http://zotero.org/users/8724424/items/WJIYK9MF"],"itemData":{"id":301,"type":"article-journal","abstract":"Current conceptualizations of procedural justice focus largely on the individual level of analysis; no framework exists for examining procedural justice's social context. Empirical tests reported here offer some support for group-level and cross-level hypotheses. Work group perceptions of cohesion and supervisor visibility in demonstrating procedural justice were associated with the development of procedural justice climate. Procedural justice climate was positively associated with helping behaviors after the effects of individual procedural justice perceptions were controlled for.","container-title":"Academy of Management Journal","DOI":"10.5465/1556416","ISSN":"0001-4273","issue":"5","journalAbbreviation":"AMJ","note":"publisher: Academy of Management","page":"881-889","source":"journals.aom.org (Atypon)","title":"A Case for Procedural Justice Climate: Development and Test of a Multilevel Model","title-short":"A Case for Procedural Justice Climate","volume":"43","author":[{"family":"Naumann","given":"Stefanie E."},{"family":"Bennett","given":"Nathan"}],"issued":{"date-parts":[["2000",10]]}}}],"schema":"https://github.com/citation-style-language/schema/raw/master/csl-citation.json"} </w:instrText>
      </w:r>
      <w:r w:rsidRPr="00402CAA">
        <w:fldChar w:fldCharType="separate"/>
      </w:r>
      <w:r w:rsidRPr="00402CAA">
        <w:t>(Li and Cropanzano, 2009; Naumann and Bennett, 2000)</w:t>
      </w:r>
      <w:r w:rsidRPr="00402CAA">
        <w:fldChar w:fldCharType="end"/>
      </w:r>
      <w:r w:rsidRPr="00402CAA">
        <w:t xml:space="preserve">, ultimately influencing their work performance. </w:t>
      </w:r>
    </w:p>
    <w:p w14:paraId="40E4D88B" w14:textId="77777777" w:rsidR="0086443B" w:rsidRPr="00402CAA" w:rsidRDefault="0086443B" w:rsidP="0086443B">
      <w:pPr>
        <w:spacing w:line="480" w:lineRule="auto"/>
        <w:ind w:firstLine="720"/>
      </w:pPr>
      <w:r w:rsidRPr="00402CAA">
        <w:lastRenderedPageBreak/>
        <w:t xml:space="preserve">Based on SET (Blau, 1964), fairness perceptions are related to high-quality exchange relationships </w:t>
      </w:r>
      <w:r w:rsidRPr="00402CAA">
        <w:fldChar w:fldCharType="begin"/>
      </w:r>
      <w:r w:rsidRPr="00402CAA">
        <w:instrText xml:space="preserve"> ADDIN ZOTERO_ITEM CSL_CITATION {"citationID":"a1rbfrp9tmu","properties":{"formattedCitation":"(Wayne et al., 2002)","plainCitation":"(Wayne et al., 2002)","noteIndex":0},"citationItems":[{"id":319,"uris":["http://zotero.org/users/8724424/items/LMKPJEJ2"],"itemData":{"id":319,"type":"article-journal","abstract":"This study examined a model of the antecedents and consequences of perceived organizational support (POS) and leader-member exchange (LMX). It was predicted that organizational justice (procedural and distributive justice) and organizational practices that provide recognition to the employee (feelings of inclusion and recognition from upper management) would influence POS. For LMX, it was predicted that leader reward (distributive justice and contingent rewards) and punishment behavior would be important antecedents. Results based on a sample of 211 employee-supervisor dyads indicated that organizational justice, inclusion, and recognition were related to POS and contingent rewards were related to LMX. In terms of consequences, POS was related to employee commitment and organizational citizenship behavior, whereas LMX predicted performance ratings.","container-title":"The Journal of applied psychology","DOI":"10.1037//0021-9010.87.3.590","journalAbbreviation":"The Journal of applied psychology","page":"590-8","source":"ResearchGate","title":"The Role of Fair Treatment and Rewards in Perceptions of Organizational Support and Leader-Member Exchange","volume":"87","author":[{"family":"Wayne","given":"Sandy"},{"family":"Shore","given":"Lynn"},{"family":"Bommer","given":"William"},{"family":"Tetrick","given":"Lois"}],"issued":{"date-parts":[["2002",7,1]]}}}],"schema":"https://github.com/citation-style-language/schema/raw/master/csl-citation.json"} </w:instrText>
      </w:r>
      <w:r w:rsidRPr="00402CAA">
        <w:fldChar w:fldCharType="separate"/>
      </w:r>
      <w:r w:rsidRPr="00402CAA">
        <w:t xml:space="preserve">(Wayne </w:t>
      </w:r>
      <w:r w:rsidRPr="00402CAA">
        <w:rPr>
          <w:i/>
        </w:rPr>
        <w:t>et al.</w:t>
      </w:r>
      <w:r w:rsidRPr="00402CAA">
        <w:t>, 2002)</w:t>
      </w:r>
      <w:r w:rsidRPr="00402CAA">
        <w:fldChar w:fldCharType="end"/>
      </w:r>
      <w:r w:rsidRPr="00402CAA">
        <w:t xml:space="preserve"> between the organization and employees, and both parties are mutually invested in the concerns and interests of the other party </w:t>
      </w:r>
      <w:r w:rsidRPr="00402CAA">
        <w:fldChar w:fldCharType="begin"/>
      </w:r>
      <w:r w:rsidRPr="00402CAA">
        <w:instrText xml:space="preserve"> ADDIN ZOTERO_ITEM CSL_CITATION {"citationID":"a2g6ca0cqko","properties":{"formattedCitation":"(Shore et al., 2006)","plainCitation":"(Shore et al., 2006)","noteIndex":0},"citationItems":[{"id":321,"uris":["http://zotero.org/users/8724424/items/DCUHEZQ2"],"itemData":{"id":321,"type":"article-journal","abstract":"This study examined the economic and social exchanges between employee and employer within a model in which perceived organizational support and affective and continuance commitment served as predictors and performance, altruism citizenship behavior, absence, and lateness served as outcomes. Two samples were used. 384 master of business administration students participated in Study 1, and Study 2 consisted of 181 aerospace employees and their managers, working for a single organization. Both studies supported the distinctiveness between economic and social exchanges. Study 2 showed the overall fit of the proposed model was adequate, though only social exchange, and not economic exchange, directly predicted the performance outcomes. These results suggest the importance of perceived exchanges between employee and employer.","container-title":"Journal of Applied Social Psychology","DOI":"10.1111/j.0021-9029.2006.00046.x","ISSN":"1559-1816","issue":"4","language":"en","note":"_eprint: https://onlinelibrary.wiley.com/doi/pdf/10.1111/j.0021-9029.2006.00046.x","page":"837-867","source":"Wiley Online Library","title":"Social and Economic Exchange: Construct Development and Validation","title-short":"Social and Economic Exchange","volume":"36","author":[{"family":"Shore","given":"Lynn M."},{"family":"Tetrick","given":"Lois E."},{"family":"Lynch","given":"Patricia"},{"family":"Barksdale","given":"Kevin"}],"issued":{"date-parts":[["2006"]]}}}],"schema":"https://github.com/citation-style-language/schema/raw/master/csl-citation.json"} </w:instrText>
      </w:r>
      <w:r w:rsidRPr="00402CAA">
        <w:fldChar w:fldCharType="separate"/>
      </w:r>
      <w:r w:rsidRPr="00402CAA">
        <w:t xml:space="preserve">(Shore </w:t>
      </w:r>
      <w:r w:rsidRPr="00402CAA">
        <w:rPr>
          <w:i/>
        </w:rPr>
        <w:t>et al.</w:t>
      </w:r>
      <w:r w:rsidRPr="00402CAA">
        <w:t>, 2006)</w:t>
      </w:r>
      <w:r w:rsidRPr="00402CAA">
        <w:fldChar w:fldCharType="end"/>
      </w:r>
      <w:r w:rsidRPr="00402CAA">
        <w:t xml:space="preserve">. Both parties are guided by an obligation to reciprocate favorably and avoid actions outside reciprocity norms </w:t>
      </w:r>
      <w:r w:rsidRPr="00402CAA">
        <w:fldChar w:fldCharType="begin"/>
      </w:r>
      <w:r w:rsidRPr="00402CAA">
        <w:instrText xml:space="preserve"> ADDIN ZOTERO_ITEM CSL_CITATION {"citationID":"ahhc7v5tjl","properties":{"formattedCitation":"(Gouldner, 1960)","plainCitation":"(Gouldner, 1960)","noteIndex":0},"citationItems":[{"id":325,"uris":["http://zotero.org/users/8724424/items/AEXGHSQQ"],"itemData":{"id":325,"type":"article-journal","container-title":"American Sociological Review","DOI":"10.2307/2092623","ISSN":"00031224","issue":"2","journalAbbreviation":"American Sociological Review","language":"en","page":"161","source":"DOI.org (Crossref)","title":"The Norm of Reciprocity: A Preliminary Statement","title-short":"The Norm of Reciprocity","volume":"25","author":[{"family":"Gouldner","given":"Alvin W."}],"issued":{"date-parts":[["1960",4]]}}}],"schema":"https://github.com/citation-style-language/schema/raw/master/csl-citation.json"} </w:instrText>
      </w:r>
      <w:r w:rsidRPr="00402CAA">
        <w:fldChar w:fldCharType="separate"/>
      </w:r>
      <w:r w:rsidRPr="00402CAA">
        <w:t>(Gouldner, 1960)</w:t>
      </w:r>
      <w:r w:rsidRPr="00402CAA">
        <w:fldChar w:fldCharType="end"/>
      </w:r>
      <w:r w:rsidRPr="00402CAA">
        <w:t xml:space="preserve">, which has been linked to higher levels of employee performance </w:t>
      </w:r>
      <w:r w:rsidRPr="00402CAA">
        <w:fldChar w:fldCharType="begin"/>
      </w:r>
      <w:r w:rsidRPr="00402CAA">
        <w:instrText xml:space="preserve"> ADDIN ZOTERO_ITEM CSL_CITATION {"citationID":"a2l59gsp8am","properties":{"formattedCitation":"(Wayne et al., 1997)","plainCitation":"(Wayne et al., 1997)","noteIndex":0},"citationItems":[{"id":326,"uris":["http://zotero.org/users/8724424/items/LWWJU3PZ"],"itemData":{"id":326,"type":"article-journal","abstract":"Employees develop exchange relationships both with organizations and immediate superiors, as evidenced by research on perceived organizational support (POS) and leader-member exchange (LMX), respectively. Despite conceptual similarities between these two constructs, theoretical development and research has proceeded independently. In an attempt to integrate these literatures, we developed and tested a model of the antecedents and consequences of POS and LMX, based on social exchange theory. Results indicated that POS and LMX have unique antecedents and are differentially related to outcome variables, providing support for the importance of both types of exchanges.","container-title":"Academy of Management Journal","DOI":"10.2307/257021","journalAbbreviation":"Academy of Management Journal","page":"82-111","source":"ResearchGate","title":"Perceived Organizational Support and Leader-Member Exchange: A Social Exchange Perspective","title-short":"Perceived Organizational Support and Leader-Member Exchange","volume":"40","author":[{"family":"Wayne","given":"Sandy"},{"family":"Shore","given":"Lynn"},{"family":"Liden","given":"Robert"}],"issued":{"date-parts":[["1997",2,1]]}}}],"schema":"https://github.com/citation-style-language/schema/raw/master/csl-citation.json"} </w:instrText>
      </w:r>
      <w:r w:rsidRPr="00402CAA">
        <w:fldChar w:fldCharType="separate"/>
      </w:r>
      <w:r w:rsidRPr="00402CAA">
        <w:t xml:space="preserve">(Wayne </w:t>
      </w:r>
      <w:r w:rsidRPr="00402CAA">
        <w:rPr>
          <w:i/>
        </w:rPr>
        <w:t>et al.</w:t>
      </w:r>
      <w:r w:rsidRPr="00402CAA">
        <w:t>, 1997)</w:t>
      </w:r>
      <w:r w:rsidRPr="00402CAA">
        <w:fldChar w:fldCharType="end"/>
      </w:r>
      <w:r w:rsidRPr="00402CAA">
        <w:t xml:space="preserve">. Additionally, employees could offer reciprocal acts to promote collectivity </w:t>
      </w:r>
      <w:r w:rsidRPr="00402CAA">
        <w:fldChar w:fldCharType="begin"/>
      </w:r>
      <w:r w:rsidRPr="00402CAA">
        <w:instrText xml:space="preserve"> ADDIN ZOTERO_ITEM CSL_CITATION {"citationID":"a29slfcfrs","properties":{"formattedCitation":"(Molm, 2010)","plainCitation":"(Molm, 2010)","noteIndex":0},"citationItems":[{"id":532,"uris":["http://zotero.org/users/8724424/items/W74B2YWI"],"itemData":{"id":532,"type":"article-journal","abstract":"Reciprocity is one of the defining features of social exchange and social life, yet exchange theorists have tended to take it for granted. Drawing on work from a decade-long theoretical research program, I argue that reciprocity is structured and variable across different forms of exchange, that these variations in the structure of reciprocity have profound effects on the emergence of integrative bonds of trust and solidarity, and that these effects are explained and mediated by a set of risk- and conflict-based processes. I discuss the consequences of this work for organizational theories of embeddedness and the production of social capital through network ties. Finally, I ask how the structure of networks and the structure of reciprocity are related to one another, and explore possible implications of the structure of reciprocity for exchange theorists? assumptions about actor motivations.","container-title":"Social Psychology Quarterly","DOI":"10.1177/0190272510369079","ISSN":"0190-2725","issue":"2","journalAbbreviation":"Soc Psychol Q","language":"en","note":"publisher: SAGE Publications Inc","page":"119-131","source":"SAGE Journals","title":"The Structure of Reciprocity","volume":"73","author":[{"family":"Molm","given":"Linda D."}],"issued":{"date-parts":[["2010",6,1]]}}}],"schema":"https://github.com/citation-style-language/schema/raw/master/csl-citation.json"} </w:instrText>
      </w:r>
      <w:r w:rsidRPr="00402CAA">
        <w:fldChar w:fldCharType="separate"/>
      </w:r>
      <w:r w:rsidRPr="00402CAA">
        <w:t>(Molm, 2010)</w:t>
      </w:r>
      <w:r w:rsidRPr="00402CAA">
        <w:fldChar w:fldCharType="end"/>
      </w:r>
      <w:r w:rsidRPr="00402CAA">
        <w:t xml:space="preserve">, such as practices that encourage organizational inclusion of diverse leaders. The characterization of reciprocal actions, which extend beyond two parties to involve a third party is known as indirect reciprocity </w:t>
      </w:r>
      <w:r w:rsidRPr="00402CAA">
        <w:fldChar w:fldCharType="begin"/>
      </w:r>
      <w:r w:rsidRPr="00402CAA">
        <w:instrText xml:space="preserve"> ADDIN ZOTERO_ITEM CSL_CITATION {"citationID":"a28387cd836","properties":{"formattedCitation":"(Flynn, 2005; Molm et al., 2007; Peng et al., 2014)","plainCitation":"(Flynn, 2005; Molm et al., 2007; Peng et al., 2014)","noteIndex":0},"citationItems":[{"id":533,"uris":["http://zotero.org/users/8724424/items/2SGZQ8LA"],"itemData":{"id":533,"type":"article-journal","abstract":"I attempt to explain why employees prefer different forms of social exchange by proposing that such preferences align with their identity orientations. I also develop a model outlining how identity orientations play an important role in developing employee exchange relations and how they may help predict the consequences of exchange dynamics. By identifying linkages between identity orientations and forms of social exchange, I hope to stimulate future research on the connections between social exchange theory and the identity orientation framework.","container-title":"Academy of Management Review","DOI":"10.5465/amr.2005.18378875","ISSN":"0363-7425","issue":"4","journalAbbreviation":"AMR","note":"publisher: Academy of Management","page":"737-750","source":"journals.aom.org (Atypon)","title":"Identity Orientations And Forms Of Social Exchange In Organizations","volume":"30","author":[{"family":"Flynn","given":"Francis J."}],"issued":{"date-parts":[["2005",10]]}}},{"id":537,"uris":["http://zotero.org/users/8724424/items/SQL6MLBV"],"itemData":{"id":537,"type":"article-journal","abstract":"Despite the prevalence of generalized exchange in social life, few studies have investigated the classic anthropological prediction that generalized (indirect) exchange produces greater social solidarity than restricted (direct) exchange. Building on recent work comparing negotiated and reciprocal forms of direct exchange, the authors develop a theory of reciprocity in exchange. The theory argues that two structural characteristics of reciprocity distinguish among all three forms of exchange and affect the emergence of social solidarity through three causal mechanisms. Experimental results provide strong support for the causal logic of the theory and for the predicted ordering of subjective dimensions of solidarity across the three forms of exchange, with generalized indirect exchange &gt; reciprocal direct exchange &gt; negotiated direct exchange.","container-title":"American Journal of Sociology","DOI":"10.1086/517900","ISSN":"0002-9602","issue":"1","note":"publisher: The University of Chicago Press","page":"205-242","source":"journals.uchicago.edu (Atypon)","title":"Building Solidarity through Generalized Exchange: A Theory of Reciprocity","title-short":"Building Solidarity through Generalized Exchange","volume":"113","author":[{"family":"Molm","given":"Linda D."},{"family":"Collett","given":"Jessica L."},{"family":"Schaefer","given":"David R."}],"issued":{"date-parts":[["2007",7]]}}},{"id":536,"uris":["http://zotero.org/users/8724424/items/4YKYEWAC"],"itemData":{"id":536,"type":"article-journal","abstract":"This study examines how the quality of individuals' social exchange relationships with their leaders and separately, their work unit peers, mediate the interactive effects of abusive supervision directed toward themselves (own abusive supervision) and toward their work unit peers (peer abusive supervision) on individual task performance and helping behavior directed toward coworkers. Testing the model using a sample of 358 workers from 25 organizations, we found support for our hypotheses that leader–member exchange (LMX) and affect-based trust in peers each partially mediated the interactive effects of own and peer abusive supervision. Workers that exhibited high levels of task performance and engaged in more helping behaviors tended to have both low own abusive supervision and low peer abusive supervision. Own abusive supervision was unrelated to the behavioral outcomes among workers whose peers were victims of supervisory abuse. We discuss the implications of relational dynamics with peers and the immediate supervisor for understanding the scope of the impact of abusive supervision on follower outcomes.","container-title":"Academy of Management Journal","DOI":"10.5465/amj.2012.0080","ISSN":"0001-4273","issue":"5","journalAbbreviation":"AMJ","note":"publisher: Academy of Management","page":"1385-1405","source":"journals.aom.org (Atypon)","title":"Social Exchange Implications of Own and CoWorkers' Experiences of Supervisory Abuse","volume":"57","author":[{"family":"Peng","given":"Ann C."},{"family":"Schaubroeck","given":"John M."},{"family":"Li","given":"Yuhui"}],"issued":{"date-parts":[["2014",10]]}}}],"schema":"https://github.com/citation-style-language/schema/raw/master/csl-citation.json"} </w:instrText>
      </w:r>
      <w:r w:rsidRPr="00402CAA">
        <w:fldChar w:fldCharType="separate"/>
      </w:r>
      <w:r w:rsidRPr="00402CAA">
        <w:t xml:space="preserve">(Flynn, 2005; Molm </w:t>
      </w:r>
      <w:r w:rsidRPr="00402CAA">
        <w:rPr>
          <w:i/>
        </w:rPr>
        <w:t>et al.</w:t>
      </w:r>
      <w:r w:rsidRPr="00402CAA">
        <w:t xml:space="preserve">, 2007; Peng </w:t>
      </w:r>
      <w:r w:rsidRPr="00402CAA">
        <w:rPr>
          <w:i/>
        </w:rPr>
        <w:t>et al.</w:t>
      </w:r>
      <w:r w:rsidRPr="00402CAA">
        <w:t>, 2014)</w:t>
      </w:r>
      <w:r w:rsidRPr="00402CAA">
        <w:fldChar w:fldCharType="end"/>
      </w:r>
      <w:r w:rsidRPr="00402CAA">
        <w:t xml:space="preserve">, that is, benefits received for performed actions that derive from subjects who are not the original beneficiary </w:t>
      </w:r>
      <w:r w:rsidRPr="00402CAA">
        <w:fldChar w:fldCharType="begin"/>
      </w:r>
      <w:r w:rsidRPr="00402CAA">
        <w:instrText xml:space="preserve"> ADDIN ZOTERO_ITEM CSL_CITATION {"citationID":"a29onlv21k7","properties":{"formattedCitation":"(Alexander, 2017)","plainCitation":"(Alexander, 2017)","noteIndex":0},"citationItems":[{"id":538,"uris":["http://zotero.org/users/8724424/items/RBHVYYSV"],"itemData":{"id":538,"type":"book","abstract":"First published in 1987, this book discusses the life and natural history of moral systems as seen through the eyes of a biologist. The volume offers a comprehensive introspective of the biology of a moral system by examining the evolutionary approach from perspectives of sociobiology and ideology. Morality in relation to conflicts and confluences of interest among humankind are further evaluated, with particular emphasis on the human psyche and the ontogeny of moral behaviour. Philosophical meets biological with insightful commentary on the morality of law and democracy. The book concludes with an epilogue, bibliography and name and subject index. It is clear, concise and contemporary and would be of use to those studying Biology, Philsophy and many other social sciences.","event-place":"New York","ISBN":"978-0-203-70097-6","note":"DOI: 10.4324/9780203700976","number-of-pages":"323","publisher":"Routledge","publisher-place":"New York","title":"The Biology of Moral Systems","author":[{"family":"Alexander","given":"Richard"}],"issued":{"date-parts":[["2017",10,30]]}}}],"schema":"https://github.com/citation-style-language/schema/raw/master/csl-citation.json"} </w:instrText>
      </w:r>
      <w:r w:rsidRPr="00402CAA">
        <w:fldChar w:fldCharType="separate"/>
      </w:r>
      <w:r w:rsidRPr="00402CAA">
        <w:t>(Alexander, 2017)</w:t>
      </w:r>
      <w:r w:rsidRPr="00402CAA">
        <w:fldChar w:fldCharType="end"/>
      </w:r>
      <w:r w:rsidRPr="00402CAA">
        <w:t xml:space="preserve">. Shore et al. (2011) indicate that a climate of inclusion can only be established when organizational practices treat all social groups consistently fairly. Fostering fairness is a crucial aspect of inclusion because it helps develop trust among employees toward the organization (Chaudhry </w:t>
      </w:r>
      <w:r w:rsidRPr="00402CAA">
        <w:rPr>
          <w:i/>
          <w:iCs/>
        </w:rPr>
        <w:t>et al.,</w:t>
      </w:r>
      <w:r w:rsidRPr="00402CAA">
        <w:t xml:space="preserve"> 2021). One of the critical aspects in fostering fairness perceptions is the application of consistent procedures that are free from and avoid bias (Cohen-</w:t>
      </w:r>
      <w:proofErr w:type="spellStart"/>
      <w:r w:rsidRPr="00402CAA">
        <w:t>Charash</w:t>
      </w:r>
      <w:proofErr w:type="spellEnd"/>
      <w:r w:rsidRPr="00402CAA">
        <w:t xml:space="preserve"> and Spector, 2001; Colquitt </w:t>
      </w:r>
      <w:r w:rsidRPr="00402CAA">
        <w:rPr>
          <w:i/>
          <w:iCs/>
        </w:rPr>
        <w:t>et al.,</w:t>
      </w:r>
      <w:r w:rsidRPr="00402CAA">
        <w:t xml:space="preserve"> 2001). Therefore, organizations that promote an inclusive climate that supports the acceptance of leaders from diverse demographic backgrounds should ignite fairness perceptions within employees, where they become motivated to reciprocate to the collective in favor of diverse leaders’ fair and inclusive treatment by indirectly improving work performance. Moreover, social exchange relationships are also operationalized by expected psychological contracts, between the employee and organization </w:t>
      </w:r>
      <w:r w:rsidRPr="00402CAA">
        <w:fldChar w:fldCharType="begin"/>
      </w:r>
      <w:r w:rsidRPr="00402CAA">
        <w:instrText xml:space="preserve"> ADDIN ZOTERO_ITEM CSL_CITATION {"citationID":"a2cdkmatkc1","properties":{"formattedCitation":"(Buttner et al., 2010)","plainCitation":"(Buttner et al., 2010)","noteIndex":0},"citationItems":[{"id":960,"uris":["http://zotero.org/users/8724424/items/XUQUE2BL"],"itemData":{"id":960,"type":"article-journal","abstract":"Purpose – The purposes of this paper are three-fold: first, to examine the effect of diversity climate on professional employee of color outcomes, organizational commitment and turnover intentions; second, to investigate the moderating and mediating roles of interactional and procedural justice on the relationships between diversity climate and the outcomes; and third, to explore the interactive effect of racial awareness and diversity climate on reported psychological contract violation. Design/methodology/approach – The authors conducted a survey of 182 professionals of color. Correlation, factor analysis, and regression were employed to test the hypotheses. Findings – Results indicate that diversity climate affects organizational commitment and turnover intentions. Interactional and procedural justice played mediating roles between diversity climate and employee outcomes. Moderated mediation analysis indicated that for turnover intentions, there was moderated mediation under both low and high procedural justice conditions. When a diversity climate was perceived to be fair, racially aware respondents reported lower levels of psychological contract violation. Research limitations/implications – Professionals of color from one US industry completed the survey, so conclusions about generalizability should be drawn with caution. Data were cross-sectional and single-source. However, the findings were consistent with past research, lending credibility to the results. Originality/value – Recent research on workforce diversity has highlighted the importance of effectively managing all organizational members. The paper shows that the diversity climate and organizational justice impact employee of color outcomes. Thus, for managers, creating and maintaining a positive, fair diversity climate will be important for attracting and retaining high-quality professionals of color in US organizations.","container-title":"Career Development International","DOI":"10.1108/13620431011053721","journalAbbreviation":"Career Development International","page":"239-258","source":"ResearchGate","title":"Diversity climate impact on employee of color outcomes: Does justice matter?","title-short":"Diversity climate impact on employee of color outcomes","volume":"15","author":[{"family":"Buttner","given":"E. Holly"},{"family":"Lowe","given":"Kevin"},{"family":"Billings-Harris","given":"Lenora"}],"issued":{"date-parts":[["2010",6,22]]}}}],"schema":"https://github.com/citation-style-language/schema/raw/master/csl-citation.json"} </w:instrText>
      </w:r>
      <w:r w:rsidRPr="00402CAA">
        <w:fldChar w:fldCharType="separate"/>
      </w:r>
      <w:r w:rsidRPr="00402CAA">
        <w:t xml:space="preserve">(Buttner </w:t>
      </w:r>
      <w:r w:rsidRPr="00402CAA">
        <w:rPr>
          <w:i/>
        </w:rPr>
        <w:t>et al.</w:t>
      </w:r>
      <w:r w:rsidRPr="00402CAA">
        <w:t>, 2010)</w:t>
      </w:r>
      <w:r w:rsidRPr="00402CAA">
        <w:fldChar w:fldCharType="end"/>
      </w:r>
      <w:r w:rsidRPr="00402CAA">
        <w:t xml:space="preserve">. The psychological contract entails employees' belief in the organization's capacity to fulfill commitments and obligations within the employee-organization relationship </w:t>
      </w:r>
      <w:r w:rsidRPr="00402CAA">
        <w:fldChar w:fldCharType="begin"/>
      </w:r>
      <w:r w:rsidRPr="00402CAA">
        <w:instrText xml:space="preserve"> ADDIN ZOTERO_ITEM CSL_CITATION {"citationID":"anme2m42iu","properties":{"formattedCitation":"(Morrison &amp; Robinson, 1997; Rousseau, 1989)","plainCitation":"(Morrison &amp; Robinson, 1997; Rousseau, 1989)","noteIndex":0},"citationItems":[{"id":967,"uris":["http://zotero.org/users/8724424/items/8UAPZG32"],"itemData":{"id":967,"type":"article-journal","abstract":"The psychological contract held by an employee consists of beliefs about the reciprocal obligations between that employee and his or her organization. Violation refers to the feelings of anger and betrayal that are often experienced when an employee believes that the organization has failed to fulfill one or more of those obligations. This article provides a model outlining the psychological sensemaking processes preceding an employee's experience of psychological contract violation. It also identifies factors that affect those processes with the aim of encouraging future empirical research.","container-title":"The Academy of Management Review","DOI":"10.2307/259230","ISSN":"0363-7425","issue":"1","note":"publisher: Academy of Management","page":"226-256","source":"JSTOR","title":"When Employees Feel Betrayed: A Model of How Psychological Contract Violation Develops","title-short":"When Employees Feel Betrayed","volume":"22","author":[{"family":"Morrison","given":"Elizabeth Wolfe"},{"family":"Robinson","given":"Sandra L."}],"issued":{"date-parts":[["1997"]]}}},{"id":965,"uris":["http://zotero.org/users/8724424/items/VWM4M5WF"],"itemData":{"id":965,"type":"article-journal","abstract":"Two forms of unwritten contracts derive from relations between organizations and their members. Psychological contracts are individual beliefs in a reciprocal obligation between the individual and the organization. Implied contracts are mutual obligations characterizing interactions existing at the level of the relationship (e.g., dyadic, interunit). Employee/employer relations and changing conditions of employment give rise to issues not addressed in conventional transaction-oriented models of motivation and individual responses. The development, maintenance, and violation of psychological and implied contracts are described along with their organizational implications.","container-title":"Employee Responsibilities and Rights Journal","DOI":"10.1007/BF01384942","ISSN":"1573-3378","issue":"2","journalAbbreviation":"Employ Respons Rights J","language":"en","page":"121-139","source":"Springer Link","title":"Psychological and implied contracts in organizations","volume":"2","author":[{"family":"Rousseau","given":"Denise M."}],"issued":{"date-parts":[["1989",6,1]]}}}],"schema":"https://github.com/citation-style-language/schema/raw/master/csl-citation.json"} </w:instrText>
      </w:r>
      <w:r w:rsidRPr="00402CAA">
        <w:fldChar w:fldCharType="separate"/>
      </w:r>
      <w:r w:rsidRPr="00402CAA">
        <w:t>(Morrison and Robinson, 1997; Rousseau, 1989)</w:t>
      </w:r>
      <w:r w:rsidRPr="00402CAA">
        <w:fldChar w:fldCharType="end"/>
      </w:r>
      <w:r w:rsidRPr="00402CAA">
        <w:t xml:space="preserve">. When organizations fulfill their </w:t>
      </w:r>
      <w:r w:rsidRPr="00402CAA">
        <w:lastRenderedPageBreak/>
        <w:t xml:space="preserve">psychological contract by demonstrating their commitment to fair organizational climates for those who come from diverse backgrounds </w:t>
      </w:r>
      <w:r w:rsidRPr="00402CAA">
        <w:fldChar w:fldCharType="begin"/>
      </w:r>
      <w:r w:rsidRPr="00402CAA">
        <w:instrText xml:space="preserve"> ADDIN ZOTERO_ITEM CSL_CITATION {"citationID":"af7s228ftj","properties":{"formattedCitation":"(Mckay &amp; Avery, 2005)","plainCitation":"(Mckay &amp; Avery, 2005)","noteIndex":0},"citationItems":[{"id":971,"uris":["http://zotero.org/users/8724424/items/Q3LIMBBF"],"itemData":{"id":971,"type":"article-journal","abstract":"Many companies have adopted diversity recruitment initiatives to garner the interest of minority job applicants. The implicit message in these initiatives is that firms maintain supportive diversity climates. Minority job applicants that are subsequently hired may believe that the recruitment tactics used to entice them were misleading if actual work-place diversity climates are unfavorable. This article utilizes the person-organization fit, realistic job preview, and psychological contract literatures to illustrate how common diversity recruitment practices may contribute to increased turnover among new minority hires. Several suggestions are presented for strengthening the link between diversity recruitment and minority employee retention.","container-title":"Journal of Management Inquiry","DOI":"10.1177/1056492605280239","ISSN":"1056-4926","issue":"4","language":"en","note":"publisher: SAGE Publications Inc","page":"330-336","source":"SAGE Journals","title":"Warning! Diversity Recruitment Could Backfire","volume":"14","author":[{"family":"Mckay","given":"Patrick F."},{"family":"Avery","given":"Derek R."}],"issued":{"date-parts":[["2005",12,1]]}}}],"schema":"https://github.com/citation-style-language/schema/raw/master/csl-citation.json"} </w:instrText>
      </w:r>
      <w:r w:rsidRPr="00402CAA">
        <w:fldChar w:fldCharType="separate"/>
      </w:r>
      <w:r w:rsidRPr="00402CAA">
        <w:t>(Avery and McKay, 2006)</w:t>
      </w:r>
      <w:r w:rsidRPr="00402CAA">
        <w:fldChar w:fldCharType="end"/>
      </w:r>
      <w:r w:rsidRPr="00402CAA">
        <w:t xml:space="preserve">, such as the inclusion of diverse leaders, employees will in turn reciprocate with higher levels of performance. </w:t>
      </w:r>
      <w:bookmarkStart w:id="2" w:name="_Hlk125712429"/>
      <w:r w:rsidRPr="00402CAA">
        <w:t xml:space="preserve">The following hypothesis is proposed: </w:t>
      </w:r>
    </w:p>
    <w:p w14:paraId="265421B1" w14:textId="77777777" w:rsidR="0086443B" w:rsidRPr="00402CAA" w:rsidRDefault="0086443B" w:rsidP="0086443B">
      <w:pPr>
        <w:spacing w:line="480" w:lineRule="auto"/>
        <w:ind w:firstLine="720"/>
      </w:pPr>
      <w:bookmarkStart w:id="3" w:name="_Hlk125712442"/>
      <w:bookmarkEnd w:id="2"/>
      <w:r w:rsidRPr="00402CAA">
        <w:t>H2: Organizational justice will mediate the relationship between</w:t>
      </w:r>
      <w:r w:rsidRPr="00402CAA">
        <w:rPr>
          <w:i/>
          <w:iCs/>
        </w:rPr>
        <w:t xml:space="preserve"> PICLD</w:t>
      </w:r>
      <w:r w:rsidRPr="00402CAA">
        <w:t xml:space="preserve"> and employee work performance.</w:t>
      </w:r>
      <w:bookmarkStart w:id="4" w:name="_Toc135055196"/>
      <w:bookmarkEnd w:id="3"/>
    </w:p>
    <w:p w14:paraId="049D4AF0" w14:textId="77777777" w:rsidR="0086443B" w:rsidRPr="00402CAA" w:rsidRDefault="0086443B" w:rsidP="0086443B">
      <w:pPr>
        <w:spacing w:line="480" w:lineRule="auto"/>
        <w:rPr>
          <w:i/>
          <w:iCs/>
        </w:rPr>
      </w:pPr>
      <w:r w:rsidRPr="00402CAA">
        <w:rPr>
          <w:i/>
          <w:iCs/>
        </w:rPr>
        <w:t>3.5.3. PICLD, Organizational Justice, and Engagement</w:t>
      </w:r>
      <w:bookmarkEnd w:id="4"/>
      <w:r w:rsidRPr="00402CAA">
        <w:rPr>
          <w:i/>
          <w:iCs/>
        </w:rPr>
        <w:t xml:space="preserve"> </w:t>
      </w:r>
    </w:p>
    <w:p w14:paraId="21507F2E" w14:textId="77777777" w:rsidR="0086443B" w:rsidRPr="00402CAA" w:rsidRDefault="0086443B" w:rsidP="0086443B">
      <w:pPr>
        <w:spacing w:line="480" w:lineRule="auto"/>
      </w:pPr>
      <w:r w:rsidRPr="00402CAA">
        <w:tab/>
      </w:r>
      <w:r w:rsidRPr="00402CAA">
        <w:fldChar w:fldCharType="begin"/>
      </w:r>
      <w:r w:rsidRPr="00402CAA">
        <w:instrText xml:space="preserve"> ADDIN ZOTERO_ITEM CSL_CITATION {"citationID":"aib0n8j489","properties":{"formattedCitation":"\\uldash{(Schaufeli et al., 2002)}","plainCitation":"(Schaufeli et al., 2002)","dontUpdate":true,"noteIndex":0},"citationItems":[{"id":328,"uris":["http://zotero.org/users/8724424/items/STE6ZCMW"],"itemData":{"id":328,"type":"article-journal","abstract":"This study examines the factorial structure of a new instrument to measure engagement, the hypothesized `opposite' of burnout in a sample of university students (N=314) and employees (N=619). In addition, the factorial structure of the Maslach-Burnout Inventory-General Survey (MBI-GS) is assessed and the relationship between engagement and burnout is examined. Simultaneous confirmatory factor analyses in both samples confirmed the original three-factor structure of the MBI-GS (exhaustion, cynicism, and professional efficacy) as well as the hypothesized three-factor structure of engagement (vigor, dedication, and absorption). Contrary to expectations, a model with two higher-order factors – ‘burnout’ and ‘engagement’ – did not show a superior fit to the data. Instead, our analyses revealed an alternative model with two latent factors including: (1) exhaustion and cynicism (‘core of burnout’); (2) all three engagement scales plus efficacy. Both latent factors are negatively related and share between 22% and 38% of their variances in both samples. Despite the fact that slightly different versions of the MBI-GS and the engagement questionnaire had to be used in both samples the results were remarkably similar across samples, which illustrates the robustness of our findings.","container-title":"Journal of Happiness Studies","DOI":"10.1023/A:1015630930326","ISSN":"1573-7780","issue":"1","journalAbbreviation":"Journal of Happiness Studies","language":"en","page":"71-92","source":"Springer Link","title":"The Measurement of Engagement and Burnout: A Two Sample Confirmatory Factor Analytic Approach","title-short":"The Measurement of Engagement and Burnout","volume":"3","author":[{"family":"Schaufeli","given":"Wilmar B."},{"family":"Salanova","given":"Marisa"},{"family":"González-romá","given":"Vicente"},{"family":"Bakker","given":"Arnold B."}],"issued":{"date-parts":[["2002",3,1]]}}}],"schema":"https://github.com/citation-style-language/schema/raw/master/csl-citation.json"} </w:instrText>
      </w:r>
      <w:r w:rsidRPr="00402CAA">
        <w:fldChar w:fldCharType="separate"/>
      </w:r>
      <w:r w:rsidRPr="00402CAA">
        <w:t xml:space="preserve">Schaufeli </w:t>
      </w:r>
      <w:r w:rsidRPr="00402CAA">
        <w:rPr>
          <w:i/>
        </w:rPr>
        <w:t>et al.</w:t>
      </w:r>
      <w:r w:rsidRPr="00402CAA">
        <w:t xml:space="preserve"> (2002)</w:t>
      </w:r>
      <w:r w:rsidRPr="00402CAA">
        <w:fldChar w:fldCharType="end"/>
      </w:r>
      <w:r w:rsidRPr="00402CAA">
        <w:t xml:space="preserve"> defined employees work engagement as “a positive, fulfilling, work-related state of mind that is characterized by vigor, dedication, and absorption” (p. 74). Vigor refers to the willingness to invest in work with high energy and mental resilience. Dedication refers to one’s attribution of work significance. Absorption refers to paying undivided attention to and being fully engrossed by one’s work (Schaufeli </w:t>
      </w:r>
      <w:r w:rsidRPr="00402CAA">
        <w:rPr>
          <w:i/>
        </w:rPr>
        <w:t>et al.</w:t>
      </w:r>
      <w:r w:rsidRPr="00402CAA">
        <w:t xml:space="preserve">, 2002). </w:t>
      </w:r>
    </w:p>
    <w:p w14:paraId="282BBEB6" w14:textId="77777777" w:rsidR="0086443B" w:rsidRPr="00402CAA" w:rsidRDefault="0086443B" w:rsidP="00E5693B">
      <w:pPr>
        <w:spacing w:line="480" w:lineRule="auto"/>
        <w:ind w:firstLine="720"/>
      </w:pPr>
      <w:r w:rsidRPr="00402CAA">
        <w:t xml:space="preserve">Prior research reveals various antecedents have positive impacts on employee engagement. More specifically, all three dimensions of organizational justice, including distributive justice </w:t>
      </w:r>
      <w:r w:rsidRPr="00402CAA">
        <w:fldChar w:fldCharType="begin"/>
      </w:r>
      <w:r w:rsidRPr="00402CAA">
        <w:instrText xml:space="preserve"> ADDIN ZOTERO_ITEM CSL_CITATION {"citationID":"a686jbuksg","properties":{"formattedCitation":"(Lamprakis et al., 2018)","plainCitation":"(Lamprakis et al., 2018)","noteIndex":0},"citationItems":[{"id":615,"uris":["http://zotero.org/users/8724424/items/WVVKKAVN"],"itemData":{"id":615,"type":"article-journal","abstract":"Organisational justice is a key component in the practice of human resources management in any work environment. The aim of this research survey is to highlight the meaning and importance of organisational justice and its impact on employee engagement. To achieve this aim, except for the literature review, the survey examines the extent to which the distributive, procedural and interactional justice impact on work and organisational engagement, through a research in a certain Greek public organisation. As regards the statistical analysis of the research hypotheses, we used methods of the SPSS 17.00 statistical package. The results showed that the distributive justice significantly impacts on both types of engagement, while no effect was detected between procedural justice and the two types of engagement. The interactional justice was found to determine, partly, only the organisational engagement. The findings overwhelmingly verified the existing bibliographical references, resulting in a noteworthy empirical precedent which could contribute to the field concerning the impact that organisational justice exerts on certain aspects of organisational behaviour.","container-title":"Scientific Annals of Economics and Business","ISSN":"2501-1960, 2501-3165, 2501-3165","issue":"1","language":"English","note":"publisher: Editura Universităţii &amp;#187;Alexandru Ioan Cuza&amp;#171; din Iaşi","page":"65-79","source":"www.ceeol.com","title":"The Organisational Justice as a Human Resources Management Practice and its Impact on Employee Engagement: The case of the Prefecture of Attica (Greece)","title-short":"The Organisational Justice as a Human Resources Management Practice and its Impact on Employee Engagement","volume":"65","author":[{"family":"Lamprakis","given":"Athanasios"},{"family":"Alamani","given":"Kalliopi"},{"family":"Malliari","given":"Athina"},{"family":"Grivas","given":"Ilias"}],"issued":{"date-parts":[["2018"]]}}}],"schema":"https://github.com/citation-style-language/schema/raw/master/csl-citation.json"} </w:instrText>
      </w:r>
      <w:r w:rsidRPr="00402CAA">
        <w:fldChar w:fldCharType="separate"/>
      </w:r>
      <w:r w:rsidRPr="00402CAA">
        <w:t>(Lamprakis</w:t>
      </w:r>
      <w:r w:rsidRPr="00402CAA">
        <w:rPr>
          <w:i/>
          <w:iCs/>
        </w:rPr>
        <w:t xml:space="preserve"> et al., </w:t>
      </w:r>
      <w:r w:rsidRPr="00402CAA">
        <w:t>2018)</w:t>
      </w:r>
      <w:r w:rsidRPr="00402CAA">
        <w:fldChar w:fldCharType="end"/>
      </w:r>
      <w:r w:rsidRPr="00402CAA">
        <w:t xml:space="preserve">, procedural justice </w:t>
      </w:r>
      <w:r w:rsidRPr="00402CAA">
        <w:fldChar w:fldCharType="begin"/>
      </w:r>
      <w:r w:rsidRPr="00402CAA">
        <w:instrText xml:space="preserve"> ADDIN ZOTERO_ITEM CSL_CITATION {"citationID":"a1vfh39ftol","properties":{"formattedCitation":"(\\uc0\\u214{}zer et al., 2017)","plainCitation":"(Özer et al., 2017)","noteIndex":0},"citationItems":[{"id":616,"uris":["http://zotero.org/users/8724424/items/QXFVKJI6"],"itemData":{"id":616,"type":"article-journal","abstract":"Work engagement is a concept that reflects a positive way of thinking that relates to commitment and involvement to one?s organization, his/her enthusiasm and energy. In relevant literature there is a wide range of studies focusing on the relation between work engagement and a set of variables. Thus this study was executed to analyze the effect of organizational justice on work engagement. Implementation stage of the research was conducted on healthcare personnel working in a state hospital in Turkey and data were collected from 414 healthcare employees. Conducted analyses revealed that the correlations between subdimensions of organizational justice and work engagement were positive and in medium level. In the regression analysis which was implemented to measure the effect of subdimensions of organizational justice on work engagement it was identified that subdimensions of organizational justice perception in tandem explained 33 per cent of total variance. It can thus be claimed that climbing organizational justice perception increases in turn in a statistically significant way the work engagement level of the personnel. As regards work engagement, the most significant effect was created by procedural justice subsequently followed by distributive and interactional justice.","container-title":"Journal of Health Management","DOI":"10.1177/0972063416682562","ISSN":"0972-0634","issue":"1","language":"en","note":"publisher: SAGE Publications India","page":"73-83","source":"SAGE Journals","title":"Effect of Organizational Justice on Work Engagement in Healthcare Sector of Turkey","volume":"19","author":[{"family":"Özer","given":"Özlem"},{"family":"Uğurluoğlu","given":"Özgür"},{"family":"Saygili","given":"Meltem"}],"issued":{"date-parts":[["2017",3,1]]}}}],"schema":"https://github.com/citation-style-language/schema/raw/master/csl-citation.json"} </w:instrText>
      </w:r>
      <w:r w:rsidRPr="00402CAA">
        <w:fldChar w:fldCharType="separate"/>
      </w:r>
      <w:r w:rsidRPr="00402CAA">
        <w:t>(Özer</w:t>
      </w:r>
      <w:r w:rsidRPr="00402CAA">
        <w:rPr>
          <w:i/>
          <w:iCs/>
        </w:rPr>
        <w:t xml:space="preserve"> et al.</w:t>
      </w:r>
      <w:r w:rsidRPr="00402CAA">
        <w:t>, 2017)</w:t>
      </w:r>
      <w:r w:rsidRPr="00402CAA">
        <w:fldChar w:fldCharType="end"/>
      </w:r>
      <w:r w:rsidRPr="00402CAA">
        <w:t xml:space="preserve">, and interactional justice </w:t>
      </w:r>
      <w:r w:rsidRPr="00402CAA">
        <w:fldChar w:fldCharType="begin"/>
      </w:r>
      <w:r w:rsidRPr="00402CAA">
        <w:instrText xml:space="preserve"> ADDIN ZOTERO_ITEM CSL_CITATION {"citationID":"afe4jhu8s9","properties":{"formattedCitation":"(Pirzada et al., 2020)","plainCitation":"(Pirzada et al., 2020)","noteIndex":0},"citationItems":[{"id":618,"uris":["http://zotero.org/users/8724424/items/CAGMDNWU"],"itemData":{"id":618,"type":"article-journal","abstract":"This study aims to investigate the influence of employee silence (ES) on work engagement (WE). Moreover, Organizational justice (OJ) is observed as mediator between (E) silence and (W)engagement. The contextual frame of this study refers to faculty members of public sector universities in Sindh. Following (Baron &amp; Kenny, 1986) mediating effects of OJ is observed. The outcomes of the study seen as significant and negative relationship between ES and WE. Furthermore, OJ fully mediates the relationship between ES and WE. Study is noteworthy and imperative because it has attempted to explore a rarely explored area in research. Management can use results to decrease employee silence and increase work engagement level in public sector universities specifically and in other public sector organizations generally ensuing in prosperity of employees, public sector and economy.","language":"en","source":"Zotero","title":"Study of Employee silence, Organizational Justice and Work Engagement: Mediation Analysis","author":[{"family":"Pirzada","given":"Zubair A"},{"family":"Mirani","given":"Sajid H"},{"family":"Phulpoto","given":"Nazar H"},{"family":"Dogar","given":"Humaira"},{"family":"Mahar","given":"Shoukat A"}],"issued":{"date-parts":[["2020"]]}}}],"schema":"https://github.com/citation-style-language/schema/raw/master/csl-citation.json"} </w:instrText>
      </w:r>
      <w:r w:rsidRPr="00402CAA">
        <w:fldChar w:fldCharType="separate"/>
      </w:r>
      <w:r w:rsidRPr="00402CAA">
        <w:t xml:space="preserve">(Pirzada </w:t>
      </w:r>
      <w:r w:rsidRPr="00402CAA">
        <w:rPr>
          <w:i/>
          <w:iCs/>
        </w:rPr>
        <w:t>et al.,</w:t>
      </w:r>
      <w:r w:rsidRPr="00402CAA">
        <w:t xml:space="preserve"> 2020)</w:t>
      </w:r>
      <w:r w:rsidRPr="00402CAA">
        <w:fldChar w:fldCharType="end"/>
      </w:r>
      <w:r w:rsidRPr="00402CAA">
        <w:t xml:space="preserve"> were shown to have a positive relationship with work engagement. Findings from Alias et al.’s (2020) study indicates two factors, readiness for change and goal orientation, positively relate to work engagement </w:t>
      </w:r>
      <w:r w:rsidRPr="00402CAA">
        <w:fldChar w:fldCharType="begin"/>
      </w:r>
      <w:r w:rsidRPr="00402CAA">
        <w:instrText xml:space="preserve"> ADDIN ZOTERO_ITEM CSL_CITATION {"citationID":"a2kaulq5fbd","properties":{"formattedCitation":"(Alias et al., 2020)","plainCitation":"(Alias et al., 2020)","noteIndex":0},"citationItems":[{"id":612,"uris":["http://zotero.org/users/8724424/items/CKC5QX3Q"],"itemData":{"id":612,"type":"article-journal","abstract":"Purpose This study aims to investigate the implication of workplace incivility among employees in the public service department in Putrajaya involving job satisfaction, work stress, psychological contract, knowledge sharing and work engagement. Design/methodology/approach This cross-sectional study examines the implication of workplace incivility among 180 employees in the Malaysian public service organization. Purposive sampling was used in this study. Partial least square was used to examine the measurement and the structural model of this study. Findings The result demonstrated that workplace incivility was associated with the psychological contract, job satisfaction, work stress and work engagement. The study also found that workplace incivility does not impact knowledge sharing in the public service organization department. Practical implications Future research could provide a more broadened scope to ensure the generalization of the results for the overall public service in Malaysia. Human resource development researchers could look into experimental studies to raise the awareness of workplace incivility that may lead to the decline of workplace incivility. Originality/value The research could trigger more empirical research toward understanding the phenomenon and implication of workplace incivility in the perspective of Malaysian public service organizations specifically in Asian countries, which are currently limited.","container-title":"European Journal of Training and Development","DOI":"10.1108/EJTD-02-2020-0031","ISSN":"2046-9012","issue":"3/4","note":"publisher: Emerald Publishing Limited","page":"356-372","source":"Emerald Insight","title":"Workplace incivility: the impact on the Malaysian public service department","title-short":"Workplace incivility","volume":"46","author":[{"family":"Alias","given":"Mazni"},{"family":"Ojo","given":"Adedapo Oluwaseyi"},{"family":"Ameruddin","given":"Nur Farhana Lyana"}],"issued":{"date-parts":[["2020",1,1]]}}}],"schema":"https://github.com/citation-style-language/schema/raw/master/csl-citation.json"} </w:instrText>
      </w:r>
      <w:r w:rsidRPr="00402CAA">
        <w:fldChar w:fldCharType="separate"/>
      </w:r>
      <w:r w:rsidRPr="00402CAA">
        <w:t xml:space="preserve">(Alias </w:t>
      </w:r>
      <w:r w:rsidRPr="00402CAA">
        <w:rPr>
          <w:i/>
          <w:iCs/>
        </w:rPr>
        <w:t>et al.,</w:t>
      </w:r>
      <w:r w:rsidRPr="00402CAA">
        <w:t xml:space="preserve"> 2020)</w:t>
      </w:r>
      <w:r w:rsidRPr="00402CAA">
        <w:fldChar w:fldCharType="end"/>
      </w:r>
      <w:r w:rsidRPr="00402CAA">
        <w:t xml:space="preserve">. </w:t>
      </w:r>
      <w:r w:rsidRPr="00402CAA">
        <w:fldChar w:fldCharType="begin"/>
      </w:r>
      <w:r w:rsidRPr="00402CAA">
        <w:instrText xml:space="preserve"> ADDIN ZOTERO_ITEM CSL_CITATION {"citationID":"a1nuco2r2nr","properties":{"formattedCitation":"\\uldash{(Rai &amp; Maheshwari, 2020)}","plainCitation":"(Rai &amp; Maheshwari, 2020)","dontUpdate":true,"noteIndex":0},"citationItems":[{"id":589,"uris":["http://zotero.org/users/8724424/items/MPWQJELB"],"itemData":{"id":589,"type":"article-journal","abstract":"Purpose The purpose of this study is to empirically test a hypothesized model establishing job characteristics as an antecedent of work engagement leading to job satisfaction and organizational engagement of employees working with public sector banks (PSBs) in India. Design/methodology/approach Based on responses to a survey questionnaire by a sample of 622 Scale I employees of Indian PSBs, the hypothesized mediation model was tested with SPSS macro (Preacher and Hayes, 2004). Findings The testing of hypotheses established that job characteristics positively influence work engagement, organizational engagement and job satisfaction. The full mediation by work engagement between the relationships of job characteristics with job satisfaction and organizational engagement is established after the testing of mediation hypotheses. Practical implications Jobs of banks (especially in the public sector) are recommended to be enriched with more emphasis on offering employees with identifiable and significant tasks that have autonomy in decision-making and feedback. PSBs should also focus on developing a positive perception of employees toward job design, to increase their levels of job satisfaction and organizational engagement through engaging them with work. Originality/value The contribution of this study should be understood in many ways. First, the study has introduced work engagement as a mediator in the study model (between job characteristics and job satisfaction) replacing the three psychological conditions (i.e. experienced meaningfulness, experienced responsibility and knowledge of results) of job characteristics model. Further, the main contribution of this study is the exploration of the linkage between work engagement and organizational engagement. The relationship between these two forms of engagement (i.e. work and organization) has been very rarely investigated in the literature. Finally, this study has attempted to hypothesize a model proposing work engagement as a mediator between the job characteristics and organization engagement which does not seem to be studied so far.","container-title":"Management Research Review","DOI":"10.1108/MRR-10-2019-0442","ISSN":"2040-8269","issue":"1","note":"publisher: Emerald Publishing Limited","page":"133-157","source":"Emerald Insight","title":"Exploring the mediating role of work engagement between the linkages of job characteristics with organizational engagement and job satisfaction","volume":"44","author":[{"family":"Rai","given":"Alka"},{"family":"Maheshwari","given":"Sunil"}],"issued":{"date-parts":[["2020",1,1]]}}}],"schema":"https://github.com/citation-style-language/schema/raw/master/csl-citation.json"} </w:instrText>
      </w:r>
      <w:r w:rsidRPr="00402CAA">
        <w:fldChar w:fldCharType="separate"/>
      </w:r>
      <w:r w:rsidRPr="00402CAA">
        <w:t>Rai and Maheshwari (2020)</w:t>
      </w:r>
      <w:r w:rsidRPr="00402CAA">
        <w:fldChar w:fldCharType="end"/>
      </w:r>
      <w:r w:rsidRPr="00402CAA">
        <w:t xml:space="preserve"> reveal job characteristics to be an antecedent of work engagement. Human resource management and strategies, such as organizational policies and procedures, training and career development, compensation and incentive programs have all been found to have a positive influence on engagement </w:t>
      </w:r>
      <w:r w:rsidRPr="00402CAA">
        <w:fldChar w:fldCharType="begin"/>
      </w:r>
      <w:r w:rsidRPr="00402CAA">
        <w:instrText xml:space="preserve"> ADDIN ZOTERO_ITEM CSL_CITATION {"citationID":"ahvlamkj9g","properties":{"formattedCitation":"(Wushe &amp; Shenje, 2019)","plainCitation":"(Wushe &amp; Shenje, 2019)","noteIndex":0},"citationItems":[{"id":608,"uris":["http://zotero.org/users/8724424/items/HIMI3CLM"],"itemData":{"id":608,"type":"article-journal","abstract":"Orientation: Employee engagement has become an impetus behind business success and a deciding factor for service delivery, especially in the Zimbabwean public sector. Research purpose: This study sought to investigate the antecedents of employee engagement and their effect on public sector service delivery with reference to selected government departments in Harare. Motivation for the study: The government departments in Harare have witnessed gross employee disengagement as indicated by reduced employee commitment and high absenteeism. Research approach/design and method: A quantitative research design was adopted for this study. A structured questionnaire was developed, validated and distributed to 260 employees and management working in five selected government departments. Main findings: This study showed that the antecedents of employee engagement such as effective leadership, training and career development, compensation and incentive programmes, and organisational policies and procedures greatly influenced employee engagement in the public sector. The study also noted that employee engagement positively impacted service delivery in the public sector. Practical/managerial implications: An important implication of this study is the need for the public sector management to understand the significance of the social exchange for employee engagement and to provide employees with resources and benefits that would oblige them to perform productively. Contribution/value-add: This study is expected to enrich the empirical evidence on the antecedents of employee engagement and also provide recommendations for practitioners in investigating the influence of employee engagement on service delivery in the public sector.","container-title":"SA Journal of Human Resource Management","DOI":"10.4102/sajhrm.v17i0.1082","issue":"1","note":"publisher: AOSIS","page":"1-11","source":"journals.co.za (Atypon)","title":"The antecedents of employee engagement and their effect on public sector service delivery : the case study of government departments in Harare","title-short":"The antecedents of employee engagement and their effect on public sector service delivery","volume":"17","author":[{"family":"Wushe","given":"Tawaziwa"},{"family":"Shenje","given":"Jacob"}],"issued":{"date-parts":[["2019",1]]}}}],"schema":"https://github.com/citation-style-language/schema/raw/master/csl-citation.json"} </w:instrText>
      </w:r>
      <w:r w:rsidRPr="00402CAA">
        <w:fldChar w:fldCharType="separate"/>
      </w:r>
      <w:r w:rsidRPr="00402CAA">
        <w:t>(Wushe and Shenje, 2019)</w:t>
      </w:r>
      <w:r w:rsidRPr="00402CAA">
        <w:fldChar w:fldCharType="end"/>
      </w:r>
      <w:r w:rsidRPr="00402CAA">
        <w:t xml:space="preserve">. Furthermore, the relationship between </w:t>
      </w:r>
      <w:r w:rsidRPr="00402CAA">
        <w:lastRenderedPageBreak/>
        <w:t xml:space="preserve">diversity practices and engagement was found to be mediated by trust climate </w:t>
      </w:r>
      <w:r w:rsidRPr="00402CAA">
        <w:fldChar w:fldCharType="begin"/>
      </w:r>
      <w:r w:rsidRPr="00402CAA">
        <w:instrText xml:space="preserve"> ADDIN ZOTERO_ITEM CSL_CITATION {"citationID":"a9ofg43dqt","properties":{"formattedCitation":"(Downey et al., 2015)","plainCitation":"(Downey et al., 2015)","noteIndex":0},"citationItems":[{"id":231,"uris":["http://zotero.org/users/8724424/items/SSGUMZQ3"],"itemData":{"id":231,"type":"article-journal","abstract":"This paper investigates the association of diversity practices with an important aspect of workplace well-being, engagement. It was hypothesized that the association of diversity practices would be mediated by trust climate and that this mediation relationship would be stronger when employees experienced feelings of inclusion in the workplace. Using a sample of 4,597 health sector employees, results indicated that diversity practices are associated with a trusting climate that, in turn, is positively related to employee engagement. Furthermore, the relationship between diversity practices and trust climate was moderated by inclusion.","container-title":"Journal of Applied Social Psychology","DOI":"10.1111/jasp.12273","ISSN":"00219029","issue":"1","journalAbbreviation":"J Appl Soc Psychol","language":"en","page":"35-44","source":"DOI.org (Crossref)","title":"The role of diversity practices and inclusion in promoting trust and employee engagement: Diversity practices and engagement","title-short":"The role of diversity practices and inclusion in promoting trust and employee engagement","volume":"45","author":[{"family":"Downey","given":"Stephanie N."},{"family":"Werff","given":"Lisa","non-dropping-particle":"van der"},{"family":"Thomas","given":"Kecia M."},{"family":"Plaut","given":"Victoria C."}],"issued":{"date-parts":[["2015",1]]}}}],"schema":"https://github.com/citation-style-language/schema/raw/master/csl-citation.json"} </w:instrText>
      </w:r>
      <w:r w:rsidRPr="00402CAA">
        <w:fldChar w:fldCharType="separate"/>
      </w:r>
      <w:r w:rsidRPr="00402CAA">
        <w:t xml:space="preserve">(Downey </w:t>
      </w:r>
      <w:r w:rsidRPr="00402CAA">
        <w:rPr>
          <w:i/>
          <w:iCs/>
        </w:rPr>
        <w:t>et al., 2</w:t>
      </w:r>
      <w:r w:rsidRPr="00402CAA">
        <w:t>015)</w:t>
      </w:r>
      <w:r w:rsidRPr="00402CAA">
        <w:fldChar w:fldCharType="end"/>
      </w:r>
      <w:r w:rsidRPr="00402CAA">
        <w:t xml:space="preserve">. The relationship between organizational culture and work engagement was mediated by informal learning in older employees in a public sector organizational setting </w:t>
      </w:r>
      <w:r w:rsidRPr="00402CAA">
        <w:fldChar w:fldCharType="begin"/>
      </w:r>
      <w:r w:rsidRPr="00402CAA">
        <w:instrText xml:space="preserve"> ADDIN ZOTERO_ITEM CSL_CITATION {"citationID":"ausm27li1u","properties":{"formattedCitation":"(Uhunoma et al., 2020)","plainCitation":"(Uhunoma et al., 2020)","noteIndex":0},"citationItems":[{"id":610,"uris":["http://zotero.org/users/8724424/items/IGGNQCEI"],"itemData":{"id":610,"type":"article-journal","abstract":"Purpose The purpose of this paper is to examine the mediating relationship between organizational culture, informal learning and work engagement of older workers in a public organizational setting. More specifically, this study aimed to investigate if informal learning is a pivotal component connecting an organizational-level factor (culture) to work engagement, which, in turn, directly influences business performance in the workplace. Design/methodology/approach After a careful review of the selected and relevant literature, four hypotheses were developed to test the structural relationships between the selected variables. Findings The data analysis indicated that informal learning mediated the relationship between organizational culture and work engagement for older employees working in a public organizational setting. Practical implications The findings from this study provide a solid justification for promoting informal learning in organizations to ensure knowledge transfer between younger and older generations while minimizing knowledge and financial loss for organizations. Originality/value In previous research, little emphasis has been placed on the impact of informal learning on work engagement. This study presents a valuable finding about the role of informal learning to facilitate work engagement for older workers.","container-title":"European Journal of Training and Development","DOI":"10.1108/EJTD-04-2020-0062","ISSN":"2046-9012","issue":"2/3","note":"publisher: Emerald Publishing Limited","page":"200-217","source":"Emerald Insight","title":"The mediating role of informal learning on work engagement: older workers in the US public sector","title-short":"The mediating role of informal learning on work engagement","volume":"45","author":[{"family":"Uhunoma","given":"Osaretin"},{"family":"Lim","given":"Doo Hun"},{"family":"Kim","given":"Woocheol"}],"issued":{"date-parts":[["2020",1,1]]}}}],"schema":"https://github.com/citation-style-language/schema/raw/master/csl-citation.json"} </w:instrText>
      </w:r>
      <w:r w:rsidRPr="00402CAA">
        <w:fldChar w:fldCharType="separate"/>
      </w:r>
      <w:r w:rsidRPr="00402CAA">
        <w:t>(Uhunoma</w:t>
      </w:r>
      <w:r w:rsidRPr="00402CAA">
        <w:rPr>
          <w:i/>
          <w:iCs/>
        </w:rPr>
        <w:t xml:space="preserve"> et al.,</w:t>
      </w:r>
      <w:r w:rsidRPr="00402CAA">
        <w:t xml:space="preserve"> 2020)</w:t>
      </w:r>
      <w:r w:rsidRPr="00402CAA">
        <w:fldChar w:fldCharType="end"/>
      </w:r>
      <w:r w:rsidRPr="00402CAA">
        <w:t xml:space="preserve">. </w:t>
      </w:r>
    </w:p>
    <w:p w14:paraId="31400C08" w14:textId="77777777" w:rsidR="0086443B" w:rsidRPr="00402CAA" w:rsidRDefault="0086443B" w:rsidP="008A06E2">
      <w:pPr>
        <w:spacing w:line="480" w:lineRule="auto"/>
        <w:ind w:firstLine="720"/>
      </w:pPr>
      <w:r w:rsidRPr="00402CAA">
        <w:t xml:space="preserve">Based on Blau’s SET (1964), organizational investments toward improving leader demographic diversity can increase employee perceptions of fairness </w:t>
      </w:r>
      <w:r w:rsidRPr="00402CAA">
        <w:fldChar w:fldCharType="begin"/>
      </w:r>
      <w:r w:rsidRPr="00402CAA">
        <w:instrText xml:space="preserve"> ADDIN ZOTERO_ITEM CSL_CITATION {"citationID":"a20vr4mjpkk","properties":{"formattedCitation":"(Stewart et al., 2011)","plainCitation":"(Stewart et al., 2011)","noteIndex":0},"citationItems":[{"id":330,"uris":["http://zotero.org/users/8724424/items/T8TLBZKZ"],"itemData":{"id":330,"type":"article-journal","abstract":"Efforts to identify antecedents of employee turnover are likely to offer value to organizations through money saved on recruitment and new-hire training. The authors utilized the stakeholder perspective to corporate social responsibility to examine the effects of a perceived climate for ethics on the relationship between diversity climate and voluntary turnover intentions. Specifically, they examined how ethics climate (employees’ perceptions that their organization values and enforces ethically correct behavior) affected the diversity climate–turnover intentions relationship. Results indicated that ethics climate moderated the diversity climate–turnover intentions relationship. Turnover intentions were lowest among workers perceiving both a pro-diversity and highly ethical climate. These results reinforce the need to communicate both diversity values and ethical standards to employees.","container-title":"Journal of Business Ethics","DOI":"10.1007/s10551-010-0697-5","ISSN":"1573-0697","issue":"4","journalAbbreviation":"J Bus Ethics","language":"en","page":"581-593","source":"Springer Link","title":"You Support Diversity, But Are You Ethical? Examining the Interactive Effects of Diversity and Ethical Climate Perceptions on Turnover Intentions","title-short":"You Support Diversity, But Are You Ethical?","volume":"100","author":[{"family":"Stewart","given":"Robert"},{"family":"Volpone","given":"Sabrina D."},{"family":"Avery","given":"Derek R."},{"family":"McKay","given":"Patrick"}],"issued":{"date-parts":[["2011",6,1]]}}}],"schema":"https://github.com/citation-style-language/schema/raw/master/csl-citation.json"} </w:instrText>
      </w:r>
      <w:r w:rsidRPr="00402CAA">
        <w:fldChar w:fldCharType="separate"/>
      </w:r>
      <w:r w:rsidRPr="00402CAA">
        <w:t xml:space="preserve">(Stewart </w:t>
      </w:r>
      <w:r w:rsidRPr="00402CAA">
        <w:rPr>
          <w:i/>
        </w:rPr>
        <w:t>et al.</w:t>
      </w:r>
      <w:r w:rsidRPr="00402CAA">
        <w:t>, 2011)</w:t>
      </w:r>
      <w:r w:rsidRPr="00402CAA">
        <w:fldChar w:fldCharType="end"/>
      </w:r>
      <w:r w:rsidRPr="00402CAA">
        <w:t xml:space="preserve">. Organizational fairness is a critical variable in literature because it was revealed that behaviors are motivated by self-interest and concerns for others' fairness </w:t>
      </w:r>
      <w:r w:rsidRPr="00402CAA">
        <w:fldChar w:fldCharType="begin"/>
      </w:r>
      <w:r w:rsidRPr="00402CAA">
        <w:instrText xml:space="preserve"> ADDIN ZOTERO_ITEM CSL_CITATION {"citationID":"a1n5qus57gj","properties":{"formattedCitation":"(Kahneman et al., 1986)","plainCitation":"(Kahneman et al., 1986)","noteIndex":0},"citationItems":[{"id":1131,"uris":["http://zotero.org/users/8724424/items/3UT25DQ6"],"itemData":{"id":1131,"type":"article-journal","abstract":"The traditional assumption that fairness is irrelevant to economic analysis is questioned. Even profit-maximizing firms will have an incentive to act in a manner that is perceived as fair if the individuals with whom they deal are willing to resist unfair transactions and punish unfair firms at some cost to themselves. Three experiments demonstrated that willingness to enforce fairness is common. Community standards for actions affecting customers, tenants, and employees were studied in telephone surveys. The rules of fairness, some of which are not obvious, help explain some anomalous market phenomena.","container-title":"The Journal of Business","ISSN":"0021-9398","issue":"4","note":"publisher: University of Chicago Press","page":"S285-S300","source":"JSTOR","title":"Fairness and the Assumptions of Economics","volume":"59","author":[{"family":"Kahneman","given":"Daniel"},{"family":"Knetsch","given":"Jack L."},{"family":"Thaler","given":"Richard H."}],"issued":{"date-parts":[["1986"]]}}}],"schema":"https://github.com/citation-style-language/schema/raw/master/csl-citation.json"} </w:instrText>
      </w:r>
      <w:r w:rsidRPr="00402CAA">
        <w:fldChar w:fldCharType="separate"/>
      </w:r>
      <w:r w:rsidRPr="00402CAA">
        <w:t xml:space="preserve">(Kahneman </w:t>
      </w:r>
      <w:r w:rsidRPr="00402CAA">
        <w:rPr>
          <w:i/>
        </w:rPr>
        <w:t>et al.</w:t>
      </w:r>
      <w:r w:rsidRPr="00402CAA">
        <w:t>, 1986)</w:t>
      </w:r>
      <w:r w:rsidRPr="00402CAA">
        <w:fldChar w:fldCharType="end"/>
      </w:r>
      <w:r w:rsidRPr="00402CAA">
        <w:t xml:space="preserve">. When organizations go beyond merely stating their commitment to diversity (Gould </w:t>
      </w:r>
      <w:r w:rsidRPr="00402CAA">
        <w:rPr>
          <w:i/>
          <w:iCs/>
        </w:rPr>
        <w:t>et al.,</w:t>
      </w:r>
      <w:r w:rsidRPr="00402CAA">
        <w:t xml:space="preserve"> 2020) and develop a concrete strategy to create an inclusive environment for diverse leaders, including policies that encourage their acceptance, it can ignite a positive response from employees toward the organization’s ethical culture (</w:t>
      </w:r>
      <w:proofErr w:type="spellStart"/>
      <w:r w:rsidRPr="00402CAA">
        <w:t>Rabl</w:t>
      </w:r>
      <w:proofErr w:type="spellEnd"/>
      <w:r w:rsidRPr="00402CAA">
        <w:t xml:space="preserve"> </w:t>
      </w:r>
      <w:r w:rsidRPr="00402CAA">
        <w:rPr>
          <w:i/>
          <w:iCs/>
        </w:rPr>
        <w:t>et al.,</w:t>
      </w:r>
      <w:r w:rsidRPr="00402CAA">
        <w:t xml:space="preserve"> 2020). Consequently, employees reciprocate to this positive environment with greater levels of attachment and effort (i.e., engagement), driven by their belief in the organization’s active support for all forms of diversity and fair practices </w:t>
      </w:r>
      <w:r w:rsidRPr="00402CAA">
        <w:fldChar w:fldCharType="begin"/>
      </w:r>
      <w:r w:rsidRPr="00402CAA">
        <w:instrText xml:space="preserve"> ADDIN ZOTERO_ITEM CSL_CITATION {"citationID":"audng6e52k","properties":{"formattedCitation":"(Muir &amp; Hoyland, 2015)","plainCitation":"(Muir &amp; Hoyland, 2015)","noteIndex":0},"citationItems":[{"id":332,"uris":["http://zotero.org/users/8724424/items/QUBB64ZR"],"itemData":{"id":332,"type":"article-journal","container-title":"Academy of Management Perspectives","DOI":"10.5465/amp.2015.0128","ISSN":"15589080","issue":"2","journalAbbreviation":"AMP","page":"7-9","source":"DOI.org (Crossref)","title":"Do Diversity and Inclusion Help Drive Employee Engagement?","volume":"29","author":[{"family":"Muir","given":"Clive"},{"family":"Hoyland","given":"Thomas"}],"issued":{"date-parts":[["2015",5,1]]}}}],"schema":"https://github.com/citation-style-language/schema/raw/master/csl-citation.json"} </w:instrText>
      </w:r>
      <w:r w:rsidRPr="00402CAA">
        <w:fldChar w:fldCharType="separate"/>
      </w:r>
      <w:r w:rsidRPr="00402CAA">
        <w:t>(Muir and Hoyland, 2015)</w:t>
      </w:r>
      <w:r w:rsidRPr="00402CAA">
        <w:fldChar w:fldCharType="end"/>
      </w:r>
      <w:r w:rsidRPr="00402CAA">
        <w:t xml:space="preserve">. </w:t>
      </w:r>
    </w:p>
    <w:p w14:paraId="011A666D" w14:textId="77777777" w:rsidR="0086443B" w:rsidRPr="00402CAA" w:rsidRDefault="0086443B" w:rsidP="00B23428">
      <w:pPr>
        <w:spacing w:line="480" w:lineRule="auto"/>
        <w:ind w:firstLine="720"/>
      </w:pPr>
      <w:r w:rsidRPr="00402CAA">
        <w:t xml:space="preserve">Adopting the SET lens helps explore employees’ judgment on policy fairness, such as </w:t>
      </w:r>
      <w:r w:rsidRPr="00402CAA">
        <w:rPr>
          <w:i/>
        </w:rPr>
        <w:t>PICLD</w:t>
      </w:r>
      <w:r w:rsidRPr="00402CAA">
        <w:t xml:space="preserve">, ultimately influencing their engagement. The quality of organizational practices (i.e., </w:t>
      </w:r>
      <w:r w:rsidRPr="00402CAA">
        <w:rPr>
          <w:i/>
        </w:rPr>
        <w:t>PICLD</w:t>
      </w:r>
      <w:r w:rsidRPr="00402CAA">
        <w:t xml:space="preserve">) affects the quality of workplace relationships </w:t>
      </w:r>
      <w:r w:rsidRPr="00402CAA">
        <w:fldChar w:fldCharType="begin"/>
      </w:r>
      <w:r w:rsidRPr="00402CAA">
        <w:instrText xml:space="preserve"> ADDIN ZOTERO_ITEM CSL_CITATION {"citationID":"a237h5055sf","properties":{"formattedCitation":"(Brunetto et al., 2020)","plainCitation":"(Brunetto et al., 2020)","noteIndex":0},"citationItems":[{"id":619,"uris":["http://zotero.org/users/8724424/items/M2L26UMR"],"itemData":{"id":619,"type":"article-journal","abstract":"This paper uses Social Exchange Theory as a lens for comparing the impact of management support upon police perceptions of discretionary power and employee engagement, across three countries. A survey-based, self-report process collected data from 193 police officers in Australia, 588 from the USA, and 249 from Malta. Structural equation modelling was used to analyse the data. The findings suggest a significantly different management support context across the three countries, as well as significantly different perceptions of discretionary power. Across the three countries, police perceived relatively poor satisfaction with organizational management support and only some engagement levels. However, USA police perceived significantly more discretionary power than the other country samples. These findings provide greater clarity about the link between management support, discretionary power and engagement for the police officers. Since employee engagement likely affects policing outcomes, the findings suggest that poor management support of police officers could negatively affect the provided service. Potential strategies to enhance police engagement include (a) training police managers about how to manage so as to promote greater engagement, and (b) modifying police managers’ performance indicators in line with achieving better police engagement.","container-title":"The International Journal of Human Resource Management","DOI":"10.1080/09585192.2017.1375964","ISSN":"0958-5192","issue":"6","note":"publisher: Routledge\n_eprint: https://doi.org/10.1080/09585192.2017.1375964","page":"738-759","source":"Taylor and Francis+NEJM","title":"Comparing the impact of management support on police officers’ perceptions of discretionary power and engagement: Australia, USA and Malta","title-short":"Comparing the impact of management support on police officers’ perceptions of discretionary power and engagement","volume":"31","author":[{"family":"Brunetto","given":"Yvonne"},{"family":"Farr-Wharton","given":"Ben"},{"family":"Farr-Wharton","given":"Rod"},{"family":"Shacklock","given":"Kate"},{"family":"Azzopardi","given":"Joseph"},{"family":"Saccon","given":"Chiara"},{"family":"Shriberg","given":"Art"}],"issued":{"date-parts":[["2020",3,25]]}}}],"schema":"https://github.com/citation-style-language/schema/raw/master/csl-citation.json"} </w:instrText>
      </w:r>
      <w:r w:rsidRPr="00402CAA">
        <w:fldChar w:fldCharType="separate"/>
      </w:r>
      <w:r w:rsidRPr="00402CAA">
        <w:t xml:space="preserve">(Brunetto </w:t>
      </w:r>
      <w:r w:rsidRPr="00402CAA">
        <w:rPr>
          <w:i/>
        </w:rPr>
        <w:t>et al.</w:t>
      </w:r>
      <w:r w:rsidRPr="00402CAA">
        <w:t>, 2020)</w:t>
      </w:r>
      <w:r w:rsidRPr="00402CAA">
        <w:fldChar w:fldCharType="end"/>
      </w:r>
      <w:r w:rsidRPr="00402CAA">
        <w:t xml:space="preserve"> developed between employees and leaders from diverse demographic backgrounds. Employees can choose to partake in indirect exchanges where they contribute resources that benefit the collective of the organization or fellow employees </w:t>
      </w:r>
      <w:r w:rsidRPr="00402CAA">
        <w:fldChar w:fldCharType="begin"/>
      </w:r>
      <w:r w:rsidRPr="00402CAA">
        <w:instrText xml:space="preserve"> ADDIN ZOTERO_ITEM CSL_CITATION {"citationID":"a1ql44pksij","properties":{"formattedCitation":"(Cropanzano &amp; Mitchell, 2005)","plainCitation":"(Cropanzano &amp; Mitchell, 2005)","noteIndex":0},"citationItems":[{"id":894,"uris":["http://zotero.org/users/8724424/items/R8K968SC"],"itemData":{"id":894,"type":"article-journal","abstract":"Social exchange theory (SET) is one the most influential conceptual paradigms in organizational behavior. Despite its usefulness, theoretical ambiguities within SET remain. As a consequence, tests of the model, as well as its applications, tend to rely on an incompletely specified set of ideas. The authors address conceptual difficulties and highlight areas in need of additional research. In so doing, they pay special attention to four issues: (a) the roots of the conceptual ambiguities, (b) norms and rules of exchange, (c) nature of the resources being exchanged, and (d) social exchange relationships.","container-title":"Journal of Management","DOI":"10.1177/0149206305279602","ISSN":"0149-2063","issue":"6","language":"en","note":"publisher: SAGE Publications Inc","page":"874-900","source":"SAGE Journals","title":"Social Exchange Theory: An Interdisciplinary Review","title-short":"Social Exchange Theory","volume":"31","author":[{"family":"Cropanzano","given":"Russell"},{"family":"Mitchell","given":"Marie S."}],"issued":{"date-parts":[["2005",12,1]]}}}],"schema":"https://github.com/citation-style-language/schema/raw/master/csl-citation.json"} </w:instrText>
      </w:r>
      <w:r w:rsidRPr="00402CAA">
        <w:fldChar w:fldCharType="separate"/>
      </w:r>
      <w:r w:rsidRPr="00402CAA">
        <w:t>(Cropanzano and Mitchell, 2005)</w:t>
      </w:r>
      <w:r w:rsidRPr="00402CAA">
        <w:fldChar w:fldCharType="end"/>
      </w:r>
      <w:r w:rsidRPr="00402CAA">
        <w:t xml:space="preserve">, such as actively participating in inclusionary practices that promote diverse leaders’ inclusion. </w:t>
      </w:r>
      <w:bookmarkStart w:id="5" w:name="_Hlk132100705"/>
      <w:r w:rsidRPr="00402CAA">
        <w:t xml:space="preserve">Employees often show </w:t>
      </w:r>
      <w:r w:rsidRPr="00402CAA">
        <w:lastRenderedPageBreak/>
        <w:t xml:space="preserve">concern for both themselves and others who are faced with conflict in inclusive climates (i.e., </w:t>
      </w:r>
      <w:r w:rsidRPr="00402CAA">
        <w:rPr>
          <w:i/>
        </w:rPr>
        <w:t>PICLD</w:t>
      </w:r>
      <w:r w:rsidRPr="00402CAA">
        <w:t xml:space="preserve">) </w:t>
      </w:r>
      <w:r w:rsidRPr="00402CAA">
        <w:fldChar w:fldCharType="begin"/>
      </w:r>
      <w:r w:rsidRPr="00402CAA">
        <w:instrText xml:space="preserve"> ADDIN ZOTERO_ITEM CSL_CITATION {"citationID":"amjfhc8jp9","properties":{"formattedCitation":"(Rahim &amp; Bonoma, 1979)","plainCitation":"(Rahim &amp; Bonoma, 1979)","noteIndex":0},"citationItems":[{"id":993,"uris":["http://zotero.org/users/8724424/items/9MQ2KGUA"],"itemData":{"id":993,"type":"article-journal","abstract":"Conflicts occurring in or as a result of membership in organizations can be classified into three major categories: intrapersonal, intragroup, and intergroup. Conflicts in each category result from various personal-cultural and organizational structure factors. These factors may be identified through appropriate diagnosis and their effects on and implications for each of the three levels of conflicts established. Such a diagnosis is a prerequisite for the appropriate development and implementation of intervention strategies. The management of organizational conflicts involves diagnosis and intervention to maintain a moderate amount of conflict and help the organizational members learn various styles for effective handling of different conflict situations.","container-title":"Psychological Reports","DOI":"10.2466/pr0.1979.44.3c.1323","ISSN":"0033-2941","issue":"3_suppl","journalAbbreviation":"Psychol Rep","language":"en","note":"publisher: SAGE Publications Inc","page":"1323-1344","source":"SAGE Journals","title":"Managing Organizational Conflict: A Model for Diagnosis and Intervention","title-short":"Managing Organizational Conflict","volume":"44","author":[{"family":"Rahim","given":"Afzalur"},{"family":"Bonoma","given":"Thomas V."}],"issued":{"date-parts":[["1979",6,1]]}}}],"schema":"https://github.com/citation-style-language/schema/raw/master/csl-citation.json"} </w:instrText>
      </w:r>
      <w:r w:rsidRPr="00402CAA">
        <w:fldChar w:fldCharType="separate"/>
      </w:r>
      <w:r w:rsidRPr="00402CAA">
        <w:t>(Rahim and Bonoma, 1979)</w:t>
      </w:r>
      <w:r w:rsidRPr="00402CAA">
        <w:fldChar w:fldCharType="end"/>
      </w:r>
      <w:r w:rsidRPr="00402CAA">
        <w:t xml:space="preserve">. Simply altering representation to be more diverse is not enough. Inclusion climates must be fostered to allow leaders who come from historically marginalized groups to thrive and make positive contributions </w:t>
      </w:r>
      <w:r w:rsidRPr="00402CAA">
        <w:fldChar w:fldCharType="begin"/>
      </w:r>
      <w:r w:rsidRPr="00402CAA">
        <w:instrText xml:space="preserve"> ADDIN ZOTERO_ITEM CSL_CITATION {"citationID":"a2i67olcafm","properties":{"formattedCitation":"(Chantarat et al., 2023)","plainCitation":"(Chantarat et al., 2023)","noteIndex":0},"citationItems":[{"id":1059,"uris":["http://zotero.org/users/8724424/items/6IIUCIG8"],"itemData":{"id":1059,"type":"article-journal","abstract":"Objective To describe the perception of professional climate in health services and policy research (HSPR) and efforts to advance diversity, equity, and inclusion (DEI) in the HSPR workforce and workplaces. Data Source We administered the HSPR Workplace Culture Survey online to health services and policy researchers. Study Design Our survey examined participants' sociodemographic, educational, and professional backgrounds, their perception on DEI in HSPR, experience with DEI initiatives, feeling of inclusion, and direct and witnessed experiences of discrimination at their institutions/organizations. We calculated sample proportions of responses by gender identity, sexual orientation, race/ethnicity, and disability status and compared them with Fisher's exact test. Data Collection We administered the survey online from July 28 to September 4, 2020. HSPR professionals and trainees aged 18 and older were eligible to participate. Analyses used complete cases only (n = 906; 70.6% completion rate). Principal Findings 53.4% of the participants did not believe that the current workforce reflects the diversity of communities impacted by HSPR. Although most participants have witnessed various DEI initiatives at their institutions/organizations, nearly 40% characterized these initiatives as “tokenistic.” Larger proportions of participants who identified as female, LGBQI+, underrepresented racial/ethnic groups, and those with a disability held this perception than their male, heterosexual, White, and non-disabled counterparts. Current DEI initiatives focused on “planning” activities (e.g., convening task forces) rather than “implementation” activities (e.g., establishing mentoring or network programs). 43.7% of the participants felt supported on their career development, while female, Black, Hispanic/Latino, LGBQI+ participants and those with a disability experienced discrimination at their workplace. Conclusions Despite an increasing commitment to increasing the diversity of the HSPR workforce and improving equity and inclusion in the HSPR workplace, our results suggest that there is more work to be done to achieve such goals.","container-title":"Health Services Research","DOI":"10.1111/1475-6773.14032","ISSN":"1475-6773","issue":"2","language":"en","note":"_eprint: https://onlinelibrary.wiley.com/doi/pdf/10.1111/1475-6773.14032","page":"314-324","source":"Wiley Online Library","title":"Perceptions of workplace climate and diversity, equity, and inclusion within health services and policy research","volume":"58","author":[{"family":"Chantarat","given":"Tongtan"},{"family":"Rogers","given":"Taylor B."},{"family":"Mitchell","given":"Carmen R."},{"family":"Ko","given":"Michelle J."}],"issued":{"date-parts":[["2023"]]}}}],"schema":"https://github.com/citation-style-language/schema/raw/master/csl-citation.json"} </w:instrText>
      </w:r>
      <w:r w:rsidRPr="00402CAA">
        <w:fldChar w:fldCharType="separate"/>
      </w:r>
      <w:r w:rsidRPr="00402CAA">
        <w:t xml:space="preserve">(Chantarat </w:t>
      </w:r>
      <w:r w:rsidRPr="00402CAA">
        <w:rPr>
          <w:i/>
        </w:rPr>
        <w:t>et al.</w:t>
      </w:r>
      <w:r w:rsidRPr="00402CAA">
        <w:t>, 2023)</w:t>
      </w:r>
      <w:r w:rsidRPr="00402CAA">
        <w:fldChar w:fldCharType="end"/>
      </w:r>
      <w:r w:rsidRPr="00402CAA">
        <w:t xml:space="preserve">. When organizations induce efforts to address diversity it can cultivate organizational justice perceptions within employees </w:t>
      </w:r>
      <w:r w:rsidRPr="00402CAA">
        <w:fldChar w:fldCharType="begin"/>
      </w:r>
      <w:r w:rsidRPr="00402CAA">
        <w:instrText xml:space="preserve"> ADDIN ZOTERO_ITEM CSL_CITATION {"citationID":"a25df4i06g1","properties":{"formattedCitation":"(Triana &amp; Garc\\uc0\\u237{}a, 2009)","plainCitation":"(Triana &amp; García, 2009)","noteIndex":0},"citationItems":[{"id":1062,"uris":["http://zotero.org/users/8724424/items/EPGBT4GE"],"itemData":{"id":1062,"type":"article-journal","abstract":"Using Leventhal's rules as well as the group-value model of procedural justice, we first examined how the negative effects of perceived racial discrimination on procedural justice judgments can be attenuated by perceived organizational efforts to support diversity. Secondly, we examine how these effects ultimately impact affective commitment and organizational citizenship behavior. We found that employees who believe some individuals in the workplace are discriminating against them on the basis of race tend to report lower levels of procedural justice from the organization. However, this negative relationship was attenuated when employees perceived that their organization was making efforts to support diversity. Results suggest that individuals' perceptions of organizational efforts to support diversity can help restore perceptions of procedural justice for employees who experience racial discrimination at work. Improving procedural justice also positively impacts affective commitment and organizational citizenship behavior directed at the organization. Copyright © 2009 John Wiley &amp; Sons, Ltd.","container-title":"Journal of Organizational Behavior","DOI":"10.1002/job.598","ISSN":"1099-1379","issue":"7","language":"en","note":"_eprint: https://onlinelibrary.wiley.com/doi/pdf/10.1002/job.598","page":"941-962","source":"Wiley Online Library","title":"Valuing diversity: a group-value approach to understanding the importance of organizational efforts to support diversity","title-short":"Valuing diversity","volume":"30","author":[{"family":"Triana","given":"María del Carmen"},{"family":"García","given":"María Fernanda"}],"issued":{"date-parts":[["2009"]]}}}],"schema":"https://github.com/citation-style-language/schema/raw/master/csl-citation.json"} </w:instrText>
      </w:r>
      <w:r w:rsidRPr="00402CAA">
        <w:fldChar w:fldCharType="separate"/>
      </w:r>
      <w:r w:rsidRPr="00402CAA">
        <w:t>(Triana and García, 2009)</w:t>
      </w:r>
      <w:r w:rsidRPr="00402CAA">
        <w:fldChar w:fldCharType="end"/>
      </w:r>
      <w:r w:rsidRPr="00402CAA">
        <w:t>. Employees will view this as an opportunity to form a deeper understanding of collective goals aimed at promoting the integration of demographic differences (Nishii, 2013) to achieve fair inclusion of leaders from diverse backgrounds.</w:t>
      </w:r>
      <w:bookmarkEnd w:id="5"/>
      <w:r w:rsidRPr="00402CAA">
        <w:t xml:space="preserve"> Through successful interactions with diverse leaders, employees can evaluate the fairness of inclusionary work policies and positively reciprocate by becoming more engaged. The flow on advantage is providing employees with supportive resources to develop meaningful relationships with diverse leaders, diverse leaders benefit from inclusion, and together this helps the organization by increasing engagement </w:t>
      </w:r>
      <w:r w:rsidRPr="00402CAA">
        <w:fldChar w:fldCharType="begin"/>
      </w:r>
      <w:r w:rsidRPr="00402CAA">
        <w:instrText xml:space="preserve"> ADDIN ZOTERO_ITEM CSL_CITATION {"citationID":"attql7jgu7","properties":{"formattedCitation":"(Cropanzano et al., 2007; Farr-Wharton et al., 2016)","plainCitation":"(Cropanzano et al., 2007; Farr-Wharton et al., 2016)","noteIndex":0},"citationItems":[{"id":621,"uris":["http://zotero.org/users/8724424/items/ZIEKUMJM"],"itemData":{"id":621,"type":"chapter","abstract":"In their chapter, Rupp, Bashshur, and Liao (this volume) have made an impressive contribution to the literature on multi-level justice. These authors have provided both a precise conceptual definition of justice climate and a measurement strategy (referent shift) that will greatly smooth the progress of future empirical inquiry. The goal of this commentary is to expand these important ideas by moving in two directions. First, we discuss what it means to be an individual when justice is experienced as a member of a team. Toward this end, we describe research on social identity theory and social categorization theory, emphasizing how these paradigms could further increase our knowledge. Second, we discuss two new manifestations of multi-level justice that have hitherto been neglected: intraunit justice (group perceptions regarding how team members generally treat one another) and interunit justice (perceptions regarding the way one group treats another). All of these multi-level justice concepts are organized into a new taxonomy.","collection-title":"Research in Multi-Level Issues","container-title":"Multi-Level Issues in Organizations and Time","ISBN":"978-0-7623-1434-8","note":"DOI: 10.1016/S1475-9144(07)06019-5","page":"415-437","publisher":"Emerald Group Publishing Limited","source":"Emerald Insight","title":"Intraunit Justice and Interunit Justice and the People who Experience Them","URL":"https://doi.org/10.1016/S1475-9144(07)06019-5","volume":"6","author":[{"family":"Cropanzano","given":"Russell"},{"family":"Li","given":"Andrew"},{"family":"James","given":"Keith"}],"editor":[{"family":"Dansereau","given":"Fred"},{"family":"J. Yammarino","given":"Francis"}],"accessed":{"date-parts":[["2023",3,2]]},"issued":{"date-parts":[["2007",1,1]]}}},{"id":623,"uris":["http://zotero.org/users/8724424/items/LUXEKN4H"],"itemData":{"id":623,"type":"article-journal","abstract":"This paper investigates the quality of support for police officers in the USA and Malta to use as protection against stress. The authors found a significantly different organizational work context for police officers doing the same tasks. Police officers in both countries would benefit from upskilling in psychological capital and police managers require upskilling in management training as a means of increasing support for police to reduce the impact of stress.","container-title":"Public Money &amp; Management","DOI":"10.1080/09540962.2016.1194078","ISSN":"0954-0962","issue":"5","note":"publisher: Routledge\n_eprint: https://doi.org/10.1080/09540962.2016.1194078","page":"333-340","source":"Taylor and Francis+NEJM","title":"Comparing Malta and USA police officers’ individual and organizational support on outcomes","volume":"36","author":[{"family":"Farr-Wharton","given":"Ben"},{"family":"Azzopardi","given":"Joseph"},{"family":"Brunetto","given":"Yvonne"},{"family":"Farr-Wharton","given":"Rod"},{"family":"Herold","given":"Natalie"},{"family":"Shriberg","given":"Art"}],"issued":{"date-parts":[["2016",7,28]]}}}],"schema":"https://github.com/citation-style-language/schema/raw/master/csl-citation.json"} </w:instrText>
      </w:r>
      <w:r w:rsidRPr="00402CAA">
        <w:fldChar w:fldCharType="separate"/>
      </w:r>
      <w:r w:rsidRPr="00402CAA">
        <w:t xml:space="preserve">(Cropanzano </w:t>
      </w:r>
      <w:r w:rsidRPr="00402CAA">
        <w:rPr>
          <w:i/>
        </w:rPr>
        <w:t>et al.</w:t>
      </w:r>
      <w:r w:rsidRPr="00402CAA">
        <w:t xml:space="preserve">, 2007; Farr-Wharton </w:t>
      </w:r>
      <w:r w:rsidRPr="00402CAA">
        <w:rPr>
          <w:i/>
        </w:rPr>
        <w:t>et al.</w:t>
      </w:r>
      <w:r w:rsidRPr="00402CAA">
        <w:t>, 2016)</w:t>
      </w:r>
      <w:r w:rsidRPr="00402CAA">
        <w:fldChar w:fldCharType="end"/>
      </w:r>
      <w:r w:rsidRPr="00402CAA">
        <w:t xml:space="preserve"> due to perceptions of fairness in organizational policies. Based on the SET (1964), employees’ job engagement may be enhanced if organizational practices are believed to be fair because it promotes a positive work environment that promotes the inclusion of diverse leaders, increasing their desire to be more engaged. When employees perceive their organizations promote fairness in their practices, it positively enhances employees’ job engagement aimed at the collective organization. The following hypothesis is proposed: </w:t>
      </w:r>
    </w:p>
    <w:p w14:paraId="6CD81D11" w14:textId="77777777" w:rsidR="0086443B" w:rsidRPr="00402CAA" w:rsidRDefault="0086443B" w:rsidP="0086443B">
      <w:pPr>
        <w:spacing w:line="480" w:lineRule="auto"/>
        <w:ind w:firstLine="720"/>
      </w:pPr>
      <w:bookmarkStart w:id="6" w:name="_Hlk125712491"/>
      <w:r w:rsidRPr="00402CAA">
        <w:t>H3: Organizational justice will mediate the relationship between</w:t>
      </w:r>
      <w:r w:rsidRPr="00402CAA">
        <w:rPr>
          <w:i/>
          <w:iCs/>
        </w:rPr>
        <w:t xml:space="preserve"> PICLD</w:t>
      </w:r>
      <w:r w:rsidRPr="00402CAA">
        <w:t xml:space="preserve"> and employee work engagement.</w:t>
      </w:r>
      <w:bookmarkStart w:id="7" w:name="_Toc135055197"/>
      <w:bookmarkEnd w:id="6"/>
    </w:p>
    <w:p w14:paraId="39DFFB3B" w14:textId="77777777" w:rsidR="0086443B" w:rsidRPr="00402CAA" w:rsidRDefault="0086443B" w:rsidP="0086443B">
      <w:pPr>
        <w:spacing w:line="480" w:lineRule="auto"/>
        <w:rPr>
          <w:i/>
          <w:iCs/>
        </w:rPr>
      </w:pPr>
      <w:r w:rsidRPr="00402CAA">
        <w:rPr>
          <w:i/>
          <w:iCs/>
        </w:rPr>
        <w:t>3.5.4. PICLD, Organizational Justice, and Turnover Intention</w:t>
      </w:r>
      <w:bookmarkEnd w:id="7"/>
    </w:p>
    <w:p w14:paraId="60B5D495" w14:textId="77777777" w:rsidR="0086443B" w:rsidRPr="00402CAA" w:rsidRDefault="0086443B" w:rsidP="0086443B">
      <w:pPr>
        <w:spacing w:line="480" w:lineRule="auto"/>
      </w:pPr>
      <w:r w:rsidRPr="00402CAA">
        <w:lastRenderedPageBreak/>
        <w:tab/>
      </w:r>
      <w:r w:rsidRPr="00402CAA">
        <w:fldChar w:fldCharType="begin"/>
      </w:r>
      <w:r w:rsidRPr="00402CAA">
        <w:instrText xml:space="preserve"> ADDIN ZOTERO_ITEM CSL_CITATION {"citationID":"a19ifdjb9ng","properties":{"formattedCitation":"\\uldash{(Tett &amp; Meyer, 2006)}","plainCitation":"(Tett &amp; Meyer, 2006)","dontUpdate":true,"noteIndex":0},"citationItems":[{"id":334,"uris":["http://zotero.org/users/8724424/items/HD3QYLRT"],"itemData":{"id":334,"type":"article-journal","container-title":"Personnel Psychology","DOI":"10.1111/j.1744-6570.1993.tb00874.x","ISSN":"00315826","issue":"2","language":"en","page":"259-293","source":"DOI.org (Crossref)","title":"JOB SATISFACTION, ORGANIZATIONAL COMMITMENT, TURNOVER INTENTION, AND TURNOVER: PATH ANALYSES BASED ON META-ANALYTIC FINDINGS","title-short":"JOB SATISFACTION, ORGANIZATIONAL COMMITMENT, TURNOVER INTENTION, AND TURNOVER","volume":"46","author":[{"family":"Tett","given":"Robert P."},{"family":"Meyer","given":"John P."}],"issued":{"date-parts":[["2006",12,7]]}}}],"schema":"https://github.com/citation-style-language/schema/raw/master/csl-citation.json"} </w:instrText>
      </w:r>
      <w:r w:rsidRPr="00402CAA">
        <w:fldChar w:fldCharType="separate"/>
      </w:r>
      <w:r w:rsidRPr="00402CAA">
        <w:t>Tett and Meyer (2006)</w:t>
      </w:r>
      <w:r w:rsidRPr="00402CAA">
        <w:fldChar w:fldCharType="end"/>
      </w:r>
      <w:r w:rsidRPr="00402CAA">
        <w:t xml:space="preserve"> defined turnover intention as a “conscious and deliberate willfulness” to leave the organization for alternative employment opportunities. Prior research reveals antecedents of turnover intention include organizational factors, such as error management culture, green human resource management, and perceived fairness </w:t>
      </w:r>
      <w:r w:rsidRPr="00402CAA">
        <w:fldChar w:fldCharType="begin"/>
      </w:r>
      <w:r w:rsidRPr="00402CAA">
        <w:instrText xml:space="preserve"> ADDIN ZOTERO_ITEM CSL_CITATION {"citationID":"a7t6t6terg","properties":{"formattedCitation":"(Islam et al., 2020; Lam et al., 2002; Wang et al., 2019)","plainCitation":"(Islam et al., 2020; Lam et al., 2002; Wang et al., 2019)","noteIndex":0},"citationItems":[{"id":713,"uris":["http://zotero.org/users/8724424/items/ZGTD3YT2"],"itemData":{"id":713,"type":"article-journal","abstract":"AbstractThis study examines the role of green human resource management (GHRM) practices, such as green recruitment and selection, green training, green performance management, green involvement and green rewards, and pays attention on the turnover intention of the millennial employees working in the hotels (3-, 4- and 5-star). Moreover, the study examines the moderating role of work environment on the relationship between those GHRM practices and turnover intention. Researchers collected 162 useful survey questionnaires from 200 distributed questionnaire among the millennial employees, who work in hotels. Analysis of the data through partial least squares structural equation modelling reveals that the green involvement and green pay and reward only impact on reducing turnover intention of millennials while other GHRM practices do not have direct impact on turnover intention of millennials. Interestingly, this study does not find any moderating effect of work environment on the relationship between GHRM practices and turnover intention of millennials working in hotels in Malaysia. This study extends the literature relating to GHRM and work environment and turnover intention of millennials. Furthermore, this is the first empirical research ever done so far relating to GHRM practices and turnover intention of millennials in hotel industry literature. Implications of the findings, as well as research limitations and directions for future scholars, have been discussed.","container-title":"Global Business Review","DOI":"10.1177/0972150920907000","ISSN":"0972-1509","language":"en","note":"publisher: SAGE Publications India","page":"0972150920907000","source":"SAGE Journals","title":"Green Human Resource Management (GHRM) Practices and Millennial Employees’ Turnover Intentions in Tourism Industry in Malaysia: Moderating Role of Work Environment","title-short":"Green Human Resource Management (GHRM) Practices and Millennial Employees’ Turnover Intentions in Tourism Industry in Malaysia","author":[{"family":"Islam","given":"Md Asadul"},{"family":"Jantan","given":"Amer Hamzah"},{"family":"Yusoff","given":"Yusmani Mohd"},{"family":"Chong","given":"Choo Wei"},{"family":"Hossain","given":"Md Shahadat"}],"issued":{"date-parts":[["2020",4,15]]}}},{"id":714,"uris":["http://zotero.org/users/8724424/items/RUKX6KM6"],"itemData":{"id":714,"type":"article-journal","abstract":"New employee turnover has long been a concern of those who investigate human resources issues. According to Hong Kong hotel statistics, the average annual turnover rate of employees with less than 1 year of service was between 44% and 66% for the period between 1985 and 1999. Excessive employee turnover is costly. It also dampens employee morale and affects the service quality for hotel guests. The objectives of this study are to investigate the impact of job and social factors on new employees'organizational commitment and intentions to leave. The authors collected 249 self-administered questionnaires, the results of which showed that subjective norm and training are related to turnover intention, whereas subjective norm, mentorship, and the job itself are related to organizational commitment. Training, family-gathering functions, selection of quality mentors, and job enrichment are possible solutions to retain committed newcomers and reduce turnover rates.","container-title":"Journal of Hospitality &amp; Tourism Research","DOI":"10.1177/1096348002026003002","ISSN":"1096-3480","issue":"3","language":"en","note":"publisher: SAGE Publications Inc","page":"217-234","source":"SAGE Journals","title":"New Employees' Turnover Intentions and Organizational Commitment in the Hong Kong Hotel Industry","volume":"26","author":[{"family":"Lam","given":"Terry"},{"family":"Lo","given":"Ada"},{"family":"Chan","given":"Jimmy"}],"issued":{"date-parts":[["2002",8,1]]}}},{"id":711,"uris":["http://zotero.org/users/8724424/items/HH9YNVJZ"],"itemData":{"id":711,"type":"article-journal","abstract":"This research examines how organizational error management culture influences organizational commitment and employee turnover intention through employee psychological safety and perceived fairness. Data was collected from 173 hotel employees in Hong Kong. Using structural equation modeling, this study found that (1) error management culture positively influences employee psychological safety and perceived fairness; (2) error management culture had significant indirect effect on employee’ s turnover intentions, sequentially mediated by perceived fairness, psychological safety and organization commitment.","container-title":"Journal of Human Resources in Hospitality &amp; Tourism","DOI":"10.1080/15332845.2019.1626964","ISSN":"1533-2845","issue":"4","note":"publisher: Routledge\n_eprint: https://doi.org/10.1080/15332845.2019.1626964","page":"504-528","source":"Taylor and Francis+NEJM","title":"The importance of psychological safety and perceived fairness among hotel employees: The examination of antecedent and outcome variables","title-short":"The importance of psychological safety and perceived fairness among hotel employees","volume":"18","author":[{"family":"Wang","given":"Xingyu"},{"family":"Guchait","given":"Priyanko"},{"family":"Lee","given":"Jinsoo"},{"family":"Back","given":"Ki-Joon"}],"issued":{"date-parts":[["2019",10,2]]}}}],"schema":"https://github.com/citation-style-language/schema/raw/master/csl-citation.json"} </w:instrText>
      </w:r>
      <w:r w:rsidRPr="00402CAA">
        <w:fldChar w:fldCharType="separate"/>
      </w:r>
      <w:r w:rsidRPr="00402CAA">
        <w:t xml:space="preserve">(Islam </w:t>
      </w:r>
      <w:r w:rsidRPr="00402CAA">
        <w:rPr>
          <w:i/>
          <w:iCs/>
        </w:rPr>
        <w:t>et al.,</w:t>
      </w:r>
      <w:r w:rsidRPr="00402CAA">
        <w:t xml:space="preserve"> 2020; Lam </w:t>
      </w:r>
      <w:r w:rsidRPr="00402CAA">
        <w:rPr>
          <w:i/>
          <w:iCs/>
        </w:rPr>
        <w:t>et al.,</w:t>
      </w:r>
      <w:r w:rsidRPr="00402CAA">
        <w:t xml:space="preserve"> 2002; Wang</w:t>
      </w:r>
      <w:r w:rsidRPr="00402CAA">
        <w:rPr>
          <w:i/>
          <w:iCs/>
        </w:rPr>
        <w:t xml:space="preserve"> et al.,</w:t>
      </w:r>
      <w:r w:rsidRPr="00402CAA">
        <w:t xml:space="preserve"> 2019)</w:t>
      </w:r>
      <w:r w:rsidRPr="00402CAA">
        <w:fldChar w:fldCharType="end"/>
      </w:r>
      <w:r w:rsidRPr="00402CAA">
        <w:t xml:space="preserve">. To better retain and attract employees, organizations must have a robust organizational climate where employees believe that they are part of the team and are guided by clear organizational goals to help assist with collaboration efforts, which leads to increased cooperation </w:t>
      </w:r>
      <w:r w:rsidRPr="00402CAA">
        <w:fldChar w:fldCharType="begin"/>
      </w:r>
      <w:r w:rsidRPr="00402CAA">
        <w:instrText xml:space="preserve"> ADDIN ZOTERO_ITEM CSL_CITATION {"citationID":"a26am8khqr1","properties":{"formattedCitation":"(Alkahtani, 2015)","plainCitation":"(Alkahtani, 2015)","noteIndex":0},"citationItems":[{"id":336,"uris":["http://zotero.org/users/8724424/items/H9HTGZYG"],"itemData":{"id":336,"type":"article-journal","abstract":"Why employees leave their organizations or companies has been a topic of interest to both researchers and managers. There is no doubt that turnover is costly; thus, it is important to understand what leads to such a phenomenon. Is it job satisfaction? Is it the lack of organizational commitment? Is it the lack of training? Is it the employees’ perceived support of both the supervisor/manager and the organization as a whole? Is it organizational climate? Is it organizational justice? This conceptual paper sheds some light on the relevant literature and identifies the antecedents of employees’ turnover. The paper proposes a theoretical framework that shows the variables that explain the phenomenon of turnover intention.","container-title":"International Journal of Business and Management","DOI":"10.5539/ijbm.v10n12p152","ISSN":"1833-8119, 1833-3850","issue":"12","journalAbbreviation":"IJBM","language":"en","page":"152","source":"DOI.org (Crossref)","title":"Investigating Factors that Influence Employees’ Turnover Intention: A Review of Existing Empirical Works","title-short":"Investigating Factors that Influence Employees’ Turnover Intention","volume":"10","author":[{"family":"Alkahtani","given":"Ali Hussein"}],"issued":{"date-parts":[["2015",11,19]]}}}],"schema":"https://github.com/citation-style-language/schema/raw/master/csl-citation.json"} </w:instrText>
      </w:r>
      <w:r w:rsidRPr="00402CAA">
        <w:fldChar w:fldCharType="separate"/>
      </w:r>
      <w:r w:rsidRPr="00402CAA">
        <w:t>(Alkahtani, 2015)</w:t>
      </w:r>
      <w:r w:rsidRPr="00402CAA">
        <w:fldChar w:fldCharType="end"/>
      </w:r>
      <w:r w:rsidRPr="00402CAA">
        <w:t>. On the contrary, discouraging organizational climates can increase employee turnover intent (</w:t>
      </w:r>
      <w:proofErr w:type="spellStart"/>
      <w:r w:rsidRPr="00402CAA">
        <w:t>Alkahtani</w:t>
      </w:r>
      <w:proofErr w:type="spellEnd"/>
      <w:r w:rsidRPr="00402CAA">
        <w:t xml:space="preserve">, 2015), which is guided by their fairness perceptions regarding rules and regulations </w:t>
      </w:r>
      <w:r w:rsidRPr="00402CAA">
        <w:fldChar w:fldCharType="begin"/>
      </w:r>
      <w:r w:rsidRPr="00402CAA">
        <w:instrText xml:space="preserve"> ADDIN ZOTERO_ITEM CSL_CITATION {"citationID":"am646gcgf2","properties":{"formattedCitation":"(Aryee et al., 2002; Ding &amp; Lin, 2006)","plainCitation":"(Aryee et al., 2002; Ding &amp; Lin, 2006)","noteIndex":0},"citationItems":[{"id":342,"uris":["http://zotero.org/users/8724424/items/MKN8DAH2"],"itemData":{"id":342,"type":"article-journal","abstract":"Data obtained from full-time employees of a public sector organization in India were used to test a social exchange model of employee work attitudes and behaviors. LISREL results revealed that whereas the three organizational justice dimensions (distributive, procedural and interactional) were related to trust in organization only interactional justice was related to trust in supervisor. The results further revealed that relative to the hypothesized fully mediated model a partially mediated model better fitted the data. Trust in organization partially mediated the relationship between distributive and procedural justice and the work attitudes of job satisfaction, turnover intentions, and organizational commitment but fully mediated the relationship between interactional justice and these work attitudes. In contrast, trust in supervisor fully mediated the relationship between interactional justice and the work behaviors of task performance and the individually- and organizationally-oriented dimensions of citizenship behavior. Copyright © 2002 John Wiley &amp; Sons, Ltd.","container-title":"Journal of Organizational Behavior","DOI":"10.1002/job.138","ISSN":"1099-1379","issue":"3","language":"en","note":"_eprint: https://onlinelibrary.wiley.com/doi/pdf/10.1002/job.138","page":"267-285","source":"Wiley Online Library","title":"Trust as a mediator of the relationship between organizational justice and work outcomes: test of a social exchange model","title-short":"Trust as a mediator of the relationship between organizational justice and work outcomes","volume":"23","author":[{"family":"Aryee","given":"Samuel"},{"family":"Budhwar","given":"Pawan S."},{"family":"Chen","given":"Zhen Xiong"}],"issued":{"date-parts":[["2002"]]}}},{"id":339,"uris":["http://zotero.org/users/8724424/items/Z72SU7F4"],"itemData":{"id":339,"type":"article-journal","abstract":"This research assesses how the direct effects of career satisfaction and job satisfaction on turnover intentions and the indirect effects through organizational commitment differ between Taiwanese and U.S. hospital employees. Using data collected from 179 Taiwanese and 144 U.S. hospital employees, the test results find the following differences: the direct effect of job satisfaction on turnover intentions is negative and significant for Taiwanese hospital employees but not for U.S. hospital employees; the indirect effect of job satisfaction on turnover intentions through organizational commitment is stronger for Taiwanese hospital employees than for U.S. hospital employees; and the negative direct effect of career satisfaction on turnover intentions and the indirect effect through organizational commitment are stronger for U.S. hospital employees than for Taiwanese hospital employees. Finally, the managerial implications for human resource development are discussed.","container-title":"Human Resource Development Quarterly","DOI":"10.1002/hrdq.1183","ISSN":"1532-1096","issue":"4","language":"en","note":"_eprint: https://onlinelibrary.wiley.com/doi/pdf/10.1002/hrdq.1183","page":"403-421","source":"Wiley Online Library","title":"Comparing the effects of determinants of turnover intentions between Taiwanese and U.S. hospital employees","volume":"17","author":[{"family":"Ding","given":"Cherng G."},{"family":"Lin","given":"Chieh-Peng"}],"issued":{"date-parts":[["2006"]]}}}],"schema":"https://github.com/citation-style-language/schema/raw/master/csl-citation.json"} </w:instrText>
      </w:r>
      <w:r w:rsidRPr="00402CAA">
        <w:fldChar w:fldCharType="separate"/>
      </w:r>
      <w:r w:rsidRPr="00402CAA">
        <w:t xml:space="preserve">(Aryee </w:t>
      </w:r>
      <w:r w:rsidRPr="00402CAA">
        <w:rPr>
          <w:i/>
          <w:iCs/>
        </w:rPr>
        <w:t xml:space="preserve">et al., </w:t>
      </w:r>
      <w:r w:rsidRPr="00402CAA">
        <w:t>2002; Ding and Lin, 2006)</w:t>
      </w:r>
      <w:r w:rsidRPr="00402CAA">
        <w:fldChar w:fldCharType="end"/>
      </w:r>
      <w:r w:rsidRPr="00402CAA">
        <w:t xml:space="preserve">. </w:t>
      </w:r>
    </w:p>
    <w:p w14:paraId="3AA94347" w14:textId="77777777" w:rsidR="0086443B" w:rsidRPr="00402CAA" w:rsidRDefault="0086443B" w:rsidP="0086443B">
      <w:pPr>
        <w:spacing w:line="480" w:lineRule="auto"/>
        <w:ind w:firstLine="720"/>
      </w:pPr>
      <w:r w:rsidRPr="00402CAA">
        <w:t xml:space="preserve">An inclusive climate should make employees believe that organizational practices are designed to treat all members fairly by increasing their sense of value based on their contributions to the organization </w:t>
      </w:r>
      <w:r w:rsidRPr="00402CAA">
        <w:fldChar w:fldCharType="begin"/>
      </w:r>
      <w:r w:rsidRPr="00402CAA">
        <w:instrText xml:space="preserve"> ADDIN ZOTERO_ITEM CSL_CITATION {"citationID":"a21v4nbh2pd","properties":{"formattedCitation":"(Jolly &amp; Self, 2020)","plainCitation":"(Jolly &amp; Self, 2020)","noteIndex":0},"citationItems":[{"id":721,"uris":["http://zotero.org/users/8724424/items/A3PYZ692"],"itemData":{"id":721,"type":"article-journal","abstract":"The hospitality workforce is the most diverse in the United States. Given this fact, a growing body of research has sought to investigate the effects of employee perceptions of their organization?s climate regarding diversity, also known as psychological diversity climate. However, little is still known about whether and how diversity climate perceptions might affect hospitality employees? intentions to leave their organizations. Adopting a Conservation of Resources Theory perspective, we argue that diversity climate represents an important resource that employees wish to preserve by continuing employment with their organizations, thus increasing employee organizational embeddedness and decreasing turnover intention. Organizational embeddedness captures why employees stay and represents a totality of forces that serve to keep an employee with his or her current organization. These forces are driven by employees? possession or pursuit of resources derived through employment with their current organization. Drawing on samples of frontline restaurant employees (Study 1) and restaurant managers (Study 2), we found evidence that psychological diversity climate is positively associated with organizational embeddedness. However, the relationship between psychological diversity climate and turnover intentions was mediated only by the sacrifice dimension of organizational embeddedness. Our results point to the importance of developing a positive climate for diversity as a means to retain employees and also shed light on how the dimensions of organizational embeddedness can have differential effects on turnover intentions.","container-title":"Cornell Hospitality Quarterly","DOI":"10.1177/1938965519899935","ISSN":"1938-9655","issue":"4","language":"en","note":"publisher: SAGE Publications Inc","page":"416-431","source":"SAGE Journals","title":"Psychological Diversity Climate, Organizational Embeddedness, and Turnover Intentions: A Conservation of Resources Perspective","title-short":"Psychological Diversity Climate, Organizational Embeddedness, and Turnover Intentions","volume":"61","author":[{"family":"Jolly","given":"Phillip M."},{"family":"Self","given":"Timothy T."}],"issued":{"date-parts":[["2020",11,1]]}}}],"schema":"https://github.com/citation-style-language/schema/raw/master/csl-citation.json"} </w:instrText>
      </w:r>
      <w:r w:rsidRPr="00402CAA">
        <w:fldChar w:fldCharType="separate"/>
      </w:r>
      <w:r w:rsidRPr="00402CAA">
        <w:t>(Jolly and Self, 2020)</w:t>
      </w:r>
      <w:r w:rsidRPr="00402CAA">
        <w:fldChar w:fldCharType="end"/>
      </w:r>
      <w:r w:rsidRPr="00402CAA">
        <w:t xml:space="preserve">. By adopting fair organizational policies, including fostering an inclusive climate that promotes diversity among leaders, organizations can reduce employees’ perceptions of bias and inequality, which assists in their retention. This strategy establishes a culture of equity, where decisions related to recruitment, hiring, and compensation for diverse leaders are made in a manner that is impartial and equitable (Amis </w:t>
      </w:r>
      <w:r w:rsidRPr="00402CAA">
        <w:rPr>
          <w:i/>
          <w:iCs/>
        </w:rPr>
        <w:t>et al.,</w:t>
      </w:r>
      <w:r w:rsidRPr="00402CAA">
        <w:t xml:space="preserve"> 2020). Based on SET, it is believed that when organizations foster an inclusive climate that encourages the acceptance of leaders from diverse demographic backgrounds, it can ignite employee perceptions of fairness. Organizations show they are fair by appreciating and attempting to value diversity through words and actions </w:t>
      </w:r>
      <w:r w:rsidRPr="00402CAA">
        <w:fldChar w:fldCharType="begin"/>
      </w:r>
      <w:r w:rsidRPr="00402CAA">
        <w:instrText xml:space="preserve"> ADDIN ZOTERO_ITEM CSL_CITATION {"citationID":"anr9c7k0uc","properties":{"formattedCitation":"(Sabharwal, 2014)","plainCitation":"(Sabharwal, 2014)","noteIndex":0},"citationItems":[{"id":708,"uris":["http://zotero.org/users/8724424/items/8FY7MTWK"],"itemData":{"id":708,"type":"article-journal","abstract":"This study focuses on the concept of organizational inclusion, which goes beyond diversity management, the dominant paradigm in the field of public administration. Although several studies in public administration mention the importance of inclusion, none of these studies have empirically tested its association with performance beyond diversity management. Data for this study comes from a survey conducted among public managers in Texas agencies. The study finds that diversity management alone is insufficient for improving workplace performance. What is required instead is an approach that promotes greater inclusion of employees in ways that takes their views into account and promotes self-esteem. The results show that productive workplaces exist when employees are encouraged to express their opinions, and their input is sought before making important organizational decisions. This requires supportive leadership and empowering employees with information and resources that will help them make important decisions about their jobs.","container-title":"Public Personnel Management","DOI":"10.1177/0091026014522202","ISSN":"0091-0260","issue":"2","language":"en","note":"publisher: SAGE Publications Inc","page":"197-217","source":"SAGE Journals","title":"Is Diversity Management Sufficient? Organizational Inclusion to Further Performance","title-short":"Is Diversity Management Sufficient?","volume":"43","author":[{"family":"Sabharwal","given":"Meghna"}],"issued":{"date-parts":[["2014",6,1]]}}}],"schema":"https://github.com/citation-style-language/schema/raw/master/csl-citation.json"} </w:instrText>
      </w:r>
      <w:r w:rsidRPr="00402CAA">
        <w:fldChar w:fldCharType="separate"/>
      </w:r>
      <w:r w:rsidRPr="00402CAA">
        <w:t>(Sabharwal, 2014)</w:t>
      </w:r>
      <w:r w:rsidRPr="00402CAA">
        <w:fldChar w:fldCharType="end"/>
      </w:r>
      <w:r w:rsidRPr="00402CAA">
        <w:t xml:space="preserve">, such as policies designed to promote the acceptance of leader diversity. In turn, employees develop beliefs that the organization values and promotes all organizational members’ well-being </w:t>
      </w:r>
      <w:r w:rsidRPr="00402CAA">
        <w:lastRenderedPageBreak/>
        <w:fldChar w:fldCharType="begin"/>
      </w:r>
      <w:r w:rsidRPr="00402CAA">
        <w:instrText xml:space="preserve"> ADDIN ZOTERO_ITEM CSL_CITATION {"citationID":"a2e0iagpegi","properties":{"formattedCitation":"(Otto &amp; Mamatoglu, 2015)","plainCitation":"(Otto &amp; Mamatoglu, 2015)","noteIndex":0},"citationItems":[{"id":351,"uris":["http://zotero.org/users/8724424/items/JCNEKNWI"],"itemData":{"id":351,"type":"article-journal","abstract":"Using social exchange theory as a conceptual framework, we investigated the relationship between interactional justice and the outcomes organizational loyalty (affective commitment, turnover intentions), perceived job performance (self-rated performance, personal accomplishment), and mental impairment (cognitive irritation, emotional exhaustion) in an online survey of 218 employees working in the ﬁeld of computer technology. Specifically, we predicted that interactional justice would heighten the quality of social exchange relationships and therefore expected perceived social support (POS) and bullying to mediate the proposed relationships. We tested our hypotheses applying a latent structural equation model. Our ﬁndings revealed that POS mediated the relationship between interactional justice and organizational loyalty, whereas bullying mediated the relationship between interactional justice and mental impairment. Practical implications are discussed concerning how to foster interactional justice and POS and how to weaken bullying behavior.","container-title":"The Journal of Psychology","DOI":"10.1080/00223980.2013.866535","ISSN":"0022-3980, 1940-1019","issue":"2","journalAbbreviation":"The Journal of Psychology","language":"en","page":"193-218","source":"DOI.org (Crossref)","title":"Why Does Interactional Justice Promote Organizational Loyalty, Job Performance, and Prevent Mental Impairment? The Role of Social Support and Social Stressors","title-short":"Why Does Interactional Justice Promote Organizational Loyalty, Job Performance, and Prevent Mental Impairment?","volume":"149","author":[{"family":"Otto","given":"Kathleen"},{"family":"Mamatoglu","given":"Nihal"}],"issued":{"date-parts":[["2015",2,17]]}}}],"schema":"https://github.com/citation-style-language/schema/raw/master/csl-citation.json"} </w:instrText>
      </w:r>
      <w:r w:rsidRPr="00402CAA">
        <w:fldChar w:fldCharType="separate"/>
      </w:r>
      <w:r w:rsidRPr="00402CAA">
        <w:t>(Otto and Mamatoglu, 2015)</w:t>
      </w:r>
      <w:r w:rsidRPr="00402CAA">
        <w:fldChar w:fldCharType="end"/>
      </w:r>
      <w:r w:rsidRPr="00402CAA">
        <w:t xml:space="preserve"> through fair practices and integration into organizational objectives, encouraging the inclusion of leaders from diverse demographic backgrounds. When members of an organization believe they are treated and integrated into organizational procedures fairly (Otto and </w:t>
      </w:r>
      <w:proofErr w:type="spellStart"/>
      <w:r w:rsidRPr="00402CAA">
        <w:t>Mamatoglu</w:t>
      </w:r>
      <w:proofErr w:type="spellEnd"/>
      <w:r w:rsidRPr="00402CAA">
        <w:t xml:space="preserve">, 2015), in terms of adopting policies that encourage the acceptance of diverse demographic leaders, they will reciprocate positively by lowering turnover intentions. If employees believe that barriers are removed to improve leader diversity (i.e., </w:t>
      </w:r>
      <w:r w:rsidRPr="00402CAA">
        <w:rPr>
          <w:i/>
        </w:rPr>
        <w:t>PICLD</w:t>
      </w:r>
      <w:r w:rsidRPr="00402CAA">
        <w:t xml:space="preserve">), it can reinforce their commitment to the organization </w:t>
      </w:r>
      <w:r w:rsidRPr="00402CAA">
        <w:fldChar w:fldCharType="begin"/>
      </w:r>
      <w:r w:rsidRPr="00402CAA">
        <w:instrText xml:space="preserve"> ADDIN ZOTERO_ITEM CSL_CITATION {"citationID":"a18sjraep6p","properties":{"formattedCitation":"(Ragins et al., 1998)","plainCitation":"(Ragins et al., 1998)","noteIndex":0},"citationItems":[{"id":1000,"uris":["http://zotero.org/users/8724424/items/67D3N7UZ"],"itemData":{"id":1000,"type":"article-journal","abstract":"While businesses are struggling to hold on to their best and brightest women, the persistence of the glass ceiling makes this difficult. Dismantling the glass ceiling requires an accurate understanding of the overt and subtle barriers to advancement faced by women, and the strategies used to overcome these barriers. A large-scale, national survey of Fortune 1000 CEOs and the highest-ranking, most successful women in their companies identified key career strategies used by the women in their rise to the top, and the barriers to advancement they faced in their firms. A startling finding of the study was the disparity in the perceptions of CEOs and the high-ranking women in their firms. The Fortune 1000 CEOs had vastly different perceptions of the organizational and environmental barriers faced by their female employees, and in their companies' progress towards equality in the workplace.","container-title":"The Academy of Management Executive","DOI":"10.5465/ame.1998.254976","ISSN":"10795545","issue":"1","language":"English","license":"Copyright Academy of Management Feb 1998","note":"number-of-pages: 15\npublisher-place: Briarcliff Manor, United States\npublisher: Academy of Management","page":"28-42","source":"ProQuest","title":"Gender gap in the executive suite: CEOs and Female executives report on breaking the glass ceiling","title-short":"Gender gap in the executive suite","volume":"12","author":[{"family":"Ragins","given":"Belle Rose"},{"family":"Townsend","given":"Bickley"},{"family":"Mattis","given":"Mary"}],"issued":{"date-parts":[["1998",2]]}}}],"schema":"https://github.com/citation-style-language/schema/raw/master/csl-citation.json"} </w:instrText>
      </w:r>
      <w:r w:rsidRPr="00402CAA">
        <w:fldChar w:fldCharType="separate"/>
      </w:r>
      <w:r w:rsidRPr="00402CAA">
        <w:t xml:space="preserve">(Ragins </w:t>
      </w:r>
      <w:r w:rsidRPr="00402CAA">
        <w:rPr>
          <w:i/>
        </w:rPr>
        <w:t>et al.</w:t>
      </w:r>
      <w:r w:rsidRPr="00402CAA">
        <w:t>, 1998)</w:t>
      </w:r>
      <w:r w:rsidRPr="00402CAA">
        <w:fldChar w:fldCharType="end"/>
      </w:r>
      <w:r w:rsidRPr="00402CAA">
        <w:t xml:space="preserve"> because it enhances perceptions that diverse perspectives are fairly respected and valued. Organizations can signal to employees that they value diversity and their commitment to creating a fair and equitable environment through an inclusive climate, which in turn leads to employee retention </w:t>
      </w:r>
      <w:r w:rsidRPr="00402CAA">
        <w:fldChar w:fldCharType="begin"/>
      </w:r>
      <w:r w:rsidRPr="00402CAA">
        <w:instrText xml:space="preserve"> ADDIN ZOTERO_ITEM CSL_CITATION {"citationID":"asmi9ncoba","properties":{"formattedCitation":"(Kossek et al., 2006)","plainCitation":"(Kossek et al., 2006)","noteIndex":0},"citationItems":[{"id":996,"uris":["http://zotero.org/users/8724424/items/M72TYJSZ"],"itemData":{"id":996,"type":"chapter","abstract":"Human resource strategies to manage workforce diversity: Examining ‘the business case’ In this chapter, we discuss the human resource management (HRM) perspective on workforce diversity. This viewpoint highlights the development and implementation of organizational initiatives that (1) increase the numerical representation of historically excluded groups; (2) empower a diverse workforce once it is in place to participate fully in organizational decision making; and (3) ensure the inclusion of a diverse workforce in every aspect of organizational life (Kossek &amp; Lobel, 1996). The business case for HR diversity strategies links recruitment, selection, development and retention of a diverse workforce to business goals, labor market shifts, globalization and competitive advantage (Yakura, 1996). Data from the US Department of Labor (2004) illustrates the continuing need for diversity strategies. Whites hold a larger than proportionate share of management occupations (88.4%) relative to other races and ethnicities (e.g. 5.7% for blacks, 5.9% Hispanics). If proportions ...","note":"DOI: 10.4135/9781848608092.n3","page":"53–74","source":"ResearchGate","title":"Human resource strategies to manage workforce diversity: Examining \"the business case\"","title-short":"Human resource strategies to manage workforce diversity","author":[{"family":"Kossek","given":"Ellen"},{"family":"Lobel","given":"Sharon"},{"family":"Brown","given":"Jennifer"}],"issued":{"date-parts":[["2006",1,1]]}}}],"schema":"https://github.com/citation-style-language/schema/raw/master/csl-citation.json"} </w:instrText>
      </w:r>
      <w:r w:rsidRPr="00402CAA">
        <w:fldChar w:fldCharType="separate"/>
      </w:r>
      <w:r w:rsidRPr="00402CAA">
        <w:t xml:space="preserve">(Kossek </w:t>
      </w:r>
      <w:r w:rsidRPr="00402CAA">
        <w:rPr>
          <w:i/>
        </w:rPr>
        <w:t>et al.</w:t>
      </w:r>
      <w:r w:rsidRPr="00402CAA">
        <w:t>, 2006)</w:t>
      </w:r>
      <w:r w:rsidRPr="00402CAA">
        <w:fldChar w:fldCharType="end"/>
      </w:r>
      <w:r w:rsidRPr="00402CAA">
        <w:t xml:space="preserve">. The inability of an organization to promote inclusive practices that embrace diversity among leaders can lead to employee demotivation (Obenauer and Langer, 2019), which may arise from employees perceiving organizational practices as unfair. When organizations signal to employees that policies are unjust, practices are unfair, and opportunities are unequally distributed </w:t>
      </w:r>
      <w:r w:rsidRPr="00402CAA">
        <w:fldChar w:fldCharType="begin"/>
      </w:r>
      <w:r w:rsidRPr="00402CAA">
        <w:instrText xml:space="preserve"> ADDIN ZOTERO_ITEM CSL_CITATION {"citationID":"a1mp6eu3j8c","properties":{"formattedCitation":"(Cropanzano &amp; Mitchell, 2005)","plainCitation":"(Cropanzano &amp; Mitchell, 2005)","noteIndex":0},"citationItems":[{"id":894,"uris":["http://zotero.org/users/8724424/items/R8K968SC"],"itemData":{"id":894,"type":"article-journal","abstract":"Social exchange theory (SET) is one the most influential conceptual paradigms in organizational behavior. Despite its usefulness, theoretical ambiguities within SET remain. As a consequence, tests of the model, as well as its applications, tend to rely on an incompletely specified set of ideas. The authors address conceptual difficulties and highlight areas in need of additional research. In so doing, they pay special attention to four issues: (a) the roots of the conceptual ambiguities, (b) norms and rules of exchange, (c) nature of the resources being exchanged, and (d) social exchange relationships.","container-title":"Journal of Management","DOI":"10.1177/0149206305279602","ISSN":"0149-2063","issue":"6","language":"en","note":"publisher: SAGE Publications Inc","page":"874-900","source":"SAGE Journals","title":"Social Exchange Theory: An Interdisciplinary Review","title-short":"Social Exchange Theory","volume":"31","author":[{"family":"Cropanzano","given":"Russell"},{"family":"Mitchell","given":"Marie S."}],"issued":{"date-parts":[["2005",12,1]]}}}],"schema":"https://github.com/citation-style-language/schema/raw/master/csl-citation.json"} </w:instrText>
      </w:r>
      <w:r w:rsidRPr="00402CAA">
        <w:fldChar w:fldCharType="separate"/>
      </w:r>
      <w:r w:rsidRPr="00402CAA">
        <w:t>(Cropanzano and Mitchell, 2005)</w:t>
      </w:r>
      <w:r w:rsidRPr="00402CAA">
        <w:fldChar w:fldCharType="end"/>
      </w:r>
      <w:r w:rsidRPr="00402CAA">
        <w:t xml:space="preserve">, this could in turn lower their commitment and increase their desire to leave the organization </w:t>
      </w:r>
      <w:r w:rsidRPr="00402CAA">
        <w:fldChar w:fldCharType="begin"/>
      </w:r>
      <w:r w:rsidRPr="00402CAA">
        <w:instrText xml:space="preserve"> ADDIN ZOTERO_ITEM CSL_CITATION {"citationID":"a25u838f1jd","properties":{"formattedCitation":"(Brockner et al., 1992)","plainCitation":"(Brockner et al., 1992)","noteIndex":0},"citationItems":[{"id":994,"uris":["http://zotero.org/users/8724424/items/LUXKA87N"],"itemData":{"id":994,"type":"article-journal","abstract":"The influence of individuals' prior commitment to an institution on their reactions to the perceived fairness of decisions rendered by the institution was examined in two different field settings. The first study examined how layoff survivors' work attitudes and behaviors after the layoff changed as a function of (1) their level of organizational commitment prior to the layoff and (2) their perceptions of the fairness of the decision rule used to keep certain employees and lay off others. In the second study, we explored how citizens' commitment to legal authorities changed as a function of their initial level of commitment and their perceptions of how fairly they were treated in their recent encounters with legal authorities. Consistent results emerged across these two settings: The most negative reactions were exhibited by those who previously felt highly committed but who felt that they were treated unfairly by the institution. Theoretical and practical implications are discussed.","container-title":"Administrative Science Quarterly","DOI":"10.2307/2393223","ISSN":"0001-8392","issue":"2","note":"publisher: [Sage Publications, Inc., Johnson Graduate School of Management, Cornell University]","page":"241-261","source":"JSTOR","title":"The Influence of Prior Commitment to an Institution on Reactions to Perceived Unfairness: The Higher They Are, The Harder They Fall","title-short":"The Influence of Prior Commitment to an Institution on Reactions to Perceived Unfairness","volume":"37","author":[{"family":"Brockner","given":"Joel"},{"family":"Tyler","given":"Tom R."},{"family":"Cooper-Schneider","given":"Rochelle"}],"issued":{"date-parts":[["1992"]]}}}],"schema":"https://github.com/citation-style-language/schema/raw/master/csl-citation.json"} </w:instrText>
      </w:r>
      <w:r w:rsidRPr="00402CAA">
        <w:fldChar w:fldCharType="separate"/>
      </w:r>
      <w:r w:rsidRPr="00402CAA">
        <w:t xml:space="preserve">(Brockner </w:t>
      </w:r>
      <w:r w:rsidRPr="00402CAA">
        <w:rPr>
          <w:i/>
        </w:rPr>
        <w:t>et al.</w:t>
      </w:r>
      <w:r w:rsidRPr="00402CAA">
        <w:t>, 1992)</w:t>
      </w:r>
      <w:r w:rsidRPr="00402CAA">
        <w:fldChar w:fldCharType="end"/>
      </w:r>
      <w:r w:rsidRPr="00402CAA">
        <w:t>. The following hypothesis is proposed:</w:t>
      </w:r>
    </w:p>
    <w:p w14:paraId="0A86CAE5" w14:textId="77777777" w:rsidR="0086443B" w:rsidRPr="00402CAA" w:rsidRDefault="0086443B" w:rsidP="0086443B">
      <w:pPr>
        <w:spacing w:line="480" w:lineRule="auto"/>
        <w:ind w:firstLine="720"/>
      </w:pPr>
      <w:r w:rsidRPr="00402CAA">
        <w:t>H4: Organizational justice will mediate the relationship between</w:t>
      </w:r>
      <w:r w:rsidRPr="00402CAA">
        <w:rPr>
          <w:i/>
          <w:iCs/>
        </w:rPr>
        <w:t xml:space="preserve"> PICLD</w:t>
      </w:r>
      <w:r w:rsidRPr="00402CAA">
        <w:t xml:space="preserve"> and employee turnover intention.</w:t>
      </w:r>
    </w:p>
    <w:p w14:paraId="70226D55" w14:textId="77777777" w:rsidR="0086443B" w:rsidRPr="00200A57" w:rsidRDefault="0086443B" w:rsidP="0086443B">
      <w:pPr>
        <w:rPr>
          <w:b/>
          <w:bCs/>
        </w:rPr>
      </w:pPr>
      <w:r w:rsidRPr="00200A57">
        <w:rPr>
          <w:b/>
          <w:bCs/>
        </w:rPr>
        <w:t>References:</w:t>
      </w:r>
    </w:p>
    <w:p w14:paraId="73C95448" w14:textId="77777777" w:rsidR="0086443B" w:rsidRDefault="0086443B" w:rsidP="0086443B">
      <w:pPr>
        <w:spacing w:after="0" w:line="480" w:lineRule="auto"/>
        <w:ind w:left="720" w:hanging="720"/>
        <w:rPr>
          <w:rFonts w:eastAsia="Times New Roman" w:cs="Times New Roman"/>
          <w:kern w:val="0"/>
          <w:szCs w:val="24"/>
          <w14:ligatures w14:val="none"/>
        </w:rPr>
      </w:pPr>
      <w:r w:rsidRPr="00532925">
        <w:rPr>
          <w:rFonts w:eastAsia="Times New Roman" w:cs="Times New Roman"/>
          <w:kern w:val="0"/>
          <w:szCs w:val="24"/>
          <w14:ligatures w14:val="none"/>
        </w:rPr>
        <w:t xml:space="preserve">Adams, J. S. (1965)," Inequity </w:t>
      </w:r>
      <w:proofErr w:type="gramStart"/>
      <w:r w:rsidRPr="00532925">
        <w:rPr>
          <w:rFonts w:eastAsia="Times New Roman" w:cs="Times New Roman"/>
          <w:kern w:val="0"/>
          <w:szCs w:val="24"/>
          <w14:ligatures w14:val="none"/>
        </w:rPr>
        <w:t>In</w:t>
      </w:r>
      <w:proofErr w:type="gramEnd"/>
      <w:r w:rsidRPr="00532925">
        <w:rPr>
          <w:rFonts w:eastAsia="Times New Roman" w:cs="Times New Roman"/>
          <w:kern w:val="0"/>
          <w:szCs w:val="24"/>
          <w14:ligatures w14:val="none"/>
        </w:rPr>
        <w:t xml:space="preserve"> Social Exchange", In L. Berkowitz (Ed.), Advances in Experimental Social Psychology, </w:t>
      </w:r>
      <w:r w:rsidRPr="00532925">
        <w:rPr>
          <w:rFonts w:eastAsia="Times New Roman" w:cs="Times New Roman"/>
          <w:i/>
          <w:iCs/>
          <w:kern w:val="0"/>
          <w:szCs w:val="24"/>
          <w14:ligatures w14:val="none"/>
        </w:rPr>
        <w:t>Academic Press</w:t>
      </w:r>
      <w:r w:rsidRPr="00532925">
        <w:rPr>
          <w:rFonts w:eastAsia="Times New Roman" w:cs="Times New Roman"/>
          <w:kern w:val="0"/>
          <w:szCs w:val="24"/>
          <w14:ligatures w14:val="none"/>
        </w:rPr>
        <w:t>, pp. 267–299. https://doi.org/10.1016/S0065-2601(08)60108-2</w:t>
      </w:r>
    </w:p>
    <w:p w14:paraId="0DB3387C" w14:textId="77777777" w:rsidR="0086443B" w:rsidRPr="004F1A4C" w:rsidRDefault="0086443B" w:rsidP="0086443B">
      <w:pPr>
        <w:spacing w:after="0" w:line="480" w:lineRule="auto"/>
        <w:ind w:left="720" w:hanging="720"/>
        <w:rPr>
          <w:rFonts w:eastAsia="Calibri" w:cs="Times New Roman"/>
          <w:kern w:val="0"/>
        </w:rPr>
      </w:pPr>
      <w:r w:rsidRPr="004F1A4C">
        <w:rPr>
          <w:rFonts w:eastAsia="Calibri" w:cs="Times New Roman"/>
          <w:kern w:val="0"/>
        </w:rPr>
        <w:lastRenderedPageBreak/>
        <w:t xml:space="preserve">Akram, T., Haider, M., and Feng, Y. (2016), “The Effects of Organizational Justice on the Innovative Work Behavior of Employees: An Empirical Study from China”, </w:t>
      </w:r>
      <w:r w:rsidRPr="004F1A4C">
        <w:rPr>
          <w:rFonts w:eastAsia="Calibri" w:cs="Times New Roman"/>
          <w:i/>
          <w:iCs/>
          <w:kern w:val="0"/>
        </w:rPr>
        <w:t>Journal of Creativity and Business Innovation</w:t>
      </w:r>
      <w:r w:rsidRPr="004F1A4C">
        <w:rPr>
          <w:rFonts w:eastAsia="Calibri" w:cs="Times New Roman"/>
          <w:kern w:val="0"/>
        </w:rPr>
        <w:t xml:space="preserve">, Vol. 2. </w:t>
      </w:r>
    </w:p>
    <w:p w14:paraId="2F8A96EF" w14:textId="77777777" w:rsidR="0086443B" w:rsidRPr="004F1A4C" w:rsidRDefault="0086443B" w:rsidP="0086443B">
      <w:pPr>
        <w:spacing w:after="0" w:line="480" w:lineRule="auto"/>
        <w:ind w:left="720" w:hanging="720"/>
        <w:rPr>
          <w:rFonts w:eastAsia="Times New Roman" w:cs="Times New Roman"/>
          <w:kern w:val="0"/>
          <w:szCs w:val="24"/>
          <w14:ligatures w14:val="none"/>
        </w:rPr>
      </w:pPr>
      <w:r w:rsidRPr="004F1A4C">
        <w:rPr>
          <w:rFonts w:eastAsia="Calibri" w:cs="Times New Roman"/>
          <w:kern w:val="0"/>
        </w:rPr>
        <w:t xml:space="preserve">Akram, T., Lei, S., Haider, M. J., Hussain, S. T., and Puig, L. C. M. (2017), “The effect of organizational justice on knowledge sharing: Empirical evidence from the Chinese telecommunications sector”, </w:t>
      </w:r>
      <w:r w:rsidRPr="004F1A4C">
        <w:rPr>
          <w:rFonts w:eastAsia="Calibri" w:cs="Times New Roman"/>
          <w:i/>
          <w:iCs/>
          <w:kern w:val="0"/>
        </w:rPr>
        <w:t>Journal of Innovation &amp; Knowledge</w:t>
      </w:r>
      <w:r w:rsidRPr="004F1A4C">
        <w:rPr>
          <w:rFonts w:eastAsia="Calibri" w:cs="Times New Roman"/>
          <w:kern w:val="0"/>
        </w:rPr>
        <w:t>, Vol.</w:t>
      </w:r>
      <w:r w:rsidRPr="004F1A4C">
        <w:rPr>
          <w:rFonts w:eastAsia="Calibri" w:cs="Times New Roman"/>
          <w:i/>
          <w:iCs/>
          <w:kern w:val="0"/>
        </w:rPr>
        <w:t xml:space="preserve"> 2</w:t>
      </w:r>
      <w:r w:rsidRPr="004F1A4C">
        <w:rPr>
          <w:rFonts w:eastAsia="Calibri" w:cs="Times New Roman"/>
          <w:kern w:val="0"/>
        </w:rPr>
        <w:t xml:space="preserve"> No. 3, pp. 134–145. https://doi.org/10.1016/j.jik.2016.09.002</w:t>
      </w:r>
      <w:r w:rsidRPr="004F1A4C">
        <w:rPr>
          <w:rFonts w:eastAsia="Times New Roman" w:cs="Times New Roman"/>
          <w:kern w:val="0"/>
          <w:szCs w:val="24"/>
          <w14:ligatures w14:val="none"/>
        </w:rPr>
        <w:t xml:space="preserve"> </w:t>
      </w:r>
    </w:p>
    <w:p w14:paraId="72CD16E7" w14:textId="77777777" w:rsidR="0086443B" w:rsidRPr="00E10671" w:rsidRDefault="0086443B" w:rsidP="0086443B">
      <w:pPr>
        <w:spacing w:after="0" w:line="480" w:lineRule="auto"/>
        <w:ind w:left="720" w:hanging="720"/>
        <w:rPr>
          <w:rFonts w:eastAsia="Calibri" w:cs="Times New Roman"/>
          <w:kern w:val="0"/>
        </w:rPr>
      </w:pPr>
      <w:r w:rsidRPr="00E10671">
        <w:rPr>
          <w:rFonts w:eastAsia="Calibri" w:cs="Times New Roman"/>
          <w:kern w:val="0"/>
        </w:rPr>
        <w:t xml:space="preserve">Alias, M., Ojo, A. O., and </w:t>
      </w:r>
      <w:proofErr w:type="spellStart"/>
      <w:r w:rsidRPr="00E10671">
        <w:rPr>
          <w:rFonts w:eastAsia="Calibri" w:cs="Times New Roman"/>
          <w:kern w:val="0"/>
        </w:rPr>
        <w:t>Ameruddin</w:t>
      </w:r>
      <w:proofErr w:type="spellEnd"/>
      <w:r w:rsidRPr="00E10671">
        <w:rPr>
          <w:rFonts w:eastAsia="Calibri" w:cs="Times New Roman"/>
          <w:kern w:val="0"/>
        </w:rPr>
        <w:t xml:space="preserve">, N. F. L. (2020), "Workplace incivility: The impact on the Malaysian public service department", </w:t>
      </w:r>
      <w:r w:rsidRPr="00E10671">
        <w:rPr>
          <w:rFonts w:eastAsia="Calibri" w:cs="Times New Roman"/>
          <w:i/>
          <w:iCs/>
          <w:kern w:val="0"/>
        </w:rPr>
        <w:t>European Journal of Training and Development</w:t>
      </w:r>
      <w:r w:rsidRPr="00E10671">
        <w:rPr>
          <w:rFonts w:eastAsia="Calibri" w:cs="Times New Roman"/>
          <w:kern w:val="0"/>
        </w:rPr>
        <w:t>, Vol. 46 No. 3/4, pp. 356–372. https://doi.org/10.1108/EJTD-02-2020-0031</w:t>
      </w:r>
      <w:r w:rsidRPr="00E10671">
        <w:rPr>
          <w:rFonts w:eastAsia="Calibri" w:cs="Times New Roman"/>
          <w:i/>
          <w:iCs/>
          <w:kern w:val="0"/>
        </w:rPr>
        <w:t xml:space="preserve"> Research</w:t>
      </w:r>
      <w:r w:rsidRPr="00E10671">
        <w:rPr>
          <w:rFonts w:eastAsia="Calibri" w:cs="Times New Roman"/>
          <w:kern w:val="0"/>
        </w:rPr>
        <w:t>, Vol. 26 No. 3, pp. 217–234. https://doi.org/10.1177/1096348002026003002</w:t>
      </w:r>
    </w:p>
    <w:p w14:paraId="40F49215" w14:textId="77777777" w:rsidR="0086443B" w:rsidRPr="00825824" w:rsidRDefault="0086443B" w:rsidP="0086443B">
      <w:pPr>
        <w:spacing w:after="0" w:line="480" w:lineRule="auto"/>
        <w:ind w:left="720" w:hanging="720"/>
        <w:rPr>
          <w:rFonts w:eastAsia="Calibri" w:cs="Times New Roman"/>
          <w:kern w:val="0"/>
        </w:rPr>
      </w:pPr>
      <w:proofErr w:type="spellStart"/>
      <w:r w:rsidRPr="00825824">
        <w:rPr>
          <w:rFonts w:eastAsia="Calibri" w:cs="Times New Roman"/>
          <w:kern w:val="0"/>
        </w:rPr>
        <w:t>Alkahtani</w:t>
      </w:r>
      <w:proofErr w:type="spellEnd"/>
      <w:r w:rsidRPr="00825824">
        <w:rPr>
          <w:rFonts w:eastAsia="Calibri" w:cs="Times New Roman"/>
          <w:kern w:val="0"/>
        </w:rPr>
        <w:t xml:space="preserve">, A. H. (2015), "Investigating Factors that Influence Employees’ Turnover Intention: A Review of Existing Empirical Works", </w:t>
      </w:r>
      <w:r w:rsidRPr="00825824">
        <w:rPr>
          <w:rFonts w:eastAsia="Calibri" w:cs="Times New Roman"/>
          <w:i/>
          <w:iCs/>
          <w:kern w:val="0"/>
        </w:rPr>
        <w:t>International Journal of Business and Management</w:t>
      </w:r>
      <w:r w:rsidRPr="00825824">
        <w:rPr>
          <w:rFonts w:eastAsia="Calibri" w:cs="Times New Roman"/>
          <w:kern w:val="0"/>
        </w:rPr>
        <w:t xml:space="preserve">, Vol. 10 No. 12, p. 152. https://doi.org/10.5539/ijbm.v10n12p152 </w:t>
      </w:r>
    </w:p>
    <w:p w14:paraId="0194F458" w14:textId="77777777" w:rsidR="0086443B" w:rsidRPr="00CD12BB" w:rsidRDefault="0086443B" w:rsidP="0086443B">
      <w:pPr>
        <w:spacing w:after="0" w:line="480" w:lineRule="auto"/>
        <w:ind w:left="720" w:hanging="720"/>
        <w:rPr>
          <w:rFonts w:eastAsia="Times New Roman" w:cs="Times New Roman"/>
          <w:kern w:val="0"/>
          <w:szCs w:val="24"/>
          <w:lang w:val="en-GB"/>
          <w14:ligatures w14:val="none"/>
        </w:rPr>
      </w:pPr>
      <w:r w:rsidRPr="00CD12BB">
        <w:rPr>
          <w:rFonts w:eastAsia="Times New Roman" w:cs="Times New Roman"/>
          <w:kern w:val="0"/>
          <w:szCs w:val="24"/>
          <w:lang w:val="en-GB"/>
          <w14:ligatures w14:val="none"/>
        </w:rPr>
        <w:t xml:space="preserve">Amis, J. M., Mair, J., and Munir, K. A. (2020), “The Organizational Reproduction of Inequality,” </w:t>
      </w:r>
      <w:r w:rsidRPr="00CD12BB">
        <w:rPr>
          <w:rFonts w:eastAsia="Times New Roman" w:cs="Times New Roman"/>
          <w:i/>
          <w:iCs/>
          <w:kern w:val="0"/>
          <w:szCs w:val="24"/>
          <w:lang w:val="en-GB"/>
          <w14:ligatures w14:val="none"/>
        </w:rPr>
        <w:t>Academy of Management Annals,</w:t>
      </w:r>
      <w:r w:rsidRPr="00CD12BB">
        <w:rPr>
          <w:rFonts w:eastAsia="Times New Roman" w:cs="Times New Roman"/>
          <w:kern w:val="0"/>
          <w:szCs w:val="24"/>
          <w:lang w:val="en-GB"/>
          <w14:ligatures w14:val="none"/>
        </w:rPr>
        <w:t xml:space="preserve"> Vol. 14 No. 1, pp. 195–230. https://doi.org/10.5465/annals.2017.0033</w:t>
      </w:r>
    </w:p>
    <w:p w14:paraId="4A6E76BC" w14:textId="77777777" w:rsidR="0086443B" w:rsidRPr="00B02EC9" w:rsidRDefault="0086443B" w:rsidP="0086443B">
      <w:pPr>
        <w:spacing w:after="0" w:line="480" w:lineRule="auto"/>
        <w:ind w:left="720" w:hanging="720"/>
        <w:rPr>
          <w:rFonts w:eastAsia="Calibri" w:cs="Times New Roman"/>
          <w:kern w:val="0"/>
          <w:szCs w:val="24"/>
        </w:rPr>
      </w:pPr>
      <w:r w:rsidRPr="00B02EC9">
        <w:rPr>
          <w:rFonts w:eastAsia="Calibri" w:cs="Times New Roman"/>
          <w:kern w:val="0"/>
          <w:szCs w:val="24"/>
        </w:rPr>
        <w:t xml:space="preserve">Aryee, S., </w:t>
      </w:r>
      <w:proofErr w:type="spellStart"/>
      <w:r w:rsidRPr="00B02EC9">
        <w:rPr>
          <w:rFonts w:eastAsia="Calibri" w:cs="Times New Roman"/>
          <w:kern w:val="0"/>
          <w:szCs w:val="24"/>
        </w:rPr>
        <w:t>Budhwar</w:t>
      </w:r>
      <w:proofErr w:type="spellEnd"/>
      <w:r w:rsidRPr="00B02EC9">
        <w:rPr>
          <w:rFonts w:eastAsia="Calibri" w:cs="Times New Roman"/>
          <w:kern w:val="0"/>
          <w:szCs w:val="24"/>
        </w:rPr>
        <w:t xml:space="preserve">, P. S., and Chen, Z. X. (2002), "Trust as a mediator of the relationship between organizational justice and work outcomes: Test of a social exchange model", </w:t>
      </w:r>
      <w:r w:rsidRPr="00B02EC9">
        <w:rPr>
          <w:rFonts w:eastAsia="Calibri" w:cs="Times New Roman"/>
          <w:i/>
          <w:iCs/>
          <w:kern w:val="0"/>
          <w:szCs w:val="24"/>
        </w:rPr>
        <w:t>Journal of Organizational Behavior</w:t>
      </w:r>
      <w:r w:rsidRPr="00B02EC9">
        <w:rPr>
          <w:rFonts w:eastAsia="Calibri" w:cs="Times New Roman"/>
          <w:kern w:val="0"/>
          <w:szCs w:val="24"/>
        </w:rPr>
        <w:t xml:space="preserve">, Vol. 23 No. 3, pp. 267–285. https://doi.org/10.1002/job.138 </w:t>
      </w:r>
    </w:p>
    <w:p w14:paraId="0ACDEEEE" w14:textId="77777777" w:rsidR="0086443B" w:rsidRPr="0008549F" w:rsidRDefault="0086443B" w:rsidP="0086443B">
      <w:pPr>
        <w:spacing w:after="0" w:line="480" w:lineRule="auto"/>
        <w:ind w:left="720" w:hanging="720"/>
        <w:rPr>
          <w:rFonts w:eastAsia="Times New Roman" w:cs="Times New Roman"/>
          <w:kern w:val="0"/>
          <w:szCs w:val="24"/>
          <w14:ligatures w14:val="none"/>
        </w:rPr>
      </w:pPr>
      <w:r w:rsidRPr="0008549F">
        <w:rPr>
          <w:rFonts w:eastAsia="Times New Roman" w:cs="Times New Roman"/>
          <w:kern w:val="0"/>
          <w:szCs w:val="24"/>
          <w14:ligatures w14:val="none"/>
        </w:rPr>
        <w:t xml:space="preserve">Belias, D., and </w:t>
      </w:r>
      <w:proofErr w:type="spellStart"/>
      <w:r w:rsidRPr="0008549F">
        <w:rPr>
          <w:rFonts w:eastAsia="Times New Roman" w:cs="Times New Roman"/>
          <w:kern w:val="0"/>
          <w:szCs w:val="24"/>
          <w14:ligatures w14:val="none"/>
        </w:rPr>
        <w:t>Koustelios</w:t>
      </w:r>
      <w:proofErr w:type="spellEnd"/>
      <w:r w:rsidRPr="0008549F">
        <w:rPr>
          <w:rFonts w:eastAsia="Times New Roman" w:cs="Times New Roman"/>
          <w:kern w:val="0"/>
          <w:szCs w:val="24"/>
          <w14:ligatures w14:val="none"/>
        </w:rPr>
        <w:t xml:space="preserve">, A. (2014), "Organizational Culture and Job Satisfaction: A Review", </w:t>
      </w:r>
      <w:r w:rsidRPr="0008549F">
        <w:rPr>
          <w:rFonts w:eastAsia="Times New Roman" w:cs="Times New Roman"/>
          <w:i/>
          <w:iCs/>
          <w:kern w:val="0"/>
          <w:szCs w:val="24"/>
          <w14:ligatures w14:val="none"/>
        </w:rPr>
        <w:t>International Review of Management and Marketing</w:t>
      </w:r>
      <w:r w:rsidRPr="0008549F">
        <w:rPr>
          <w:rFonts w:eastAsia="Times New Roman" w:cs="Times New Roman"/>
          <w:kern w:val="0"/>
          <w:szCs w:val="24"/>
          <w14:ligatures w14:val="none"/>
        </w:rPr>
        <w:t>, Vol. 4 No. 2, pp. 132–149.</w:t>
      </w:r>
    </w:p>
    <w:p w14:paraId="1953DD3B" w14:textId="77777777" w:rsidR="0086443B" w:rsidRPr="001E0103" w:rsidRDefault="0086443B" w:rsidP="0086443B">
      <w:pPr>
        <w:spacing w:after="0" w:line="480" w:lineRule="auto"/>
        <w:ind w:left="720" w:hanging="720"/>
        <w:rPr>
          <w:rFonts w:eastAsia="Times New Roman" w:cs="Times New Roman"/>
          <w:kern w:val="0"/>
          <w:szCs w:val="24"/>
          <w14:ligatures w14:val="none"/>
        </w:rPr>
      </w:pPr>
      <w:proofErr w:type="spellStart"/>
      <w:r w:rsidRPr="001E0103">
        <w:rPr>
          <w:rFonts w:eastAsia="Times New Roman" w:cs="Times New Roman"/>
          <w:kern w:val="0"/>
          <w:szCs w:val="24"/>
          <w14:ligatures w14:val="none"/>
        </w:rPr>
        <w:lastRenderedPageBreak/>
        <w:t>Bies</w:t>
      </w:r>
      <w:proofErr w:type="spellEnd"/>
      <w:r w:rsidRPr="001E0103">
        <w:rPr>
          <w:rFonts w:eastAsia="Times New Roman" w:cs="Times New Roman"/>
          <w:kern w:val="0"/>
          <w:szCs w:val="24"/>
          <w14:ligatures w14:val="none"/>
        </w:rPr>
        <w:t xml:space="preserve">, R. J., and Moag, J. S. (1986), "Interactional justice: Communication criteria of fairness", Research on negotiation in organizations, </w:t>
      </w:r>
      <w:r w:rsidRPr="001E0103">
        <w:rPr>
          <w:rFonts w:eastAsia="Times New Roman" w:cs="Times New Roman"/>
          <w:i/>
          <w:iCs/>
          <w:kern w:val="0"/>
          <w:szCs w:val="24"/>
          <w14:ligatures w14:val="none"/>
        </w:rPr>
        <w:t>JAI Press</w:t>
      </w:r>
      <w:r w:rsidRPr="001E0103">
        <w:rPr>
          <w:rFonts w:eastAsia="Times New Roman" w:cs="Times New Roman"/>
          <w:kern w:val="0"/>
          <w:szCs w:val="24"/>
          <w14:ligatures w14:val="none"/>
        </w:rPr>
        <w:t>, pp. 43-55. https://cir.nii.ac.jp/crid/1583387450502494336</w:t>
      </w:r>
    </w:p>
    <w:p w14:paraId="415ADFD3" w14:textId="77777777" w:rsidR="0086443B" w:rsidRPr="00E83238" w:rsidRDefault="0086443B" w:rsidP="0086443B">
      <w:pPr>
        <w:spacing w:after="0" w:line="480" w:lineRule="auto"/>
        <w:ind w:left="720" w:hanging="720"/>
        <w:rPr>
          <w:rFonts w:eastAsia="Times New Roman" w:cs="Times New Roman"/>
          <w:kern w:val="0"/>
          <w:szCs w:val="24"/>
          <w14:ligatures w14:val="none"/>
        </w:rPr>
      </w:pPr>
      <w:r w:rsidRPr="00E83238">
        <w:rPr>
          <w:rFonts w:eastAsia="Calibri" w:cs="Times New Roman"/>
          <w:kern w:val="0"/>
          <w:szCs w:val="24"/>
        </w:rPr>
        <w:t xml:space="preserve">Boekhorst, J. A. (2015), “The Role of Authentic Leadership in Fostering Workplace Inclusion: A Social Information Processing Perspective”, </w:t>
      </w:r>
      <w:r w:rsidRPr="00E83238">
        <w:rPr>
          <w:rFonts w:eastAsia="Calibri" w:cs="Times New Roman"/>
          <w:i/>
          <w:iCs/>
          <w:kern w:val="0"/>
          <w:szCs w:val="24"/>
        </w:rPr>
        <w:t>Human Resource Management</w:t>
      </w:r>
      <w:r w:rsidRPr="00E83238">
        <w:rPr>
          <w:rFonts w:eastAsia="Calibri" w:cs="Times New Roman"/>
          <w:kern w:val="0"/>
          <w:szCs w:val="24"/>
        </w:rPr>
        <w:t>, Vol. 54 No. 2, pp. 241–264. https://doi.org/10.1002/hrm.21669</w:t>
      </w:r>
      <w:r w:rsidRPr="00E83238">
        <w:rPr>
          <w:rFonts w:eastAsia="Times New Roman" w:cs="Times New Roman"/>
          <w:kern w:val="0"/>
          <w:szCs w:val="24"/>
          <w14:ligatures w14:val="none"/>
        </w:rPr>
        <w:t xml:space="preserve"> </w:t>
      </w:r>
    </w:p>
    <w:p w14:paraId="56496EC1" w14:textId="77777777" w:rsidR="0086443B" w:rsidRPr="008F177A" w:rsidRDefault="0086443B" w:rsidP="0086443B">
      <w:pPr>
        <w:spacing w:after="0" w:line="480" w:lineRule="auto"/>
        <w:ind w:left="720" w:hanging="720"/>
        <w:rPr>
          <w:rFonts w:eastAsia="Times New Roman" w:cs="Times New Roman"/>
          <w:kern w:val="0"/>
          <w:szCs w:val="24"/>
          <w14:ligatures w14:val="none"/>
        </w:rPr>
      </w:pPr>
      <w:r w:rsidRPr="008F177A">
        <w:rPr>
          <w:rFonts w:eastAsia="Times New Roman" w:cs="Times New Roman"/>
          <w:kern w:val="0"/>
          <w:szCs w:val="24"/>
          <w14:ligatures w14:val="none"/>
        </w:rPr>
        <w:t xml:space="preserve">Brockner, J., Tyler, T. R., and Cooper-Schneider, R. (1992), "The Influence of Prior Commitment to an Institution on Reactions to Perceived Unfairness: The Higher They Are, The Harder They Fall", </w:t>
      </w:r>
      <w:r w:rsidRPr="008F177A">
        <w:rPr>
          <w:rFonts w:eastAsia="Times New Roman" w:cs="Times New Roman"/>
          <w:i/>
          <w:iCs/>
          <w:kern w:val="0"/>
          <w:szCs w:val="24"/>
          <w14:ligatures w14:val="none"/>
        </w:rPr>
        <w:t>Administrative Science Quarterly</w:t>
      </w:r>
      <w:r w:rsidRPr="008F177A">
        <w:rPr>
          <w:rFonts w:eastAsia="Times New Roman" w:cs="Times New Roman"/>
          <w:kern w:val="0"/>
          <w:szCs w:val="24"/>
          <w14:ligatures w14:val="none"/>
        </w:rPr>
        <w:t>, Vol. 37 No. 2, pp. 241–261. https://doi.org/10.2307/2393223</w:t>
      </w:r>
    </w:p>
    <w:p w14:paraId="5A2AB86E" w14:textId="77777777" w:rsidR="0086443B" w:rsidRPr="00325DD7" w:rsidRDefault="0086443B" w:rsidP="0086443B">
      <w:pPr>
        <w:spacing w:after="0" w:line="480" w:lineRule="auto"/>
        <w:ind w:left="720" w:hanging="720"/>
        <w:rPr>
          <w:rFonts w:eastAsia="Times New Roman" w:cs="Times New Roman"/>
          <w:kern w:val="0"/>
          <w:szCs w:val="24"/>
          <w14:ligatures w14:val="none"/>
        </w:rPr>
      </w:pPr>
      <w:r w:rsidRPr="00325DD7">
        <w:rPr>
          <w:rFonts w:eastAsia="Times New Roman" w:cs="Times New Roman"/>
          <w:kern w:val="0"/>
          <w:szCs w:val="24"/>
          <w14:ligatures w14:val="none"/>
        </w:rPr>
        <w:t xml:space="preserve">Brunetto, Y., Farr-Wharton, B., Farr-Wharton, R., Shacklock, K., Azzopardi, J., </w:t>
      </w:r>
      <w:proofErr w:type="spellStart"/>
      <w:r w:rsidRPr="00325DD7">
        <w:rPr>
          <w:rFonts w:eastAsia="Times New Roman" w:cs="Times New Roman"/>
          <w:kern w:val="0"/>
          <w:szCs w:val="24"/>
          <w14:ligatures w14:val="none"/>
        </w:rPr>
        <w:t>Saccon</w:t>
      </w:r>
      <w:proofErr w:type="spellEnd"/>
      <w:r w:rsidRPr="00325DD7">
        <w:rPr>
          <w:rFonts w:eastAsia="Times New Roman" w:cs="Times New Roman"/>
          <w:kern w:val="0"/>
          <w:szCs w:val="24"/>
          <w14:ligatures w14:val="none"/>
        </w:rPr>
        <w:t xml:space="preserve">, C., and </w:t>
      </w:r>
      <w:proofErr w:type="spellStart"/>
      <w:r w:rsidRPr="00325DD7">
        <w:rPr>
          <w:rFonts w:eastAsia="Times New Roman" w:cs="Times New Roman"/>
          <w:kern w:val="0"/>
          <w:szCs w:val="24"/>
          <w14:ligatures w14:val="none"/>
        </w:rPr>
        <w:t>Shriberg</w:t>
      </w:r>
      <w:proofErr w:type="spellEnd"/>
      <w:r w:rsidRPr="00325DD7">
        <w:rPr>
          <w:rFonts w:eastAsia="Times New Roman" w:cs="Times New Roman"/>
          <w:kern w:val="0"/>
          <w:szCs w:val="24"/>
          <w14:ligatures w14:val="none"/>
        </w:rPr>
        <w:t xml:space="preserve">, A. (2020), "Comparing the impact of management support on police officers’ perceptions of discretionary power and engagement: Australia, USA and Malta", </w:t>
      </w:r>
      <w:r w:rsidRPr="00325DD7">
        <w:rPr>
          <w:rFonts w:eastAsia="Times New Roman" w:cs="Times New Roman"/>
          <w:i/>
          <w:iCs/>
          <w:kern w:val="0"/>
          <w:szCs w:val="24"/>
          <w14:ligatures w14:val="none"/>
        </w:rPr>
        <w:t>The International Journal of Human Resource Management,</w:t>
      </w:r>
      <w:r w:rsidRPr="00325DD7">
        <w:rPr>
          <w:rFonts w:eastAsia="Times New Roman" w:cs="Times New Roman"/>
          <w:kern w:val="0"/>
          <w:szCs w:val="24"/>
          <w14:ligatures w14:val="none"/>
        </w:rPr>
        <w:t xml:space="preserve"> Vol. 31 No. 6, pp. 738–759. https://doi.org/10.1080/09585192.2017.1375964</w:t>
      </w:r>
    </w:p>
    <w:p w14:paraId="33F23764" w14:textId="77777777" w:rsidR="0086443B" w:rsidRPr="007C7F9C" w:rsidRDefault="0086443B" w:rsidP="0086443B">
      <w:pPr>
        <w:spacing w:after="0" w:line="480" w:lineRule="auto"/>
        <w:ind w:left="720" w:hanging="720"/>
        <w:rPr>
          <w:rFonts w:eastAsia="Times New Roman" w:cs="Times New Roman"/>
          <w:kern w:val="0"/>
          <w:szCs w:val="24"/>
          <w14:ligatures w14:val="none"/>
        </w:rPr>
      </w:pPr>
      <w:r w:rsidRPr="007C7F9C">
        <w:rPr>
          <w:rFonts w:eastAsia="Times New Roman" w:cs="Times New Roman"/>
          <w:kern w:val="0"/>
          <w:szCs w:val="24"/>
          <w14:ligatures w14:val="none"/>
        </w:rPr>
        <w:t xml:space="preserve">Buttner, E. H., Lowe, K., and Billings-Harris, L. (2010), "Diversity climate impact on employee of color outcomes: Does justice matter?", </w:t>
      </w:r>
      <w:r w:rsidRPr="007C7F9C">
        <w:rPr>
          <w:rFonts w:eastAsia="Times New Roman" w:cs="Times New Roman"/>
          <w:i/>
          <w:iCs/>
          <w:kern w:val="0"/>
          <w:szCs w:val="24"/>
          <w14:ligatures w14:val="none"/>
        </w:rPr>
        <w:t xml:space="preserve">Career Development International, </w:t>
      </w:r>
      <w:r w:rsidRPr="007C7F9C">
        <w:rPr>
          <w:rFonts w:eastAsia="Times New Roman" w:cs="Times New Roman"/>
          <w:kern w:val="0"/>
          <w:szCs w:val="24"/>
          <w14:ligatures w14:val="none"/>
        </w:rPr>
        <w:t>Vol. 15, pp. 239–258. https://doi.org/10.1108/13620431011053721</w:t>
      </w:r>
    </w:p>
    <w:p w14:paraId="6E43D297" w14:textId="77777777" w:rsidR="0086443B" w:rsidRPr="00D377B7" w:rsidRDefault="0086443B" w:rsidP="0086443B">
      <w:pPr>
        <w:spacing w:after="0" w:line="480" w:lineRule="auto"/>
        <w:ind w:left="720" w:hanging="720"/>
        <w:rPr>
          <w:rFonts w:eastAsia="Times New Roman" w:cs="Times New Roman"/>
          <w:kern w:val="0"/>
          <w:szCs w:val="24"/>
          <w14:ligatures w14:val="none"/>
        </w:rPr>
      </w:pPr>
      <w:proofErr w:type="spellStart"/>
      <w:r w:rsidRPr="00D377B7">
        <w:rPr>
          <w:rFonts w:eastAsia="Times New Roman" w:cs="Times New Roman"/>
          <w:kern w:val="0"/>
          <w:szCs w:val="24"/>
          <w14:ligatures w14:val="none"/>
        </w:rPr>
        <w:t>Chantarat</w:t>
      </w:r>
      <w:proofErr w:type="spellEnd"/>
      <w:r w:rsidRPr="00D377B7">
        <w:rPr>
          <w:rFonts w:eastAsia="Times New Roman" w:cs="Times New Roman"/>
          <w:kern w:val="0"/>
          <w:szCs w:val="24"/>
          <w14:ligatures w14:val="none"/>
        </w:rPr>
        <w:t xml:space="preserve">, T., Rogers, T. B., Mitchell, C. R., and Ko, M. J. (2023), "Perceptions of workplace climate and diversity, equity, and inclusion within health services and policy research", </w:t>
      </w:r>
      <w:r w:rsidRPr="00D377B7">
        <w:rPr>
          <w:rFonts w:eastAsia="Times New Roman" w:cs="Times New Roman"/>
          <w:i/>
          <w:iCs/>
          <w:kern w:val="0"/>
          <w:szCs w:val="24"/>
          <w14:ligatures w14:val="none"/>
        </w:rPr>
        <w:t>Health Services Research</w:t>
      </w:r>
      <w:r w:rsidRPr="00D377B7">
        <w:rPr>
          <w:rFonts w:eastAsia="Times New Roman" w:cs="Times New Roman"/>
          <w:kern w:val="0"/>
          <w:szCs w:val="24"/>
          <w14:ligatures w14:val="none"/>
        </w:rPr>
        <w:t>, Vol. 58 No. 2, pp. 314–324. https://doi.org/10.1111/1475-6773.14032</w:t>
      </w:r>
    </w:p>
    <w:p w14:paraId="3AF2CDD6" w14:textId="77777777" w:rsidR="0086443B" w:rsidRPr="002259C3" w:rsidRDefault="0086443B" w:rsidP="0086443B">
      <w:pPr>
        <w:spacing w:after="0" w:line="480" w:lineRule="auto"/>
        <w:ind w:left="720" w:hanging="720"/>
        <w:rPr>
          <w:rFonts w:eastAsia="Times New Roman" w:cs="Times New Roman"/>
          <w:kern w:val="0"/>
          <w:szCs w:val="24"/>
          <w14:ligatures w14:val="none"/>
        </w:rPr>
      </w:pPr>
      <w:r w:rsidRPr="002259C3">
        <w:rPr>
          <w:rFonts w:eastAsia="Calibri" w:cs="Times New Roman"/>
          <w:kern w:val="0"/>
          <w:szCs w:val="24"/>
        </w:rPr>
        <w:lastRenderedPageBreak/>
        <w:t xml:space="preserve">Chaudhry, I. S., </w:t>
      </w:r>
      <w:proofErr w:type="spellStart"/>
      <w:r w:rsidRPr="002259C3">
        <w:rPr>
          <w:rFonts w:eastAsia="Calibri" w:cs="Times New Roman"/>
          <w:kern w:val="0"/>
          <w:szCs w:val="24"/>
        </w:rPr>
        <w:t>Paquibut</w:t>
      </w:r>
      <w:proofErr w:type="spellEnd"/>
      <w:r w:rsidRPr="002259C3">
        <w:rPr>
          <w:rFonts w:eastAsia="Calibri" w:cs="Times New Roman"/>
          <w:kern w:val="0"/>
          <w:szCs w:val="24"/>
        </w:rPr>
        <w:t xml:space="preserve">, R. Y., and </w:t>
      </w:r>
      <w:proofErr w:type="spellStart"/>
      <w:r w:rsidRPr="002259C3">
        <w:rPr>
          <w:rFonts w:eastAsia="Calibri" w:cs="Times New Roman"/>
          <w:kern w:val="0"/>
          <w:szCs w:val="24"/>
        </w:rPr>
        <w:t>Tunio</w:t>
      </w:r>
      <w:proofErr w:type="spellEnd"/>
      <w:r w:rsidRPr="002259C3">
        <w:rPr>
          <w:rFonts w:eastAsia="Calibri" w:cs="Times New Roman"/>
          <w:kern w:val="0"/>
          <w:szCs w:val="24"/>
        </w:rPr>
        <w:t xml:space="preserve">, M. N. (2021), “Do workforce diversity, inclusion practices, &amp; organizational characteristics contribute to organizational innovation? Evidence from the U.A.E.”, </w:t>
      </w:r>
      <w:r w:rsidRPr="002259C3">
        <w:rPr>
          <w:rFonts w:eastAsia="Calibri" w:cs="Times New Roman"/>
          <w:i/>
          <w:iCs/>
          <w:kern w:val="0"/>
          <w:szCs w:val="24"/>
        </w:rPr>
        <w:t>Cogent Business &amp; Management</w:t>
      </w:r>
      <w:r w:rsidRPr="002259C3">
        <w:rPr>
          <w:rFonts w:eastAsia="Calibri" w:cs="Times New Roman"/>
          <w:kern w:val="0"/>
          <w:szCs w:val="24"/>
        </w:rPr>
        <w:t>, Vol.</w:t>
      </w:r>
      <w:r w:rsidRPr="002259C3">
        <w:rPr>
          <w:rFonts w:eastAsia="Calibri" w:cs="Times New Roman"/>
          <w:i/>
          <w:iCs/>
          <w:kern w:val="0"/>
          <w:szCs w:val="24"/>
        </w:rPr>
        <w:t xml:space="preserve"> 8</w:t>
      </w:r>
      <w:r w:rsidRPr="002259C3">
        <w:rPr>
          <w:rFonts w:eastAsia="Calibri" w:cs="Times New Roman"/>
          <w:kern w:val="0"/>
          <w:szCs w:val="24"/>
        </w:rPr>
        <w:t xml:space="preserve"> No. 1, p. 1947549. https://doi.org/10.1080/23311975.2021.1947549</w:t>
      </w:r>
      <w:r w:rsidRPr="002259C3">
        <w:rPr>
          <w:rFonts w:eastAsia="Times New Roman" w:cs="Times New Roman"/>
          <w:kern w:val="0"/>
          <w:szCs w:val="24"/>
          <w14:ligatures w14:val="none"/>
        </w:rPr>
        <w:t xml:space="preserve"> </w:t>
      </w:r>
    </w:p>
    <w:p w14:paraId="0FCF62A3" w14:textId="77777777" w:rsidR="0086443B" w:rsidRPr="00C636C9" w:rsidRDefault="0086443B" w:rsidP="0086443B">
      <w:pPr>
        <w:spacing w:after="0" w:line="480" w:lineRule="auto"/>
        <w:ind w:left="720" w:hanging="720"/>
        <w:rPr>
          <w:rFonts w:eastAsia="Times New Roman" w:cs="Times New Roman"/>
          <w:kern w:val="0"/>
          <w:szCs w:val="24"/>
          <w14:ligatures w14:val="none"/>
        </w:rPr>
      </w:pPr>
      <w:r w:rsidRPr="00C636C9">
        <w:rPr>
          <w:rFonts w:eastAsia="Calibri" w:cs="Times New Roman"/>
          <w:kern w:val="0"/>
          <w:szCs w:val="24"/>
        </w:rPr>
        <w:t xml:space="preserve">Cho, S., and Mor Barak, M. E. (2008), “Understanding of Diversity and Inclusion in a Perceived Homogeneous Culture: A Study of Organizational Commitment and Job Performance Among Korean Employees”, </w:t>
      </w:r>
      <w:r w:rsidRPr="00C636C9">
        <w:rPr>
          <w:rFonts w:eastAsia="Calibri" w:cs="Times New Roman"/>
          <w:i/>
          <w:iCs/>
          <w:kern w:val="0"/>
          <w:szCs w:val="24"/>
        </w:rPr>
        <w:t>Administration in Social Work</w:t>
      </w:r>
      <w:r w:rsidRPr="00C636C9">
        <w:rPr>
          <w:rFonts w:eastAsia="Calibri" w:cs="Times New Roman"/>
          <w:kern w:val="0"/>
          <w:szCs w:val="24"/>
        </w:rPr>
        <w:t>, Vol.</w:t>
      </w:r>
      <w:r w:rsidRPr="00C636C9">
        <w:rPr>
          <w:rFonts w:eastAsia="Calibri" w:cs="Times New Roman"/>
          <w:i/>
          <w:iCs/>
          <w:kern w:val="0"/>
          <w:szCs w:val="24"/>
        </w:rPr>
        <w:t xml:space="preserve"> 32</w:t>
      </w:r>
      <w:r w:rsidRPr="00C636C9">
        <w:rPr>
          <w:rFonts w:eastAsia="Calibri" w:cs="Times New Roman"/>
          <w:kern w:val="0"/>
          <w:szCs w:val="24"/>
        </w:rPr>
        <w:t xml:space="preserve"> No. 4, pp. 100–126. https://doi.org/10.1080/03643100802293865</w:t>
      </w:r>
      <w:r w:rsidRPr="00C636C9">
        <w:rPr>
          <w:rFonts w:eastAsia="Times New Roman" w:cs="Times New Roman"/>
          <w:kern w:val="0"/>
          <w:szCs w:val="24"/>
          <w14:ligatures w14:val="none"/>
        </w:rPr>
        <w:t xml:space="preserve"> </w:t>
      </w:r>
    </w:p>
    <w:p w14:paraId="2207BD2A" w14:textId="77777777" w:rsidR="0086443B" w:rsidRPr="00A00C6A" w:rsidRDefault="0086443B" w:rsidP="0086443B">
      <w:pPr>
        <w:spacing w:after="0" w:line="480" w:lineRule="auto"/>
        <w:ind w:left="720" w:hanging="720"/>
        <w:rPr>
          <w:rFonts w:eastAsia="Calibri" w:cs="Times New Roman"/>
          <w:kern w:val="0"/>
          <w:szCs w:val="24"/>
        </w:rPr>
      </w:pPr>
      <w:r w:rsidRPr="00A00C6A">
        <w:rPr>
          <w:rFonts w:eastAsia="Calibri" w:cs="Times New Roman"/>
          <w:kern w:val="0"/>
          <w:szCs w:val="24"/>
        </w:rPr>
        <w:t xml:space="preserve">Cho, Y. J., and Sai, N. (2013), "Does Organizational Justice Matter in the Federal Workplace?", </w:t>
      </w:r>
      <w:r w:rsidRPr="00A00C6A">
        <w:rPr>
          <w:rFonts w:eastAsia="Calibri" w:cs="Times New Roman"/>
          <w:i/>
          <w:iCs/>
          <w:kern w:val="0"/>
          <w:szCs w:val="24"/>
        </w:rPr>
        <w:t>Review of Public Personnel Administration</w:t>
      </w:r>
      <w:r w:rsidRPr="00A00C6A">
        <w:rPr>
          <w:rFonts w:eastAsia="Calibri" w:cs="Times New Roman"/>
          <w:kern w:val="0"/>
          <w:szCs w:val="24"/>
        </w:rPr>
        <w:t xml:space="preserve">, Vol. 33 No. 3, pp. 227–251. https://doi.org/10.1177/0734371X12458126 </w:t>
      </w:r>
    </w:p>
    <w:p w14:paraId="1DF0C5B5" w14:textId="77777777" w:rsidR="0086443B" w:rsidRPr="00625E7C" w:rsidRDefault="0086443B" w:rsidP="0086443B">
      <w:pPr>
        <w:spacing w:after="0" w:line="480" w:lineRule="auto"/>
        <w:ind w:left="720" w:hanging="720"/>
        <w:rPr>
          <w:rFonts w:eastAsia="Calibri" w:cs="Times New Roman"/>
          <w:kern w:val="0"/>
          <w:szCs w:val="24"/>
        </w:rPr>
      </w:pPr>
      <w:r w:rsidRPr="00625E7C">
        <w:rPr>
          <w:rFonts w:eastAsia="Calibri" w:cs="Times New Roman"/>
          <w:kern w:val="0"/>
          <w:szCs w:val="24"/>
        </w:rPr>
        <w:t>Cohen-</w:t>
      </w:r>
      <w:proofErr w:type="spellStart"/>
      <w:r w:rsidRPr="00625E7C">
        <w:rPr>
          <w:rFonts w:eastAsia="Calibri" w:cs="Times New Roman"/>
          <w:kern w:val="0"/>
          <w:szCs w:val="24"/>
        </w:rPr>
        <w:t>Charash</w:t>
      </w:r>
      <w:proofErr w:type="spellEnd"/>
      <w:r w:rsidRPr="00625E7C">
        <w:rPr>
          <w:rFonts w:eastAsia="Calibri" w:cs="Times New Roman"/>
          <w:kern w:val="0"/>
          <w:szCs w:val="24"/>
        </w:rPr>
        <w:t xml:space="preserve">, Y., and Spector, P. E. (2001), “The Role of Justice in Organizations: A Meta-Analysis”, </w:t>
      </w:r>
      <w:r w:rsidRPr="00625E7C">
        <w:rPr>
          <w:rFonts w:eastAsia="Calibri" w:cs="Times New Roman"/>
          <w:i/>
          <w:iCs/>
          <w:kern w:val="0"/>
          <w:szCs w:val="24"/>
        </w:rPr>
        <w:t>Organizational Behavior and Human Decision Processes</w:t>
      </w:r>
      <w:r w:rsidRPr="00625E7C">
        <w:rPr>
          <w:rFonts w:eastAsia="Calibri" w:cs="Times New Roman"/>
          <w:kern w:val="0"/>
          <w:szCs w:val="24"/>
        </w:rPr>
        <w:t>, Vol. 86 No. 2, pp. 278–321. https://doi.org/10.1006/obhd.2001.2958</w:t>
      </w:r>
    </w:p>
    <w:p w14:paraId="38DD753D" w14:textId="77777777" w:rsidR="0086443B" w:rsidRPr="00E324D0" w:rsidRDefault="0086443B" w:rsidP="0086443B">
      <w:pPr>
        <w:spacing w:after="0" w:line="480" w:lineRule="auto"/>
        <w:ind w:left="720" w:hanging="720"/>
        <w:rPr>
          <w:rFonts w:eastAsia="Times New Roman" w:cs="Times New Roman"/>
          <w:kern w:val="0"/>
          <w:szCs w:val="24"/>
          <w14:ligatures w14:val="none"/>
        </w:rPr>
      </w:pPr>
      <w:r w:rsidRPr="00E324D0">
        <w:rPr>
          <w:rFonts w:eastAsia="Times New Roman" w:cs="Times New Roman"/>
          <w:kern w:val="0"/>
          <w:szCs w:val="24"/>
          <w14:ligatures w14:val="none"/>
        </w:rPr>
        <w:t xml:space="preserve">Colquitt, J. A., Conlon, D. E., Wesson, M. J., Porter, C. O. L. H., and Ng, K. Y. (2001), "Justice at the millennium: A meta-analytic review of 25 years of organizational justice research", </w:t>
      </w:r>
      <w:r w:rsidRPr="00E324D0">
        <w:rPr>
          <w:rFonts w:eastAsia="Times New Roman" w:cs="Times New Roman"/>
          <w:i/>
          <w:iCs/>
          <w:kern w:val="0"/>
          <w:szCs w:val="24"/>
          <w14:ligatures w14:val="none"/>
        </w:rPr>
        <w:t>Journal of Applied Psychology,</w:t>
      </w:r>
      <w:r w:rsidRPr="00E324D0">
        <w:rPr>
          <w:rFonts w:eastAsia="Times New Roman" w:cs="Times New Roman"/>
          <w:kern w:val="0"/>
          <w:szCs w:val="24"/>
          <w14:ligatures w14:val="none"/>
        </w:rPr>
        <w:t xml:space="preserve"> Vol. 86, pp. 425–445. https://doi.org/10.1037/0021-9010.86.3.425</w:t>
      </w:r>
    </w:p>
    <w:p w14:paraId="22E77FC0" w14:textId="77777777" w:rsidR="0086443B" w:rsidRPr="00E324D0" w:rsidRDefault="0086443B" w:rsidP="0086443B">
      <w:pPr>
        <w:spacing w:after="0" w:line="480" w:lineRule="auto"/>
        <w:ind w:left="720" w:hanging="720"/>
        <w:rPr>
          <w:rFonts w:eastAsia="Times New Roman" w:cs="Times New Roman"/>
          <w:kern w:val="0"/>
          <w:szCs w:val="24"/>
          <w14:ligatures w14:val="none"/>
        </w:rPr>
      </w:pPr>
      <w:r w:rsidRPr="00E324D0">
        <w:rPr>
          <w:rFonts w:eastAsia="Times New Roman" w:cs="Times New Roman"/>
          <w:kern w:val="0"/>
          <w:szCs w:val="24"/>
          <w14:ligatures w14:val="none"/>
        </w:rPr>
        <w:t xml:space="preserve">Colquitt, J. A., Scott, B. A., Rodell, J. B., Long, D. M., Zapata, C. P., Conlon, D. E., and Wesson, M. J. (2013), "Justice at the millennium, a decade later: A meta-analytic test of social exchange and affect-based perspectives", </w:t>
      </w:r>
      <w:r w:rsidRPr="00E324D0">
        <w:rPr>
          <w:rFonts w:eastAsia="Times New Roman" w:cs="Times New Roman"/>
          <w:i/>
          <w:iCs/>
          <w:kern w:val="0"/>
          <w:szCs w:val="24"/>
          <w14:ligatures w14:val="none"/>
        </w:rPr>
        <w:t>Journal of Applied Psychology</w:t>
      </w:r>
      <w:r w:rsidRPr="00E324D0">
        <w:rPr>
          <w:rFonts w:eastAsia="Times New Roman" w:cs="Times New Roman"/>
          <w:kern w:val="0"/>
          <w:szCs w:val="24"/>
          <w14:ligatures w14:val="none"/>
        </w:rPr>
        <w:t>, Vol. 98, pp. 199–236. https://doi.org/10.1037/a0031757</w:t>
      </w:r>
    </w:p>
    <w:p w14:paraId="261CB361" w14:textId="77777777" w:rsidR="0086443B" w:rsidRPr="00C26DC9" w:rsidRDefault="0086443B" w:rsidP="0086443B">
      <w:pPr>
        <w:spacing w:after="0" w:line="480" w:lineRule="auto"/>
        <w:ind w:left="720" w:hanging="720"/>
        <w:rPr>
          <w:rFonts w:eastAsia="Times New Roman" w:cs="Times New Roman"/>
          <w:kern w:val="0"/>
          <w:szCs w:val="24"/>
          <w14:ligatures w14:val="none"/>
        </w:rPr>
      </w:pPr>
      <w:proofErr w:type="spellStart"/>
      <w:r w:rsidRPr="00C26DC9">
        <w:rPr>
          <w:rFonts w:eastAsia="Times New Roman" w:cs="Times New Roman"/>
          <w:kern w:val="0"/>
          <w:szCs w:val="24"/>
          <w14:ligatures w14:val="none"/>
        </w:rPr>
        <w:lastRenderedPageBreak/>
        <w:t>Cropanzano</w:t>
      </w:r>
      <w:proofErr w:type="spellEnd"/>
      <w:r w:rsidRPr="00C26DC9">
        <w:rPr>
          <w:rFonts w:eastAsia="Times New Roman" w:cs="Times New Roman"/>
          <w:kern w:val="0"/>
          <w:szCs w:val="24"/>
          <w14:ligatures w14:val="none"/>
        </w:rPr>
        <w:t xml:space="preserve">, R., and Mitchell, M. S. (2005), "Social Exchange Theory: An Interdisciplinary Review", </w:t>
      </w:r>
      <w:r w:rsidRPr="00C26DC9">
        <w:rPr>
          <w:rFonts w:eastAsia="Times New Roman" w:cs="Times New Roman"/>
          <w:i/>
          <w:iCs/>
          <w:kern w:val="0"/>
          <w:szCs w:val="24"/>
          <w14:ligatures w14:val="none"/>
        </w:rPr>
        <w:t>Journal of Management</w:t>
      </w:r>
      <w:r w:rsidRPr="00C26DC9">
        <w:rPr>
          <w:rFonts w:eastAsia="Times New Roman" w:cs="Times New Roman"/>
          <w:kern w:val="0"/>
          <w:szCs w:val="24"/>
          <w14:ligatures w14:val="none"/>
        </w:rPr>
        <w:t>, Vol. 31 No. 6, pp. 874–900. https://doi.org/10.1177/0149206305279602</w:t>
      </w:r>
    </w:p>
    <w:p w14:paraId="361A66C8" w14:textId="77777777" w:rsidR="0086443B" w:rsidRPr="00C26DC9" w:rsidRDefault="0086443B" w:rsidP="0086443B">
      <w:pPr>
        <w:spacing w:after="0" w:line="480" w:lineRule="auto"/>
        <w:ind w:left="720" w:hanging="720"/>
        <w:rPr>
          <w:rFonts w:eastAsia="Times New Roman" w:cs="Times New Roman"/>
          <w:kern w:val="0"/>
          <w:szCs w:val="24"/>
          <w14:ligatures w14:val="none"/>
        </w:rPr>
      </w:pPr>
      <w:proofErr w:type="spellStart"/>
      <w:r w:rsidRPr="00C26DC9">
        <w:rPr>
          <w:rFonts w:eastAsia="Times New Roman" w:cs="Times New Roman"/>
          <w:kern w:val="0"/>
          <w:szCs w:val="24"/>
          <w14:ligatures w14:val="none"/>
        </w:rPr>
        <w:t>Cropanzano</w:t>
      </w:r>
      <w:proofErr w:type="spellEnd"/>
      <w:r w:rsidRPr="00C26DC9">
        <w:rPr>
          <w:rFonts w:eastAsia="Times New Roman" w:cs="Times New Roman"/>
          <w:kern w:val="0"/>
          <w:szCs w:val="24"/>
          <w14:ligatures w14:val="none"/>
        </w:rPr>
        <w:t>, R., Li, A., and James, K. (2007), "</w:t>
      </w:r>
      <w:proofErr w:type="spellStart"/>
      <w:r w:rsidRPr="00C26DC9">
        <w:rPr>
          <w:rFonts w:eastAsia="Times New Roman" w:cs="Times New Roman"/>
          <w:kern w:val="0"/>
          <w:szCs w:val="24"/>
          <w14:ligatures w14:val="none"/>
        </w:rPr>
        <w:t>Intraunit</w:t>
      </w:r>
      <w:proofErr w:type="spellEnd"/>
      <w:r w:rsidRPr="00C26DC9">
        <w:rPr>
          <w:rFonts w:eastAsia="Times New Roman" w:cs="Times New Roman"/>
          <w:kern w:val="0"/>
          <w:szCs w:val="24"/>
          <w14:ligatures w14:val="none"/>
        </w:rPr>
        <w:t xml:space="preserve"> Justice and Interunit Justice and the People who Experience Them", In F. Dansereau and F. J. </w:t>
      </w:r>
      <w:proofErr w:type="spellStart"/>
      <w:r w:rsidRPr="00C26DC9">
        <w:rPr>
          <w:rFonts w:eastAsia="Times New Roman" w:cs="Times New Roman"/>
          <w:kern w:val="0"/>
          <w:szCs w:val="24"/>
          <w14:ligatures w14:val="none"/>
        </w:rPr>
        <w:t>Yammarino</w:t>
      </w:r>
      <w:proofErr w:type="spellEnd"/>
      <w:r w:rsidRPr="00C26DC9">
        <w:rPr>
          <w:rFonts w:eastAsia="Times New Roman" w:cs="Times New Roman"/>
          <w:kern w:val="0"/>
          <w:szCs w:val="24"/>
          <w14:ligatures w14:val="none"/>
        </w:rPr>
        <w:t xml:space="preserve"> (Eds.), </w:t>
      </w:r>
      <w:r w:rsidRPr="00C26DC9">
        <w:rPr>
          <w:rFonts w:eastAsia="Times New Roman" w:cs="Times New Roman"/>
          <w:i/>
          <w:iCs/>
          <w:kern w:val="0"/>
          <w:szCs w:val="24"/>
          <w14:ligatures w14:val="none"/>
        </w:rPr>
        <w:t>Multi-Level Issues in Organizations and Time</w:t>
      </w:r>
      <w:r w:rsidRPr="00C26DC9">
        <w:rPr>
          <w:rFonts w:eastAsia="Times New Roman" w:cs="Times New Roman"/>
          <w:kern w:val="0"/>
          <w:szCs w:val="24"/>
          <w14:ligatures w14:val="none"/>
        </w:rPr>
        <w:t>, Emerald Group Publishing Limited, pp. 415–437. https://doi.org/10.1016/S1475-9144(07)06019-5</w:t>
      </w:r>
    </w:p>
    <w:p w14:paraId="2DE5D8A1" w14:textId="77777777" w:rsidR="0086443B" w:rsidRPr="00F2099A" w:rsidRDefault="0086443B" w:rsidP="0086443B">
      <w:pPr>
        <w:spacing w:after="0" w:line="480" w:lineRule="auto"/>
        <w:ind w:left="720" w:hanging="720"/>
        <w:rPr>
          <w:rFonts w:eastAsia="Calibri" w:cs="Times New Roman"/>
          <w:kern w:val="0"/>
          <w:szCs w:val="24"/>
        </w:rPr>
      </w:pPr>
      <w:r w:rsidRPr="00F2099A">
        <w:rPr>
          <w:rFonts w:eastAsia="Calibri" w:cs="Times New Roman"/>
          <w:kern w:val="0"/>
          <w:szCs w:val="24"/>
        </w:rPr>
        <w:t xml:space="preserve">Demir, M. (2011), "Effects of organizational justice, trust and commitment on employees’ deviant behavior", </w:t>
      </w:r>
      <w:r w:rsidRPr="00F2099A">
        <w:rPr>
          <w:rFonts w:eastAsia="Calibri" w:cs="Times New Roman"/>
          <w:i/>
          <w:iCs/>
          <w:kern w:val="0"/>
          <w:szCs w:val="24"/>
        </w:rPr>
        <w:t>Anatolia</w:t>
      </w:r>
      <w:r w:rsidRPr="00F2099A">
        <w:rPr>
          <w:rFonts w:eastAsia="Calibri" w:cs="Times New Roman"/>
          <w:kern w:val="0"/>
          <w:szCs w:val="24"/>
        </w:rPr>
        <w:t xml:space="preserve">, Vol. 22 No. 2, pp. 204–221. https://doi.org/10.1080/13032917.2011.597934 </w:t>
      </w:r>
    </w:p>
    <w:p w14:paraId="65B46763" w14:textId="77777777" w:rsidR="0086443B" w:rsidRPr="006A76D3" w:rsidRDefault="0086443B" w:rsidP="0086443B">
      <w:pPr>
        <w:spacing w:after="0" w:line="480" w:lineRule="auto"/>
        <w:ind w:left="720" w:hanging="720"/>
        <w:rPr>
          <w:rFonts w:eastAsia="Calibri" w:cs="Times New Roman"/>
          <w:kern w:val="0"/>
          <w:szCs w:val="24"/>
          <w14:ligatures w14:val="none"/>
        </w:rPr>
      </w:pPr>
      <w:r w:rsidRPr="006A76D3">
        <w:rPr>
          <w:rFonts w:eastAsia="Calibri" w:cs="Times New Roman"/>
          <w:kern w:val="0"/>
          <w:szCs w:val="24"/>
        </w:rPr>
        <w:t xml:space="preserve">Ding, C. G., and Lin, C.-P. (2006), "Comparing the effects of determinants of turnover intentions between Taiwanese and U.S. hospital employees", </w:t>
      </w:r>
      <w:r w:rsidRPr="006A76D3">
        <w:rPr>
          <w:rFonts w:eastAsia="Calibri" w:cs="Times New Roman"/>
          <w:i/>
          <w:iCs/>
          <w:kern w:val="0"/>
          <w:szCs w:val="24"/>
        </w:rPr>
        <w:t>Human Resource Development Quarterly</w:t>
      </w:r>
      <w:r w:rsidRPr="006A76D3">
        <w:rPr>
          <w:rFonts w:eastAsia="Calibri" w:cs="Times New Roman"/>
          <w:kern w:val="0"/>
          <w:szCs w:val="24"/>
        </w:rPr>
        <w:t>, Vol. 17 No. 4, pp. 403–421. https://doi.org/10.1002/hrdq.1183</w:t>
      </w:r>
      <w:r w:rsidRPr="006A76D3">
        <w:rPr>
          <w:rFonts w:eastAsia="Calibri" w:cs="Times New Roman"/>
          <w:kern w:val="0"/>
          <w:szCs w:val="24"/>
          <w14:ligatures w14:val="none"/>
        </w:rPr>
        <w:t xml:space="preserve"> </w:t>
      </w:r>
    </w:p>
    <w:p w14:paraId="54EF2511" w14:textId="77777777" w:rsidR="0086443B" w:rsidRPr="00843C91" w:rsidRDefault="0086443B" w:rsidP="0086443B">
      <w:pPr>
        <w:spacing w:after="0" w:line="480" w:lineRule="auto"/>
        <w:ind w:left="720" w:hanging="720"/>
        <w:rPr>
          <w:rFonts w:eastAsia="Calibri" w:cs="Times New Roman"/>
          <w:kern w:val="0"/>
          <w:szCs w:val="24"/>
        </w:rPr>
      </w:pPr>
      <w:r w:rsidRPr="00843C91">
        <w:rPr>
          <w:rFonts w:eastAsia="Calibri" w:cs="Times New Roman"/>
          <w:kern w:val="0"/>
          <w:szCs w:val="24"/>
        </w:rPr>
        <w:t xml:space="preserve">Downey, S. N., van der </w:t>
      </w:r>
      <w:proofErr w:type="spellStart"/>
      <w:r w:rsidRPr="00843C91">
        <w:rPr>
          <w:rFonts w:eastAsia="Calibri" w:cs="Times New Roman"/>
          <w:kern w:val="0"/>
          <w:szCs w:val="24"/>
        </w:rPr>
        <w:t>Werff</w:t>
      </w:r>
      <w:proofErr w:type="spellEnd"/>
      <w:r w:rsidRPr="00843C91">
        <w:rPr>
          <w:rFonts w:eastAsia="Calibri" w:cs="Times New Roman"/>
          <w:kern w:val="0"/>
          <w:szCs w:val="24"/>
        </w:rPr>
        <w:t xml:space="preserve">, L., Thomas, K. M., and Plaut, V. C. (2015), "The role of diversity practices and inclusion in promoting trust and employee engagement: Diversity practices and engagement", </w:t>
      </w:r>
      <w:r w:rsidRPr="00843C91">
        <w:rPr>
          <w:rFonts w:eastAsia="Calibri" w:cs="Times New Roman"/>
          <w:i/>
          <w:iCs/>
          <w:kern w:val="0"/>
          <w:szCs w:val="24"/>
        </w:rPr>
        <w:t>Journal of Applied Social Psychology</w:t>
      </w:r>
      <w:r w:rsidRPr="00843C91">
        <w:rPr>
          <w:rFonts w:eastAsia="Calibri" w:cs="Times New Roman"/>
          <w:kern w:val="0"/>
          <w:szCs w:val="24"/>
        </w:rPr>
        <w:t xml:space="preserve">, Vol. </w:t>
      </w:r>
      <w:r w:rsidRPr="00843C91">
        <w:rPr>
          <w:rFonts w:eastAsia="Calibri" w:cs="Times New Roman"/>
          <w:i/>
          <w:iCs/>
          <w:kern w:val="0"/>
          <w:szCs w:val="24"/>
        </w:rPr>
        <w:t>45</w:t>
      </w:r>
      <w:r w:rsidRPr="00843C91">
        <w:rPr>
          <w:rFonts w:eastAsia="Calibri" w:cs="Times New Roman"/>
          <w:kern w:val="0"/>
          <w:szCs w:val="24"/>
        </w:rPr>
        <w:t xml:space="preserve"> No. 1, pp. 35–44. https://doi.org/10.1111/jasp.12273 </w:t>
      </w:r>
    </w:p>
    <w:p w14:paraId="756DF0CA" w14:textId="77777777" w:rsidR="0086443B" w:rsidRPr="00F31FC8" w:rsidRDefault="0086443B" w:rsidP="0086443B">
      <w:pPr>
        <w:spacing w:after="0" w:line="480" w:lineRule="auto"/>
        <w:ind w:left="720" w:hanging="720"/>
        <w:rPr>
          <w:rFonts w:eastAsia="Times New Roman" w:cs="Times New Roman"/>
          <w:kern w:val="0"/>
          <w:szCs w:val="24"/>
          <w14:ligatures w14:val="none"/>
        </w:rPr>
      </w:pPr>
      <w:proofErr w:type="spellStart"/>
      <w:r w:rsidRPr="00F31FC8">
        <w:rPr>
          <w:rFonts w:eastAsia="Calibri" w:cs="Times New Roman"/>
          <w:kern w:val="0"/>
          <w:szCs w:val="24"/>
        </w:rPr>
        <w:t>Dwertmann</w:t>
      </w:r>
      <w:proofErr w:type="spellEnd"/>
      <w:r w:rsidRPr="00F31FC8">
        <w:rPr>
          <w:rFonts w:eastAsia="Calibri" w:cs="Times New Roman"/>
          <w:kern w:val="0"/>
          <w:szCs w:val="24"/>
        </w:rPr>
        <w:t xml:space="preserve">, D. J. G., and Boehm, S. A. (2016), “Status Matters: The Asymmetric Effects of Supervisor–Subordinate Disability Incongruence and Climate for Inclusion”, </w:t>
      </w:r>
      <w:r w:rsidRPr="00F31FC8">
        <w:rPr>
          <w:rFonts w:eastAsia="Calibri" w:cs="Times New Roman"/>
          <w:i/>
          <w:iCs/>
          <w:kern w:val="0"/>
          <w:szCs w:val="24"/>
        </w:rPr>
        <w:t>Academy of Management Journal</w:t>
      </w:r>
      <w:r w:rsidRPr="00F31FC8">
        <w:rPr>
          <w:rFonts w:eastAsia="Calibri" w:cs="Times New Roman"/>
          <w:kern w:val="0"/>
          <w:szCs w:val="24"/>
        </w:rPr>
        <w:t>, Vol. 59 No. 1, pp. 44–64. https://doi.org/10.5465/amj.2014.0093</w:t>
      </w:r>
      <w:r w:rsidRPr="00F31FC8">
        <w:rPr>
          <w:rFonts w:eastAsia="Times New Roman" w:cs="Times New Roman"/>
          <w:kern w:val="0"/>
          <w:szCs w:val="24"/>
          <w14:ligatures w14:val="none"/>
        </w:rPr>
        <w:t xml:space="preserve"> </w:t>
      </w:r>
    </w:p>
    <w:p w14:paraId="15BB59A4" w14:textId="77777777" w:rsidR="0086443B" w:rsidRPr="004E02BF" w:rsidRDefault="0086443B" w:rsidP="0086443B">
      <w:pPr>
        <w:spacing w:after="0" w:line="480" w:lineRule="auto"/>
        <w:ind w:left="720" w:hanging="720"/>
        <w:rPr>
          <w:rFonts w:eastAsia="Calibri" w:cs="Times New Roman"/>
          <w:kern w:val="0"/>
          <w:szCs w:val="24"/>
        </w:rPr>
      </w:pPr>
      <w:r w:rsidRPr="004E02BF">
        <w:rPr>
          <w:rFonts w:eastAsia="Calibri" w:cs="Times New Roman"/>
          <w:kern w:val="0"/>
          <w:szCs w:val="24"/>
        </w:rPr>
        <w:lastRenderedPageBreak/>
        <w:t xml:space="preserve">Eisenberger, R., </w:t>
      </w:r>
      <w:proofErr w:type="spellStart"/>
      <w:r w:rsidRPr="004E02BF">
        <w:rPr>
          <w:rFonts w:eastAsia="Calibri" w:cs="Times New Roman"/>
          <w:kern w:val="0"/>
          <w:szCs w:val="24"/>
        </w:rPr>
        <w:t>Stinglhamber</w:t>
      </w:r>
      <w:proofErr w:type="spellEnd"/>
      <w:r w:rsidRPr="004E02BF">
        <w:rPr>
          <w:rFonts w:eastAsia="Calibri" w:cs="Times New Roman"/>
          <w:kern w:val="0"/>
          <w:szCs w:val="24"/>
        </w:rPr>
        <w:t xml:space="preserve">, F., Vandenberghe, C., Sucharski, I. L., and Rhoades, L. (2002), "Perceived supervisor support: Contributions to perceived organizational support and employee retention", </w:t>
      </w:r>
      <w:r w:rsidRPr="004E02BF">
        <w:rPr>
          <w:rFonts w:eastAsia="Calibri" w:cs="Times New Roman"/>
          <w:i/>
          <w:iCs/>
          <w:kern w:val="0"/>
          <w:szCs w:val="24"/>
        </w:rPr>
        <w:t>Journal of Applied Psychology</w:t>
      </w:r>
      <w:r w:rsidRPr="004E02BF">
        <w:rPr>
          <w:rFonts w:eastAsia="Calibri" w:cs="Times New Roman"/>
          <w:kern w:val="0"/>
          <w:szCs w:val="24"/>
        </w:rPr>
        <w:t xml:space="preserve">, Vol. 87, pp. 565–573. https://doi.org/10.1037/0021-9010.87.3.565 </w:t>
      </w:r>
    </w:p>
    <w:p w14:paraId="4F6A9D8D" w14:textId="77777777" w:rsidR="0086443B" w:rsidRPr="00036895" w:rsidRDefault="0086443B" w:rsidP="0086443B">
      <w:pPr>
        <w:spacing w:after="0" w:line="480" w:lineRule="auto"/>
        <w:ind w:left="720" w:hanging="720"/>
        <w:rPr>
          <w:rFonts w:eastAsia="Times New Roman" w:cs="Times New Roman"/>
          <w:kern w:val="0"/>
          <w:szCs w:val="24"/>
          <w14:ligatures w14:val="none"/>
        </w:rPr>
      </w:pPr>
      <w:proofErr w:type="spellStart"/>
      <w:r w:rsidRPr="00036895">
        <w:rPr>
          <w:rFonts w:eastAsia="Calibri" w:cs="Times New Roman"/>
          <w:kern w:val="0"/>
          <w:szCs w:val="24"/>
        </w:rPr>
        <w:t>Ellemers</w:t>
      </w:r>
      <w:proofErr w:type="spellEnd"/>
      <w:r w:rsidRPr="00036895">
        <w:rPr>
          <w:rFonts w:eastAsia="Calibri" w:cs="Times New Roman"/>
          <w:kern w:val="0"/>
          <w:szCs w:val="24"/>
        </w:rPr>
        <w:t xml:space="preserve">, N., </w:t>
      </w:r>
      <w:proofErr w:type="spellStart"/>
      <w:r w:rsidRPr="00036895">
        <w:rPr>
          <w:rFonts w:eastAsia="Calibri" w:cs="Times New Roman"/>
          <w:kern w:val="0"/>
          <w:szCs w:val="24"/>
        </w:rPr>
        <w:t>Sleebos</w:t>
      </w:r>
      <w:proofErr w:type="spellEnd"/>
      <w:r w:rsidRPr="00036895">
        <w:rPr>
          <w:rFonts w:eastAsia="Calibri" w:cs="Times New Roman"/>
          <w:kern w:val="0"/>
          <w:szCs w:val="24"/>
        </w:rPr>
        <w:t xml:space="preserve">, E., Stam, D., and de Gilder, D. (2013), “Feeling Included and Valued: How Perceived Respect Affects Positive Team Identity and Willingness to Invest in the Team”, </w:t>
      </w:r>
      <w:r w:rsidRPr="00036895">
        <w:rPr>
          <w:rFonts w:eastAsia="Calibri" w:cs="Times New Roman"/>
          <w:i/>
          <w:iCs/>
          <w:kern w:val="0"/>
          <w:szCs w:val="24"/>
        </w:rPr>
        <w:t>British Journal of Management</w:t>
      </w:r>
      <w:r w:rsidRPr="00036895">
        <w:rPr>
          <w:rFonts w:eastAsia="Calibri" w:cs="Times New Roman"/>
          <w:kern w:val="0"/>
          <w:szCs w:val="24"/>
        </w:rPr>
        <w:t>, Vol. 24 No. 1, pp. 21–37. https://doi.org/10.1111/j.1467-8551.2011.00784.x</w:t>
      </w:r>
      <w:r w:rsidRPr="00036895">
        <w:rPr>
          <w:rFonts w:eastAsia="Times New Roman" w:cs="Times New Roman"/>
          <w:kern w:val="0"/>
          <w:szCs w:val="24"/>
          <w14:ligatures w14:val="none"/>
        </w:rPr>
        <w:t xml:space="preserve"> </w:t>
      </w:r>
    </w:p>
    <w:p w14:paraId="482B142C" w14:textId="77777777" w:rsidR="0086443B" w:rsidRPr="00203EF0" w:rsidRDefault="0086443B" w:rsidP="0086443B">
      <w:pPr>
        <w:spacing w:after="0" w:line="480" w:lineRule="auto"/>
        <w:ind w:left="720" w:hanging="720"/>
        <w:rPr>
          <w:rFonts w:eastAsia="Times New Roman" w:cs="Times New Roman"/>
          <w:kern w:val="0"/>
          <w:szCs w:val="24"/>
          <w14:ligatures w14:val="none"/>
        </w:rPr>
      </w:pPr>
      <w:r w:rsidRPr="00203EF0">
        <w:rPr>
          <w:rFonts w:eastAsia="Times New Roman" w:cs="Times New Roman"/>
          <w:kern w:val="0"/>
          <w:szCs w:val="24"/>
          <w14:ligatures w14:val="none"/>
        </w:rPr>
        <w:t xml:space="preserve">Farr-Wharton, B., Azzopardi, J., Brunetto, Y., Farr-Wharton, R., Herold, N., and </w:t>
      </w:r>
      <w:proofErr w:type="spellStart"/>
      <w:r w:rsidRPr="00203EF0">
        <w:rPr>
          <w:rFonts w:eastAsia="Times New Roman" w:cs="Times New Roman"/>
          <w:kern w:val="0"/>
          <w:szCs w:val="24"/>
          <w14:ligatures w14:val="none"/>
        </w:rPr>
        <w:t>Shriberg</w:t>
      </w:r>
      <w:proofErr w:type="spellEnd"/>
      <w:r w:rsidRPr="00203EF0">
        <w:rPr>
          <w:rFonts w:eastAsia="Times New Roman" w:cs="Times New Roman"/>
          <w:kern w:val="0"/>
          <w:szCs w:val="24"/>
          <w14:ligatures w14:val="none"/>
        </w:rPr>
        <w:t xml:space="preserve">, A. (2016), "Comparing Malta and USA police officers’ individual and organizational support on outcomes", </w:t>
      </w:r>
      <w:r w:rsidRPr="00203EF0">
        <w:rPr>
          <w:rFonts w:eastAsia="Times New Roman" w:cs="Times New Roman"/>
          <w:i/>
          <w:iCs/>
          <w:kern w:val="0"/>
          <w:szCs w:val="24"/>
          <w14:ligatures w14:val="none"/>
        </w:rPr>
        <w:t>Public Money and Management</w:t>
      </w:r>
      <w:r w:rsidRPr="00203EF0">
        <w:rPr>
          <w:rFonts w:eastAsia="Times New Roman" w:cs="Times New Roman"/>
          <w:kern w:val="0"/>
          <w:szCs w:val="24"/>
          <w14:ligatures w14:val="none"/>
        </w:rPr>
        <w:t>, Vol. 36 No. 5, pp. 333–340. https://doi.org/10.1080/09540962.2016.1194078</w:t>
      </w:r>
    </w:p>
    <w:p w14:paraId="37B1AFAE" w14:textId="77777777" w:rsidR="0086443B" w:rsidRPr="00855A06" w:rsidRDefault="0086443B" w:rsidP="0086443B">
      <w:pPr>
        <w:spacing w:after="0" w:line="480" w:lineRule="auto"/>
        <w:ind w:left="720" w:hanging="720"/>
        <w:rPr>
          <w:rFonts w:eastAsia="Times New Roman" w:cs="Times New Roman"/>
          <w:kern w:val="0"/>
          <w:szCs w:val="24"/>
          <w14:ligatures w14:val="none"/>
        </w:rPr>
      </w:pPr>
      <w:r w:rsidRPr="00855A06">
        <w:rPr>
          <w:rFonts w:eastAsia="Times New Roman" w:cs="Times New Roman"/>
          <w:kern w:val="0"/>
          <w:szCs w:val="24"/>
          <w14:ligatures w14:val="none"/>
        </w:rPr>
        <w:t xml:space="preserve">Flynn, F. J. (2005), "Identity Orientations </w:t>
      </w:r>
      <w:proofErr w:type="gramStart"/>
      <w:r w:rsidRPr="00855A06">
        <w:rPr>
          <w:rFonts w:eastAsia="Times New Roman" w:cs="Times New Roman"/>
          <w:kern w:val="0"/>
          <w:szCs w:val="24"/>
          <w14:ligatures w14:val="none"/>
        </w:rPr>
        <w:t>And</w:t>
      </w:r>
      <w:proofErr w:type="gramEnd"/>
      <w:r w:rsidRPr="00855A06">
        <w:rPr>
          <w:rFonts w:eastAsia="Times New Roman" w:cs="Times New Roman"/>
          <w:kern w:val="0"/>
          <w:szCs w:val="24"/>
          <w14:ligatures w14:val="none"/>
        </w:rPr>
        <w:t xml:space="preserve"> Forms Of Social Exchange In Organizations", </w:t>
      </w:r>
      <w:r w:rsidRPr="00855A06">
        <w:rPr>
          <w:rFonts w:eastAsia="Times New Roman" w:cs="Times New Roman"/>
          <w:i/>
          <w:iCs/>
          <w:kern w:val="0"/>
          <w:szCs w:val="24"/>
          <w14:ligatures w14:val="none"/>
        </w:rPr>
        <w:t>Academy of Management Review</w:t>
      </w:r>
      <w:r w:rsidRPr="00855A06">
        <w:rPr>
          <w:rFonts w:eastAsia="Times New Roman" w:cs="Times New Roman"/>
          <w:kern w:val="0"/>
          <w:szCs w:val="24"/>
          <w14:ligatures w14:val="none"/>
        </w:rPr>
        <w:t>, Vol. 30 No. 4, pp. 737–750. https://doi.org/10.5465/amr.2005.18378875</w:t>
      </w:r>
    </w:p>
    <w:p w14:paraId="36AD7BEE" w14:textId="77777777" w:rsidR="0086443B" w:rsidRPr="00F22C1D" w:rsidRDefault="0086443B" w:rsidP="0086443B">
      <w:pPr>
        <w:spacing w:after="0" w:line="480" w:lineRule="auto"/>
        <w:ind w:left="720" w:hanging="720"/>
        <w:rPr>
          <w:rFonts w:eastAsia="Times New Roman" w:cs="Times New Roman"/>
          <w:kern w:val="0"/>
          <w:szCs w:val="24"/>
          <w:lang w:val="en-GB"/>
          <w14:ligatures w14:val="none"/>
        </w:rPr>
      </w:pPr>
      <w:r w:rsidRPr="00F22C1D">
        <w:rPr>
          <w:rFonts w:eastAsia="Times New Roman" w:cs="Times New Roman"/>
          <w:kern w:val="0"/>
          <w:szCs w:val="24"/>
          <w:lang w:val="en-GB"/>
          <w14:ligatures w14:val="none"/>
        </w:rPr>
        <w:t>Gould, R., Harris, S. P., Mullin, C., and Jones, R. (2020), “Disability, diversity, and corporate social responsibility: Learning from recognized leaders in inclusion,”</w:t>
      </w:r>
      <w:r w:rsidRPr="00F22C1D">
        <w:rPr>
          <w:rFonts w:eastAsia="Times New Roman" w:cs="Times New Roman"/>
          <w:i/>
          <w:iCs/>
          <w:kern w:val="0"/>
          <w:szCs w:val="24"/>
          <w:lang w:val="en-GB"/>
          <w14:ligatures w14:val="none"/>
        </w:rPr>
        <w:t xml:space="preserve"> Journal of Vocational Rehabilitation,</w:t>
      </w:r>
      <w:r w:rsidRPr="00F22C1D">
        <w:rPr>
          <w:rFonts w:eastAsia="Times New Roman" w:cs="Times New Roman"/>
          <w:kern w:val="0"/>
          <w:szCs w:val="24"/>
          <w:lang w:val="en-GB"/>
          <w14:ligatures w14:val="none"/>
        </w:rPr>
        <w:t xml:space="preserve"> Vol. 52 No. 1, pp. 29–42. https://doi.org/10.3233/JVR-191058</w:t>
      </w:r>
    </w:p>
    <w:p w14:paraId="38782B82" w14:textId="77777777" w:rsidR="0086443B" w:rsidRPr="00692027" w:rsidRDefault="0086443B" w:rsidP="0086443B">
      <w:pPr>
        <w:spacing w:after="0" w:line="480" w:lineRule="auto"/>
        <w:ind w:left="720" w:hanging="720"/>
        <w:rPr>
          <w:rFonts w:eastAsia="Times New Roman" w:cs="Times New Roman"/>
          <w:kern w:val="0"/>
          <w:szCs w:val="24"/>
          <w14:ligatures w14:val="none"/>
        </w:rPr>
      </w:pPr>
      <w:proofErr w:type="spellStart"/>
      <w:r w:rsidRPr="00692027">
        <w:rPr>
          <w:rFonts w:eastAsia="Times New Roman" w:cs="Times New Roman"/>
          <w:kern w:val="0"/>
          <w:szCs w:val="24"/>
          <w14:ligatures w14:val="none"/>
        </w:rPr>
        <w:t>Gouldner</w:t>
      </w:r>
      <w:proofErr w:type="spellEnd"/>
      <w:r w:rsidRPr="00692027">
        <w:rPr>
          <w:rFonts w:eastAsia="Times New Roman" w:cs="Times New Roman"/>
          <w:kern w:val="0"/>
          <w:szCs w:val="24"/>
          <w14:ligatures w14:val="none"/>
        </w:rPr>
        <w:t xml:space="preserve">, A. W. (1960), "The Norm of Reciprocity: A Preliminary Statement", </w:t>
      </w:r>
      <w:r w:rsidRPr="00692027">
        <w:rPr>
          <w:rFonts w:eastAsia="Times New Roman" w:cs="Times New Roman"/>
          <w:i/>
          <w:iCs/>
          <w:kern w:val="0"/>
          <w:szCs w:val="24"/>
          <w14:ligatures w14:val="none"/>
        </w:rPr>
        <w:t xml:space="preserve">American Sociological Review, </w:t>
      </w:r>
      <w:r w:rsidRPr="00692027">
        <w:rPr>
          <w:rFonts w:eastAsia="Times New Roman" w:cs="Times New Roman"/>
          <w:kern w:val="0"/>
          <w:szCs w:val="24"/>
          <w14:ligatures w14:val="none"/>
        </w:rPr>
        <w:t>Vol. 25 No. 2, p. 161. https://doi.org/10.2307/2092623</w:t>
      </w:r>
    </w:p>
    <w:p w14:paraId="7529F017" w14:textId="77777777" w:rsidR="0086443B" w:rsidRPr="002D66AC" w:rsidRDefault="0086443B" w:rsidP="0086443B">
      <w:pPr>
        <w:spacing w:after="0" w:line="480" w:lineRule="auto"/>
        <w:ind w:left="720" w:hanging="720"/>
        <w:rPr>
          <w:rFonts w:eastAsia="Times New Roman" w:cs="Times New Roman"/>
          <w:kern w:val="0"/>
          <w:szCs w:val="24"/>
          <w14:ligatures w14:val="none"/>
        </w:rPr>
      </w:pPr>
      <w:proofErr w:type="spellStart"/>
      <w:r w:rsidRPr="002D66AC">
        <w:rPr>
          <w:rFonts w:eastAsia="Calibri" w:cs="Times New Roman"/>
          <w:kern w:val="0"/>
          <w:szCs w:val="24"/>
        </w:rPr>
        <w:lastRenderedPageBreak/>
        <w:t>Gurbuz</w:t>
      </w:r>
      <w:proofErr w:type="spellEnd"/>
      <w:r w:rsidRPr="002D66AC">
        <w:rPr>
          <w:rFonts w:eastAsia="Calibri" w:cs="Times New Roman"/>
          <w:kern w:val="0"/>
          <w:szCs w:val="24"/>
        </w:rPr>
        <w:t xml:space="preserve">, S., Ayhan, O., and </w:t>
      </w:r>
      <w:proofErr w:type="spellStart"/>
      <w:r w:rsidRPr="002D66AC">
        <w:rPr>
          <w:rFonts w:eastAsia="Calibri" w:cs="Times New Roman"/>
          <w:kern w:val="0"/>
          <w:szCs w:val="24"/>
        </w:rPr>
        <w:t>Sert</w:t>
      </w:r>
      <w:proofErr w:type="spellEnd"/>
      <w:r w:rsidRPr="002D66AC">
        <w:rPr>
          <w:rFonts w:eastAsia="Calibri" w:cs="Times New Roman"/>
          <w:kern w:val="0"/>
          <w:szCs w:val="24"/>
        </w:rPr>
        <w:t xml:space="preserve">, M. (2016), "Organizational justice and organization citizenship behavior relationship: A </w:t>
      </w:r>
      <w:proofErr w:type="spellStart"/>
      <w:r w:rsidRPr="002D66AC">
        <w:rPr>
          <w:rFonts w:eastAsia="Calibri" w:cs="Times New Roman"/>
          <w:kern w:val="0"/>
          <w:szCs w:val="24"/>
        </w:rPr>
        <w:t>metaanalysis</w:t>
      </w:r>
      <w:proofErr w:type="spellEnd"/>
      <w:r w:rsidRPr="002D66AC">
        <w:rPr>
          <w:rFonts w:eastAsia="Calibri" w:cs="Times New Roman"/>
          <w:kern w:val="0"/>
          <w:szCs w:val="24"/>
        </w:rPr>
        <w:t xml:space="preserve"> on studies in Turkey", </w:t>
      </w:r>
      <w:r w:rsidRPr="002D66AC">
        <w:rPr>
          <w:rFonts w:eastAsia="Calibri" w:cs="Times New Roman"/>
          <w:i/>
          <w:iCs/>
          <w:kern w:val="0"/>
          <w:szCs w:val="24"/>
        </w:rPr>
        <w:t xml:space="preserve">Türk </w:t>
      </w:r>
      <w:proofErr w:type="spellStart"/>
      <w:r w:rsidRPr="002D66AC">
        <w:rPr>
          <w:rFonts w:eastAsia="Calibri" w:cs="Times New Roman"/>
          <w:i/>
          <w:iCs/>
          <w:kern w:val="0"/>
          <w:szCs w:val="24"/>
        </w:rPr>
        <w:t>Psikoloji</w:t>
      </w:r>
      <w:proofErr w:type="spellEnd"/>
      <w:r w:rsidRPr="002D66AC">
        <w:rPr>
          <w:rFonts w:eastAsia="Calibri" w:cs="Times New Roman"/>
          <w:i/>
          <w:iCs/>
          <w:kern w:val="0"/>
          <w:szCs w:val="24"/>
        </w:rPr>
        <w:t xml:space="preserve"> </w:t>
      </w:r>
      <w:proofErr w:type="spellStart"/>
      <w:r w:rsidRPr="002D66AC">
        <w:rPr>
          <w:rFonts w:eastAsia="Calibri" w:cs="Times New Roman"/>
          <w:i/>
          <w:iCs/>
          <w:kern w:val="0"/>
          <w:szCs w:val="24"/>
        </w:rPr>
        <w:t>Dergisi</w:t>
      </w:r>
      <w:proofErr w:type="spellEnd"/>
      <w:r w:rsidRPr="002D66AC">
        <w:rPr>
          <w:rFonts w:eastAsia="Calibri" w:cs="Times New Roman"/>
          <w:kern w:val="0"/>
          <w:szCs w:val="24"/>
        </w:rPr>
        <w:t>, Vol. 31 No. 77, pp. 61–79.</w:t>
      </w:r>
      <w:r w:rsidRPr="002D66AC">
        <w:rPr>
          <w:rFonts w:eastAsia="Times New Roman" w:cs="Times New Roman"/>
          <w:kern w:val="0"/>
          <w:szCs w:val="24"/>
          <w14:ligatures w14:val="none"/>
        </w:rPr>
        <w:t xml:space="preserve"> </w:t>
      </w:r>
    </w:p>
    <w:p w14:paraId="64ECA8B3" w14:textId="77777777" w:rsidR="0086443B" w:rsidRPr="007932E9" w:rsidRDefault="0086443B" w:rsidP="0086443B">
      <w:pPr>
        <w:spacing w:after="0" w:line="480" w:lineRule="auto"/>
        <w:ind w:left="720" w:hanging="720"/>
        <w:rPr>
          <w:rFonts w:eastAsia="Calibri" w:cs="Times New Roman"/>
          <w:kern w:val="0"/>
          <w:szCs w:val="24"/>
        </w:rPr>
      </w:pPr>
      <w:r w:rsidRPr="007932E9">
        <w:rPr>
          <w:rFonts w:eastAsia="Calibri" w:cs="Times New Roman"/>
          <w:kern w:val="0"/>
          <w:szCs w:val="24"/>
        </w:rPr>
        <w:t xml:space="preserve">Islam, M. A., Jantan, A. H., Yusoff, Y. M., Chong, C. W., and Hossain, M. S. (2020), "Green Human Resource Management (GHRM) Practices and Millennial Employees’ Turnover Intentions in Tourism Industry in Malaysia: Moderating Role of Work Environment", </w:t>
      </w:r>
      <w:r w:rsidRPr="007932E9">
        <w:rPr>
          <w:rFonts w:eastAsia="Calibri" w:cs="Times New Roman"/>
          <w:i/>
          <w:iCs/>
          <w:kern w:val="0"/>
          <w:szCs w:val="24"/>
        </w:rPr>
        <w:t>Global Business Review</w:t>
      </w:r>
      <w:r w:rsidRPr="007932E9">
        <w:rPr>
          <w:rFonts w:eastAsia="Calibri" w:cs="Times New Roman"/>
          <w:kern w:val="0"/>
          <w:szCs w:val="24"/>
        </w:rPr>
        <w:t xml:space="preserve">, p. 0972150920907000. </w:t>
      </w:r>
    </w:p>
    <w:p w14:paraId="6610CF17" w14:textId="77777777" w:rsidR="0086443B" w:rsidRPr="0081500C" w:rsidRDefault="0086443B" w:rsidP="0086443B">
      <w:pPr>
        <w:spacing w:after="0" w:line="480" w:lineRule="auto"/>
        <w:ind w:left="720" w:hanging="720"/>
        <w:rPr>
          <w:rFonts w:eastAsia="Times New Roman" w:cs="Times New Roman"/>
          <w:kern w:val="0"/>
          <w:szCs w:val="24"/>
          <w14:ligatures w14:val="none"/>
        </w:rPr>
      </w:pPr>
      <w:r w:rsidRPr="0081500C">
        <w:rPr>
          <w:rFonts w:eastAsia="Times New Roman" w:cs="Times New Roman"/>
          <w:kern w:val="0"/>
          <w:szCs w:val="24"/>
          <w14:ligatures w14:val="none"/>
        </w:rPr>
        <w:t xml:space="preserve">Jolly, P. M., and Self, T. T. (2020), "Psychological Diversity Climate, Organizational Embeddedness, and Turnover Intentions: A Conservation of Resources Perspective", </w:t>
      </w:r>
      <w:r w:rsidRPr="0081500C">
        <w:rPr>
          <w:rFonts w:eastAsia="Times New Roman" w:cs="Times New Roman"/>
          <w:i/>
          <w:iCs/>
          <w:kern w:val="0"/>
          <w:szCs w:val="24"/>
          <w14:ligatures w14:val="none"/>
        </w:rPr>
        <w:t>Cornell Hospitality Quarterly,</w:t>
      </w:r>
      <w:r w:rsidRPr="0081500C">
        <w:rPr>
          <w:rFonts w:eastAsia="Times New Roman" w:cs="Times New Roman"/>
          <w:kern w:val="0"/>
          <w:szCs w:val="24"/>
          <w14:ligatures w14:val="none"/>
        </w:rPr>
        <w:t xml:space="preserve"> Vol. 61 No. 4, pp. 416–431. https://doi.org/10.1177/1938965519899935</w:t>
      </w:r>
    </w:p>
    <w:p w14:paraId="2DE58D0F" w14:textId="77777777" w:rsidR="0086443B" w:rsidRPr="00125EE3" w:rsidRDefault="0086443B" w:rsidP="0086443B">
      <w:pPr>
        <w:spacing w:after="0" w:line="480" w:lineRule="auto"/>
        <w:ind w:left="720" w:hanging="720"/>
        <w:rPr>
          <w:rFonts w:eastAsia="Times New Roman" w:cs="Times New Roman"/>
          <w:kern w:val="0"/>
          <w:szCs w:val="24"/>
          <w14:ligatures w14:val="none"/>
        </w:rPr>
      </w:pPr>
      <w:r w:rsidRPr="00125EE3">
        <w:rPr>
          <w:rFonts w:eastAsia="Times New Roman" w:cs="Times New Roman"/>
          <w:kern w:val="0"/>
          <w:szCs w:val="24"/>
          <w14:ligatures w14:val="none"/>
        </w:rPr>
        <w:t xml:space="preserve">Kahneman, D., Knetsch, J. L., and Thaler, R. H. (1986),"Fairness and the Assumptions of Economics", </w:t>
      </w:r>
      <w:r w:rsidRPr="00125EE3">
        <w:rPr>
          <w:rFonts w:eastAsia="Times New Roman" w:cs="Times New Roman"/>
          <w:i/>
          <w:iCs/>
          <w:kern w:val="0"/>
          <w:szCs w:val="24"/>
          <w14:ligatures w14:val="none"/>
        </w:rPr>
        <w:t>The Journal of Business,</w:t>
      </w:r>
      <w:r w:rsidRPr="00125EE3">
        <w:rPr>
          <w:rFonts w:eastAsia="Times New Roman" w:cs="Times New Roman"/>
          <w:kern w:val="0"/>
          <w:szCs w:val="24"/>
          <w14:ligatures w14:val="none"/>
        </w:rPr>
        <w:t xml:space="preserve"> Vol. 59 No. 4, pp. 285–300.</w:t>
      </w:r>
    </w:p>
    <w:p w14:paraId="5A613AE9" w14:textId="77777777" w:rsidR="0086443B" w:rsidRPr="00646EC0" w:rsidRDefault="0086443B" w:rsidP="0086443B">
      <w:pPr>
        <w:spacing w:after="0" w:line="480" w:lineRule="auto"/>
        <w:ind w:left="720" w:hanging="720"/>
        <w:rPr>
          <w:rFonts w:eastAsia="Times New Roman" w:cs="Times New Roman"/>
          <w:kern w:val="0"/>
          <w:szCs w:val="24"/>
          <w14:ligatures w14:val="none"/>
        </w:rPr>
      </w:pPr>
      <w:proofErr w:type="spellStart"/>
      <w:r w:rsidRPr="00646EC0">
        <w:rPr>
          <w:rFonts w:eastAsia="Times New Roman" w:cs="Times New Roman"/>
          <w:kern w:val="0"/>
          <w:szCs w:val="24"/>
          <w14:ligatures w14:val="none"/>
        </w:rPr>
        <w:t>Kossek</w:t>
      </w:r>
      <w:proofErr w:type="spellEnd"/>
      <w:r w:rsidRPr="00646EC0">
        <w:rPr>
          <w:rFonts w:eastAsia="Times New Roman" w:cs="Times New Roman"/>
          <w:kern w:val="0"/>
          <w:szCs w:val="24"/>
          <w14:ligatures w14:val="none"/>
        </w:rPr>
        <w:t xml:space="preserve">, E., Lobel, S., and Brown, J. (2006), "Human resource strategies to manage workforce diversity", </w:t>
      </w:r>
      <w:r w:rsidRPr="00646EC0">
        <w:rPr>
          <w:rFonts w:eastAsia="Times New Roman" w:cs="Times New Roman"/>
          <w:i/>
          <w:iCs/>
          <w:kern w:val="0"/>
          <w:szCs w:val="24"/>
          <w14:ligatures w14:val="none"/>
        </w:rPr>
        <w:t>Handbook of workplace diversity</w:t>
      </w:r>
      <w:r w:rsidRPr="00646EC0">
        <w:rPr>
          <w:rFonts w:eastAsia="Times New Roman" w:cs="Times New Roman"/>
          <w:kern w:val="0"/>
          <w:szCs w:val="24"/>
          <w14:ligatures w14:val="none"/>
        </w:rPr>
        <w:t>, pp. 53–74. https://doi.org/10.4135/9781848608092.n3</w:t>
      </w:r>
    </w:p>
    <w:p w14:paraId="5F1DDAE7" w14:textId="77777777" w:rsidR="0086443B" w:rsidRPr="00DB524C" w:rsidRDefault="0086443B" w:rsidP="0086443B">
      <w:pPr>
        <w:spacing w:after="0" w:line="480" w:lineRule="auto"/>
        <w:ind w:left="720" w:hanging="720"/>
        <w:rPr>
          <w:rFonts w:eastAsia="Calibri" w:cs="Times New Roman"/>
          <w:kern w:val="0"/>
          <w:szCs w:val="24"/>
        </w:rPr>
      </w:pPr>
      <w:r w:rsidRPr="00DB524C">
        <w:rPr>
          <w:rFonts w:eastAsia="Calibri" w:cs="Times New Roman"/>
          <w:kern w:val="0"/>
          <w:szCs w:val="24"/>
        </w:rPr>
        <w:t xml:space="preserve">Lam, T., Lo, A., and Chan, J. (2002), "New Employees’ Turnover Intentions and Organizational Commitment in the Hong Kong Hotel Industry", </w:t>
      </w:r>
      <w:r w:rsidRPr="00DB524C">
        <w:rPr>
          <w:rFonts w:eastAsia="Calibri" w:cs="Times New Roman"/>
          <w:i/>
          <w:iCs/>
          <w:kern w:val="0"/>
          <w:szCs w:val="24"/>
        </w:rPr>
        <w:t xml:space="preserve">Journal of Hospitality </w:t>
      </w:r>
      <w:r w:rsidRPr="00DB524C">
        <w:rPr>
          <w:rFonts w:eastAsia="Calibri" w:cs="Times New Roman"/>
          <w:iCs/>
          <w:kern w:val="0"/>
          <w:szCs w:val="24"/>
        </w:rPr>
        <w:t>and</w:t>
      </w:r>
      <w:r w:rsidRPr="00DB524C">
        <w:rPr>
          <w:rFonts w:eastAsia="Calibri" w:cs="Times New Roman"/>
          <w:i/>
          <w:iCs/>
          <w:kern w:val="0"/>
          <w:szCs w:val="24"/>
        </w:rPr>
        <w:t xml:space="preserve"> Tourism Research</w:t>
      </w:r>
      <w:r w:rsidRPr="00DB524C">
        <w:rPr>
          <w:rFonts w:eastAsia="Calibri" w:cs="Times New Roman"/>
          <w:kern w:val="0"/>
          <w:szCs w:val="24"/>
        </w:rPr>
        <w:t xml:space="preserve">, Vol. 26 No. 3, pp. 217–234. https://doi.org/10.1177/1096348002026003002 </w:t>
      </w:r>
    </w:p>
    <w:p w14:paraId="1763BD17" w14:textId="77777777" w:rsidR="0086443B" w:rsidRPr="003115DD" w:rsidRDefault="0086443B" w:rsidP="0086443B">
      <w:pPr>
        <w:spacing w:after="0" w:line="480" w:lineRule="auto"/>
        <w:ind w:left="720" w:hanging="720"/>
        <w:rPr>
          <w:rFonts w:eastAsia="Calibri" w:cs="Times New Roman"/>
          <w:kern w:val="0"/>
          <w:szCs w:val="24"/>
        </w:rPr>
      </w:pPr>
      <w:r w:rsidRPr="003115DD">
        <w:rPr>
          <w:rFonts w:eastAsia="Calibri" w:cs="Times New Roman"/>
          <w:kern w:val="0"/>
          <w:szCs w:val="24"/>
        </w:rPr>
        <w:lastRenderedPageBreak/>
        <w:t xml:space="preserve">Lamprakis, A., </w:t>
      </w:r>
      <w:proofErr w:type="spellStart"/>
      <w:r w:rsidRPr="003115DD">
        <w:rPr>
          <w:rFonts w:eastAsia="Calibri" w:cs="Times New Roman"/>
          <w:kern w:val="0"/>
          <w:szCs w:val="24"/>
        </w:rPr>
        <w:t>Alamani</w:t>
      </w:r>
      <w:proofErr w:type="spellEnd"/>
      <w:r w:rsidRPr="003115DD">
        <w:rPr>
          <w:rFonts w:eastAsia="Calibri" w:cs="Times New Roman"/>
          <w:kern w:val="0"/>
          <w:szCs w:val="24"/>
        </w:rPr>
        <w:t xml:space="preserve">, K., </w:t>
      </w:r>
      <w:proofErr w:type="spellStart"/>
      <w:r w:rsidRPr="003115DD">
        <w:rPr>
          <w:rFonts w:eastAsia="Calibri" w:cs="Times New Roman"/>
          <w:kern w:val="0"/>
          <w:szCs w:val="24"/>
        </w:rPr>
        <w:t>Malliari</w:t>
      </w:r>
      <w:proofErr w:type="spellEnd"/>
      <w:r w:rsidRPr="003115DD">
        <w:rPr>
          <w:rFonts w:eastAsia="Calibri" w:cs="Times New Roman"/>
          <w:kern w:val="0"/>
          <w:szCs w:val="24"/>
        </w:rPr>
        <w:t xml:space="preserve">, A., and Grivas, I. (2018), "The </w:t>
      </w:r>
      <w:proofErr w:type="spellStart"/>
      <w:r w:rsidRPr="003115DD">
        <w:rPr>
          <w:rFonts w:eastAsia="Calibri" w:cs="Times New Roman"/>
          <w:kern w:val="0"/>
          <w:szCs w:val="24"/>
        </w:rPr>
        <w:t>Organisational</w:t>
      </w:r>
      <w:proofErr w:type="spellEnd"/>
      <w:r w:rsidRPr="003115DD">
        <w:rPr>
          <w:rFonts w:eastAsia="Calibri" w:cs="Times New Roman"/>
          <w:kern w:val="0"/>
          <w:szCs w:val="24"/>
        </w:rPr>
        <w:t xml:space="preserve"> Justice as a Human Resources Management Practice and its Impact on Employee Engagement: The case of the Prefecture of Attica (Greece)", </w:t>
      </w:r>
      <w:r w:rsidRPr="003115DD">
        <w:rPr>
          <w:rFonts w:eastAsia="Calibri" w:cs="Times New Roman"/>
          <w:i/>
          <w:iCs/>
          <w:kern w:val="0"/>
          <w:szCs w:val="24"/>
        </w:rPr>
        <w:t>Scientific Annals of Economics and Business</w:t>
      </w:r>
      <w:r w:rsidRPr="003115DD">
        <w:rPr>
          <w:rFonts w:eastAsia="Calibri" w:cs="Times New Roman"/>
          <w:kern w:val="0"/>
          <w:szCs w:val="24"/>
        </w:rPr>
        <w:t xml:space="preserve">, Vol. 65 No. 1, pp. 65–79. </w:t>
      </w:r>
    </w:p>
    <w:p w14:paraId="6859E7C8" w14:textId="77777777" w:rsidR="0086443B" w:rsidRPr="003A1154" w:rsidRDefault="0086443B" w:rsidP="0086443B">
      <w:pPr>
        <w:spacing w:after="0" w:line="480" w:lineRule="auto"/>
        <w:ind w:left="720" w:hanging="720"/>
        <w:rPr>
          <w:rFonts w:eastAsia="Times New Roman" w:cs="Times New Roman"/>
          <w:szCs w:val="24"/>
        </w:rPr>
      </w:pPr>
      <w:r w:rsidRPr="003A1154">
        <w:rPr>
          <w:rFonts w:eastAsia="Times New Roman" w:cs="Times New Roman"/>
          <w:szCs w:val="24"/>
        </w:rPr>
        <w:t xml:space="preserve">Leventhal, G. S. (1976), "What should be done with equity theory? New approaches to the study of fairness in social relationships", In Social exchange: </w:t>
      </w:r>
      <w:r w:rsidRPr="003A1154">
        <w:rPr>
          <w:rFonts w:eastAsia="Times New Roman" w:cs="Times New Roman"/>
          <w:i/>
          <w:iCs/>
          <w:szCs w:val="24"/>
        </w:rPr>
        <w:t>Advances in theory and research</w:t>
      </w:r>
      <w:r w:rsidRPr="003A1154">
        <w:rPr>
          <w:rFonts w:eastAsia="Times New Roman" w:cs="Times New Roman"/>
          <w:szCs w:val="24"/>
        </w:rPr>
        <w:t>, Boston, MA: Springer US, pp. 27-55. https://eric.ed.gov/?id=ed142463</w:t>
      </w:r>
    </w:p>
    <w:p w14:paraId="5C1DC7FC" w14:textId="77777777" w:rsidR="0086443B" w:rsidRPr="00900ADE" w:rsidRDefault="0086443B" w:rsidP="0086443B">
      <w:pPr>
        <w:spacing w:after="0" w:line="480" w:lineRule="auto"/>
        <w:ind w:left="720" w:hanging="720"/>
        <w:rPr>
          <w:rFonts w:eastAsia="Calibri" w:cs="Times New Roman"/>
          <w:kern w:val="0"/>
          <w:szCs w:val="24"/>
        </w:rPr>
      </w:pPr>
      <w:r w:rsidRPr="00900ADE">
        <w:rPr>
          <w:rFonts w:eastAsia="Calibri" w:cs="Times New Roman"/>
          <w:kern w:val="0"/>
          <w:szCs w:val="24"/>
        </w:rPr>
        <w:t xml:space="preserve">Li, A., and </w:t>
      </w:r>
      <w:proofErr w:type="spellStart"/>
      <w:r w:rsidRPr="00900ADE">
        <w:rPr>
          <w:rFonts w:eastAsia="Calibri" w:cs="Times New Roman"/>
          <w:kern w:val="0"/>
          <w:szCs w:val="24"/>
        </w:rPr>
        <w:t>Cropanzano</w:t>
      </w:r>
      <w:proofErr w:type="spellEnd"/>
      <w:r w:rsidRPr="00900ADE">
        <w:rPr>
          <w:rFonts w:eastAsia="Calibri" w:cs="Times New Roman"/>
          <w:kern w:val="0"/>
          <w:szCs w:val="24"/>
        </w:rPr>
        <w:t xml:space="preserve">, R. (2009), "Fairness at the Group Level: Justice Climate and </w:t>
      </w:r>
      <w:proofErr w:type="spellStart"/>
      <w:r w:rsidRPr="00900ADE">
        <w:rPr>
          <w:rFonts w:eastAsia="Calibri" w:cs="Times New Roman"/>
          <w:kern w:val="0"/>
          <w:szCs w:val="24"/>
        </w:rPr>
        <w:t>Intraunit</w:t>
      </w:r>
      <w:proofErr w:type="spellEnd"/>
      <w:r w:rsidRPr="00900ADE">
        <w:rPr>
          <w:rFonts w:eastAsia="Calibri" w:cs="Times New Roman"/>
          <w:kern w:val="0"/>
          <w:szCs w:val="24"/>
        </w:rPr>
        <w:t xml:space="preserve"> Justice Climate", </w:t>
      </w:r>
      <w:r w:rsidRPr="00900ADE">
        <w:rPr>
          <w:rFonts w:eastAsia="Calibri" w:cs="Times New Roman"/>
          <w:i/>
          <w:iCs/>
          <w:kern w:val="0"/>
          <w:szCs w:val="24"/>
        </w:rPr>
        <w:t>Journal of Management</w:t>
      </w:r>
      <w:r w:rsidRPr="00900ADE">
        <w:rPr>
          <w:rFonts w:eastAsia="Calibri" w:cs="Times New Roman"/>
          <w:kern w:val="0"/>
          <w:szCs w:val="24"/>
        </w:rPr>
        <w:t xml:space="preserve">, Vol. 35 No. 3, pp. 564–599. https://doi.org/10.1177/0149206308330557 </w:t>
      </w:r>
    </w:p>
    <w:p w14:paraId="7D8DF0B3" w14:textId="77777777" w:rsidR="0086443B" w:rsidRPr="006913D2" w:rsidRDefault="0086443B" w:rsidP="0086443B">
      <w:pPr>
        <w:spacing w:after="0" w:line="480" w:lineRule="auto"/>
        <w:ind w:left="720" w:hanging="720"/>
        <w:rPr>
          <w:rFonts w:eastAsia="Times New Roman" w:cs="Times New Roman"/>
          <w:kern w:val="0"/>
          <w:szCs w:val="24"/>
          <w14:ligatures w14:val="none"/>
        </w:rPr>
      </w:pPr>
      <w:r w:rsidRPr="006913D2">
        <w:rPr>
          <w:rFonts w:eastAsia="Times New Roman" w:cs="Times New Roman"/>
          <w:kern w:val="0"/>
          <w:szCs w:val="24"/>
          <w14:ligatures w14:val="none"/>
        </w:rPr>
        <w:t xml:space="preserve">Matta, F. K., Scott, B. A., Colquitt, J. A., Koopman, J., and Passantino, L. G. (2017), "Is Consistently Unfair Better than Sporadically Fair? An Investigation of Justice Variability and Stress", </w:t>
      </w:r>
      <w:r w:rsidRPr="006913D2">
        <w:rPr>
          <w:rFonts w:eastAsia="Times New Roman" w:cs="Times New Roman"/>
          <w:i/>
          <w:iCs/>
          <w:kern w:val="0"/>
          <w:szCs w:val="24"/>
          <w14:ligatures w14:val="none"/>
        </w:rPr>
        <w:t>Academy of Management Journal,</w:t>
      </w:r>
      <w:r w:rsidRPr="006913D2">
        <w:rPr>
          <w:rFonts w:eastAsia="Times New Roman" w:cs="Times New Roman"/>
          <w:kern w:val="0"/>
          <w:szCs w:val="24"/>
          <w14:ligatures w14:val="none"/>
        </w:rPr>
        <w:t xml:space="preserve"> Vol. 60 No. 2, pp. 743–770. https://doi.org/10.5465/amj.2014.0455</w:t>
      </w:r>
    </w:p>
    <w:p w14:paraId="49580148" w14:textId="77777777" w:rsidR="0086443B" w:rsidRPr="00143DC2" w:rsidRDefault="0086443B" w:rsidP="0086443B">
      <w:pPr>
        <w:spacing w:after="0" w:line="480" w:lineRule="auto"/>
        <w:ind w:left="720" w:hanging="720"/>
        <w:rPr>
          <w:rFonts w:eastAsia="Times New Roman" w:cs="Times New Roman"/>
          <w:kern w:val="0"/>
          <w:szCs w:val="24"/>
          <w14:ligatures w14:val="none"/>
        </w:rPr>
      </w:pPr>
      <w:proofErr w:type="spellStart"/>
      <w:r w:rsidRPr="00143DC2">
        <w:rPr>
          <w:rFonts w:eastAsia="Times New Roman" w:cs="Times New Roman"/>
          <w:kern w:val="0"/>
          <w:szCs w:val="24"/>
          <w14:ligatures w14:val="none"/>
        </w:rPr>
        <w:t>Molm</w:t>
      </w:r>
      <w:proofErr w:type="spellEnd"/>
      <w:r w:rsidRPr="00143DC2">
        <w:rPr>
          <w:rFonts w:eastAsia="Times New Roman" w:cs="Times New Roman"/>
          <w:kern w:val="0"/>
          <w:szCs w:val="24"/>
          <w14:ligatures w14:val="none"/>
        </w:rPr>
        <w:t xml:space="preserve">, L. D. (2010), "The Structure of Reciprocity", </w:t>
      </w:r>
      <w:r w:rsidRPr="00143DC2">
        <w:rPr>
          <w:rFonts w:eastAsia="Times New Roman" w:cs="Times New Roman"/>
          <w:i/>
          <w:iCs/>
          <w:kern w:val="0"/>
          <w:szCs w:val="24"/>
          <w14:ligatures w14:val="none"/>
        </w:rPr>
        <w:t>Social Psychology Quarterly,</w:t>
      </w:r>
      <w:r w:rsidRPr="00143DC2">
        <w:rPr>
          <w:rFonts w:eastAsia="Times New Roman" w:cs="Times New Roman"/>
          <w:kern w:val="0"/>
          <w:szCs w:val="24"/>
          <w14:ligatures w14:val="none"/>
        </w:rPr>
        <w:t xml:space="preserve"> Vol. 73 No. 2, pp. 119–131. https://doi.org/10.1177/0190272510369079</w:t>
      </w:r>
    </w:p>
    <w:p w14:paraId="5036038B" w14:textId="77777777" w:rsidR="0086443B" w:rsidRPr="00143DC2" w:rsidRDefault="0086443B" w:rsidP="0086443B">
      <w:pPr>
        <w:spacing w:after="0" w:line="480" w:lineRule="auto"/>
        <w:ind w:left="720" w:hanging="720"/>
        <w:rPr>
          <w:rFonts w:eastAsia="Times New Roman" w:cs="Times New Roman"/>
          <w:kern w:val="0"/>
          <w:szCs w:val="24"/>
          <w14:ligatures w14:val="none"/>
        </w:rPr>
      </w:pPr>
      <w:proofErr w:type="spellStart"/>
      <w:r w:rsidRPr="00143DC2">
        <w:rPr>
          <w:rFonts w:eastAsia="Times New Roman" w:cs="Times New Roman"/>
          <w:kern w:val="0"/>
          <w:szCs w:val="24"/>
          <w14:ligatures w14:val="none"/>
        </w:rPr>
        <w:t>Molm</w:t>
      </w:r>
      <w:proofErr w:type="spellEnd"/>
      <w:r w:rsidRPr="00143DC2">
        <w:rPr>
          <w:rFonts w:eastAsia="Times New Roman" w:cs="Times New Roman"/>
          <w:kern w:val="0"/>
          <w:szCs w:val="24"/>
          <w14:ligatures w14:val="none"/>
        </w:rPr>
        <w:t xml:space="preserve">, L. D., Collett, J. L., and Schaefer, D. R. (2007), "Building Solidarity through Generalized Exchange: A Theory of Reciprocity", </w:t>
      </w:r>
      <w:r w:rsidRPr="00143DC2">
        <w:rPr>
          <w:rFonts w:eastAsia="Times New Roman" w:cs="Times New Roman"/>
          <w:i/>
          <w:iCs/>
          <w:kern w:val="0"/>
          <w:szCs w:val="24"/>
          <w14:ligatures w14:val="none"/>
        </w:rPr>
        <w:t>American Journal of Sociology,</w:t>
      </w:r>
      <w:r w:rsidRPr="00143DC2">
        <w:rPr>
          <w:rFonts w:eastAsia="Times New Roman" w:cs="Times New Roman"/>
          <w:kern w:val="0"/>
          <w:szCs w:val="24"/>
          <w14:ligatures w14:val="none"/>
        </w:rPr>
        <w:t xml:space="preserve"> Vol. 113 No. 1, pp. 205–242. https://doi.org/10.1086/517900</w:t>
      </w:r>
    </w:p>
    <w:p w14:paraId="4332C3E9" w14:textId="77777777" w:rsidR="0086443B" w:rsidRPr="005B6C1A" w:rsidRDefault="0086443B" w:rsidP="0086443B">
      <w:pPr>
        <w:spacing w:after="0" w:line="480" w:lineRule="auto"/>
        <w:ind w:left="720" w:hanging="720"/>
        <w:rPr>
          <w:rFonts w:eastAsia="Times New Roman" w:cs="Times New Roman"/>
          <w:kern w:val="0"/>
          <w:szCs w:val="24"/>
          <w14:ligatures w14:val="none"/>
        </w:rPr>
      </w:pPr>
      <w:r w:rsidRPr="005B6C1A">
        <w:rPr>
          <w:rFonts w:eastAsia="Calibri" w:cs="Times New Roman"/>
          <w:kern w:val="0"/>
          <w:szCs w:val="24"/>
        </w:rPr>
        <w:t xml:space="preserve">Mor Barak, M. E. (2000), “The Inclusive Workplace: An Ecosystems Approach to Diversity Management”, </w:t>
      </w:r>
      <w:r w:rsidRPr="005B6C1A">
        <w:rPr>
          <w:rFonts w:eastAsia="Calibri" w:cs="Times New Roman"/>
          <w:i/>
          <w:iCs/>
          <w:kern w:val="0"/>
          <w:szCs w:val="24"/>
        </w:rPr>
        <w:t>Social Work</w:t>
      </w:r>
      <w:r w:rsidRPr="005B6C1A">
        <w:rPr>
          <w:rFonts w:eastAsia="Calibri" w:cs="Times New Roman"/>
          <w:kern w:val="0"/>
          <w:szCs w:val="24"/>
        </w:rPr>
        <w:t>, Vol. 45 No. 4, pp. 339–353. https://doi.org/10.1093/sw/45.4.339</w:t>
      </w:r>
      <w:r w:rsidRPr="005B6C1A">
        <w:rPr>
          <w:rFonts w:eastAsia="Times New Roman" w:cs="Times New Roman"/>
          <w:kern w:val="0"/>
          <w:szCs w:val="24"/>
          <w14:ligatures w14:val="none"/>
        </w:rPr>
        <w:t xml:space="preserve"> </w:t>
      </w:r>
    </w:p>
    <w:p w14:paraId="0D92A860" w14:textId="77777777" w:rsidR="0086443B" w:rsidRPr="005F5F3F" w:rsidRDefault="0086443B" w:rsidP="0086443B">
      <w:pPr>
        <w:spacing w:after="0" w:line="480" w:lineRule="auto"/>
        <w:ind w:left="720" w:hanging="720"/>
        <w:rPr>
          <w:rFonts w:eastAsia="Times New Roman" w:cs="Times New Roman"/>
          <w:kern w:val="0"/>
          <w:szCs w:val="24"/>
          <w14:ligatures w14:val="none"/>
        </w:rPr>
      </w:pPr>
      <w:r w:rsidRPr="005F5F3F">
        <w:rPr>
          <w:rFonts w:eastAsia="Times New Roman" w:cs="Times New Roman"/>
          <w:kern w:val="0"/>
          <w:szCs w:val="24"/>
          <w14:ligatures w14:val="none"/>
        </w:rPr>
        <w:lastRenderedPageBreak/>
        <w:t xml:space="preserve">Morrison, E. W., and Robinson, S. L. (1997), "When Employees Feel Betrayed: A Model of How Psychological Contract Violation Develops", </w:t>
      </w:r>
      <w:r w:rsidRPr="005F5F3F">
        <w:rPr>
          <w:rFonts w:eastAsia="Times New Roman" w:cs="Times New Roman"/>
          <w:i/>
          <w:iCs/>
          <w:kern w:val="0"/>
          <w:szCs w:val="24"/>
          <w14:ligatures w14:val="none"/>
        </w:rPr>
        <w:t>The Academy of Management Review</w:t>
      </w:r>
      <w:r w:rsidRPr="005F5F3F">
        <w:rPr>
          <w:rFonts w:eastAsia="Times New Roman" w:cs="Times New Roman"/>
          <w:kern w:val="0"/>
          <w:szCs w:val="24"/>
          <w14:ligatures w14:val="none"/>
        </w:rPr>
        <w:t>, Vol. 22 No. 1, pp. 226–256. https://doi.org/10.2307/259230</w:t>
      </w:r>
    </w:p>
    <w:p w14:paraId="4E521F79" w14:textId="77777777" w:rsidR="0086443B" w:rsidRPr="00C21262" w:rsidRDefault="0086443B" w:rsidP="0086443B">
      <w:pPr>
        <w:spacing w:after="0" w:line="480" w:lineRule="auto"/>
        <w:ind w:left="720" w:hanging="720"/>
        <w:rPr>
          <w:rFonts w:eastAsia="Calibri" w:cs="Times New Roman"/>
          <w:kern w:val="0"/>
          <w:szCs w:val="24"/>
        </w:rPr>
      </w:pPr>
      <w:r w:rsidRPr="00C21262">
        <w:rPr>
          <w:rFonts w:eastAsia="Calibri" w:cs="Times New Roman"/>
          <w:kern w:val="0"/>
          <w:szCs w:val="24"/>
        </w:rPr>
        <w:t xml:space="preserve">Mossholder, K. W., Bennett, N., Kemery, E. R., and Wesolowski, M. A. (1998), "Relationships between Bases of Power and Work Reactions: The Mediational Role of Procedural Justice", </w:t>
      </w:r>
      <w:r w:rsidRPr="00C21262">
        <w:rPr>
          <w:rFonts w:eastAsia="Calibri" w:cs="Times New Roman"/>
          <w:i/>
          <w:iCs/>
          <w:kern w:val="0"/>
          <w:szCs w:val="24"/>
        </w:rPr>
        <w:t>Journal of Management</w:t>
      </w:r>
      <w:r w:rsidRPr="00C21262">
        <w:rPr>
          <w:rFonts w:eastAsia="Calibri" w:cs="Times New Roman"/>
          <w:kern w:val="0"/>
          <w:szCs w:val="24"/>
        </w:rPr>
        <w:t xml:space="preserve">, Vol. 24 No. 4, pp. 533–552. </w:t>
      </w:r>
    </w:p>
    <w:p w14:paraId="3F8E526D" w14:textId="77777777" w:rsidR="0086443B" w:rsidRPr="004F171A" w:rsidRDefault="0086443B" w:rsidP="0086443B">
      <w:pPr>
        <w:spacing w:after="0" w:line="480" w:lineRule="auto"/>
        <w:ind w:left="720" w:hanging="720"/>
        <w:rPr>
          <w:rFonts w:eastAsia="Times New Roman" w:cs="Times New Roman"/>
          <w:kern w:val="0"/>
          <w:szCs w:val="24"/>
          <w14:ligatures w14:val="none"/>
        </w:rPr>
      </w:pPr>
      <w:r w:rsidRPr="004F171A">
        <w:rPr>
          <w:rFonts w:eastAsia="Times New Roman" w:cs="Times New Roman"/>
          <w:kern w:val="0"/>
          <w:szCs w:val="24"/>
          <w14:ligatures w14:val="none"/>
        </w:rPr>
        <w:t xml:space="preserve">Muir, C., and Hoyland, T. (2015), "Do Diversity and Inclusion Help Drive Employee Engagement?", </w:t>
      </w:r>
      <w:r w:rsidRPr="004F171A">
        <w:rPr>
          <w:rFonts w:eastAsia="Times New Roman" w:cs="Times New Roman"/>
          <w:i/>
          <w:iCs/>
          <w:kern w:val="0"/>
          <w:szCs w:val="24"/>
          <w14:ligatures w14:val="none"/>
        </w:rPr>
        <w:t>Academy of Management Perspectives</w:t>
      </w:r>
      <w:r w:rsidRPr="004F171A">
        <w:rPr>
          <w:rFonts w:eastAsia="Times New Roman" w:cs="Times New Roman"/>
          <w:kern w:val="0"/>
          <w:szCs w:val="24"/>
          <w14:ligatures w14:val="none"/>
        </w:rPr>
        <w:t>, Vol. 29 No. 2, pp. 7–9. https://doi.org/10.5465/amp.2015.0128</w:t>
      </w:r>
    </w:p>
    <w:p w14:paraId="51FD07E6" w14:textId="77777777" w:rsidR="0086443B" w:rsidRPr="00D820B2" w:rsidRDefault="0086443B" w:rsidP="0086443B">
      <w:pPr>
        <w:spacing w:after="0" w:line="480" w:lineRule="auto"/>
        <w:ind w:left="720" w:hanging="720"/>
        <w:rPr>
          <w:rFonts w:eastAsia="Calibri" w:cs="Times New Roman"/>
          <w:kern w:val="0"/>
          <w:szCs w:val="24"/>
        </w:rPr>
      </w:pPr>
      <w:r w:rsidRPr="00D820B2">
        <w:rPr>
          <w:rFonts w:eastAsia="Calibri" w:cs="Times New Roman"/>
          <w:kern w:val="0"/>
          <w:szCs w:val="24"/>
        </w:rPr>
        <w:t xml:space="preserve">Naumann, S. E., and Bennett, N. (2000), "A Case for Procedural Justice Climate: Development and Test of a Multilevel Model", </w:t>
      </w:r>
      <w:r w:rsidRPr="00D820B2">
        <w:rPr>
          <w:rFonts w:eastAsia="Calibri" w:cs="Times New Roman"/>
          <w:i/>
          <w:iCs/>
          <w:kern w:val="0"/>
          <w:szCs w:val="24"/>
        </w:rPr>
        <w:t>Academy of Management Journal</w:t>
      </w:r>
      <w:r w:rsidRPr="00D820B2">
        <w:rPr>
          <w:rFonts w:eastAsia="Calibri" w:cs="Times New Roman"/>
          <w:kern w:val="0"/>
          <w:szCs w:val="24"/>
        </w:rPr>
        <w:t xml:space="preserve">, Vol. 43 No. 5, pp. 881–889. https://doi.org/10.5465/1556416 </w:t>
      </w:r>
    </w:p>
    <w:p w14:paraId="7324D666" w14:textId="77777777" w:rsidR="0086443B" w:rsidRPr="00F07DB0" w:rsidRDefault="0086443B" w:rsidP="0086443B">
      <w:pPr>
        <w:spacing w:after="0" w:line="480" w:lineRule="auto"/>
        <w:ind w:left="720" w:hanging="720"/>
        <w:rPr>
          <w:rFonts w:eastAsia="Calibri" w:cs="Times New Roman"/>
          <w:kern w:val="0"/>
          <w:szCs w:val="24"/>
        </w:rPr>
      </w:pPr>
      <w:r w:rsidRPr="00F07DB0">
        <w:rPr>
          <w:rFonts w:eastAsia="Calibri" w:cs="Times New Roman"/>
          <w:kern w:val="0"/>
          <w:szCs w:val="24"/>
        </w:rPr>
        <w:t xml:space="preserve">Neubauer, A. C., </w:t>
      </w:r>
      <w:proofErr w:type="spellStart"/>
      <w:r w:rsidRPr="00F07DB0">
        <w:rPr>
          <w:rFonts w:eastAsia="Calibri" w:cs="Times New Roman"/>
          <w:kern w:val="0"/>
          <w:szCs w:val="24"/>
        </w:rPr>
        <w:t>Wammerl</w:t>
      </w:r>
      <w:proofErr w:type="spellEnd"/>
      <w:r w:rsidRPr="00F07DB0">
        <w:rPr>
          <w:rFonts w:eastAsia="Calibri" w:cs="Times New Roman"/>
          <w:kern w:val="0"/>
          <w:szCs w:val="24"/>
        </w:rPr>
        <w:t>, M., Benedek, M., Jauk, E., and Jaušovec, N. (2017), “The influence of transcranial alternating current stimulation (</w:t>
      </w:r>
      <w:proofErr w:type="spellStart"/>
      <w:r w:rsidRPr="00F07DB0">
        <w:rPr>
          <w:rFonts w:eastAsia="Calibri" w:cs="Times New Roman"/>
          <w:kern w:val="0"/>
          <w:szCs w:val="24"/>
        </w:rPr>
        <w:t>tACS</w:t>
      </w:r>
      <w:proofErr w:type="spellEnd"/>
      <w:r w:rsidRPr="00F07DB0">
        <w:rPr>
          <w:rFonts w:eastAsia="Calibri" w:cs="Times New Roman"/>
          <w:kern w:val="0"/>
          <w:szCs w:val="24"/>
        </w:rPr>
        <w:t xml:space="preserve">) on fluid intelligence: An fMRI study”, </w:t>
      </w:r>
      <w:r w:rsidRPr="00F07DB0">
        <w:rPr>
          <w:rFonts w:eastAsia="Calibri" w:cs="Times New Roman"/>
          <w:i/>
          <w:iCs/>
          <w:kern w:val="0"/>
          <w:szCs w:val="24"/>
        </w:rPr>
        <w:t>Personality and Individual Differences</w:t>
      </w:r>
      <w:r w:rsidRPr="00F07DB0">
        <w:rPr>
          <w:rFonts w:eastAsia="Calibri" w:cs="Times New Roman"/>
          <w:kern w:val="0"/>
          <w:szCs w:val="24"/>
        </w:rPr>
        <w:t xml:space="preserve">, Vol. 118, pp. 50–55. https://doi.org/10.1016/j.paid.2017.04.016 </w:t>
      </w:r>
    </w:p>
    <w:p w14:paraId="6741EAB5" w14:textId="77777777" w:rsidR="0086443B" w:rsidRPr="00892253" w:rsidRDefault="0086443B" w:rsidP="0086443B">
      <w:pPr>
        <w:spacing w:after="0" w:line="480" w:lineRule="auto"/>
        <w:ind w:left="720" w:hanging="720"/>
        <w:rPr>
          <w:rFonts w:eastAsia="Times New Roman" w:cs="Times New Roman"/>
          <w:kern w:val="0"/>
          <w:szCs w:val="24"/>
          <w14:ligatures w14:val="none"/>
        </w:rPr>
      </w:pPr>
      <w:r w:rsidRPr="00892253">
        <w:rPr>
          <w:rFonts w:eastAsia="Times New Roman" w:cs="Times New Roman"/>
          <w:kern w:val="0"/>
          <w:szCs w:val="24"/>
          <w14:ligatures w14:val="none"/>
        </w:rPr>
        <w:t xml:space="preserve">Otto, K., and </w:t>
      </w:r>
      <w:proofErr w:type="spellStart"/>
      <w:r w:rsidRPr="00892253">
        <w:rPr>
          <w:rFonts w:eastAsia="Times New Roman" w:cs="Times New Roman"/>
          <w:kern w:val="0"/>
          <w:szCs w:val="24"/>
          <w14:ligatures w14:val="none"/>
        </w:rPr>
        <w:t>Mamatoglu</w:t>
      </w:r>
      <w:proofErr w:type="spellEnd"/>
      <w:r w:rsidRPr="00892253">
        <w:rPr>
          <w:rFonts w:eastAsia="Times New Roman" w:cs="Times New Roman"/>
          <w:kern w:val="0"/>
          <w:szCs w:val="24"/>
          <w14:ligatures w14:val="none"/>
        </w:rPr>
        <w:t xml:space="preserve">, N. (2015), "Why Does Interactional Justice Promote Organizational Loyalty, Job Performance, and Prevent Mental Impairment? The Role of Social Support and Social Stressors", </w:t>
      </w:r>
      <w:r w:rsidRPr="00892253">
        <w:rPr>
          <w:rFonts w:eastAsia="Times New Roman" w:cs="Times New Roman"/>
          <w:i/>
          <w:iCs/>
          <w:kern w:val="0"/>
          <w:szCs w:val="24"/>
          <w14:ligatures w14:val="none"/>
        </w:rPr>
        <w:t xml:space="preserve">The Journal of Psychology, </w:t>
      </w:r>
      <w:r w:rsidRPr="00892253">
        <w:rPr>
          <w:rFonts w:eastAsia="Times New Roman" w:cs="Times New Roman"/>
          <w:kern w:val="0"/>
          <w:szCs w:val="24"/>
          <w14:ligatures w14:val="none"/>
        </w:rPr>
        <w:t>Vol. 149 No. 2, pp. 193–218. https://doi.org/10.1080/00223980.2013.866535</w:t>
      </w:r>
    </w:p>
    <w:p w14:paraId="66D61212" w14:textId="77777777" w:rsidR="0086443B" w:rsidRPr="0066743D" w:rsidRDefault="0086443B" w:rsidP="0086443B">
      <w:pPr>
        <w:spacing w:after="0" w:line="480" w:lineRule="auto"/>
        <w:ind w:left="720" w:hanging="720"/>
        <w:rPr>
          <w:rFonts w:eastAsia="Times New Roman" w:cs="Times New Roman"/>
          <w:kern w:val="0"/>
          <w:szCs w:val="24"/>
          <w14:ligatures w14:val="none"/>
        </w:rPr>
      </w:pPr>
      <w:r w:rsidRPr="0066743D">
        <w:rPr>
          <w:rFonts w:eastAsia="Times New Roman" w:cs="Times New Roman"/>
          <w:kern w:val="0"/>
          <w:szCs w:val="24"/>
          <w14:ligatures w14:val="none"/>
        </w:rPr>
        <w:t xml:space="preserve">Özer, Ö., </w:t>
      </w:r>
      <w:proofErr w:type="spellStart"/>
      <w:r w:rsidRPr="0066743D">
        <w:rPr>
          <w:rFonts w:eastAsia="Times New Roman" w:cs="Times New Roman"/>
          <w:kern w:val="0"/>
          <w:szCs w:val="24"/>
          <w14:ligatures w14:val="none"/>
        </w:rPr>
        <w:t>Uğurluoğlu</w:t>
      </w:r>
      <w:proofErr w:type="spellEnd"/>
      <w:r w:rsidRPr="0066743D">
        <w:rPr>
          <w:rFonts w:eastAsia="Times New Roman" w:cs="Times New Roman"/>
          <w:kern w:val="0"/>
          <w:szCs w:val="24"/>
          <w14:ligatures w14:val="none"/>
        </w:rPr>
        <w:t xml:space="preserve">, Ö., and Saygili, M. (2017), "Effect of Organizational Justice on Work Engagement in Healthcare Sector of Turkey", </w:t>
      </w:r>
      <w:r w:rsidRPr="0066743D">
        <w:rPr>
          <w:rFonts w:eastAsia="Times New Roman" w:cs="Times New Roman"/>
          <w:i/>
          <w:iCs/>
          <w:kern w:val="0"/>
          <w:szCs w:val="24"/>
          <w14:ligatures w14:val="none"/>
        </w:rPr>
        <w:t>Journal of Health Management</w:t>
      </w:r>
      <w:r w:rsidRPr="0066743D">
        <w:rPr>
          <w:rFonts w:eastAsia="Times New Roman" w:cs="Times New Roman"/>
          <w:kern w:val="0"/>
          <w:szCs w:val="24"/>
          <w14:ligatures w14:val="none"/>
        </w:rPr>
        <w:t>, Vol. 19 No. 1, pp. 73–83. https://doi.org/10.1177/0972063416682562</w:t>
      </w:r>
    </w:p>
    <w:p w14:paraId="3D802118" w14:textId="77777777" w:rsidR="0086443B" w:rsidRPr="005B022D" w:rsidRDefault="0086443B" w:rsidP="0086443B">
      <w:pPr>
        <w:spacing w:after="0" w:line="480" w:lineRule="auto"/>
        <w:ind w:left="720" w:hanging="720"/>
        <w:rPr>
          <w:rFonts w:eastAsia="Calibri" w:cs="Times New Roman"/>
          <w:kern w:val="0"/>
          <w:szCs w:val="24"/>
        </w:rPr>
      </w:pPr>
      <w:proofErr w:type="spellStart"/>
      <w:r w:rsidRPr="005B022D">
        <w:rPr>
          <w:rFonts w:eastAsia="Calibri" w:cs="Times New Roman"/>
          <w:kern w:val="0"/>
          <w:szCs w:val="24"/>
        </w:rPr>
        <w:lastRenderedPageBreak/>
        <w:t>Paais</w:t>
      </w:r>
      <w:proofErr w:type="spellEnd"/>
      <w:r w:rsidRPr="005B022D">
        <w:rPr>
          <w:rFonts w:eastAsia="Calibri" w:cs="Times New Roman"/>
          <w:kern w:val="0"/>
          <w:szCs w:val="24"/>
        </w:rPr>
        <w:t xml:space="preserve">, M., and </w:t>
      </w:r>
      <w:proofErr w:type="spellStart"/>
      <w:r w:rsidRPr="005B022D">
        <w:rPr>
          <w:rFonts w:eastAsia="Calibri" w:cs="Times New Roman"/>
          <w:kern w:val="0"/>
          <w:szCs w:val="24"/>
        </w:rPr>
        <w:t>Pattiruhu</w:t>
      </w:r>
      <w:proofErr w:type="spellEnd"/>
      <w:r w:rsidRPr="005B022D">
        <w:rPr>
          <w:rFonts w:eastAsia="Calibri" w:cs="Times New Roman"/>
          <w:kern w:val="0"/>
          <w:szCs w:val="24"/>
        </w:rPr>
        <w:t xml:space="preserve">, J. R. (2020), "Effect of Motivation, Leadership, and Organizational Culture on Satisfaction and Employee Performance", </w:t>
      </w:r>
      <w:r w:rsidRPr="005B022D">
        <w:rPr>
          <w:rFonts w:eastAsia="Calibri" w:cs="Times New Roman"/>
          <w:i/>
          <w:iCs/>
          <w:kern w:val="0"/>
          <w:szCs w:val="24"/>
        </w:rPr>
        <w:t>The Journal of Asian Finance, Economics and Business</w:t>
      </w:r>
      <w:r w:rsidRPr="005B022D">
        <w:rPr>
          <w:rFonts w:eastAsia="Calibri" w:cs="Times New Roman"/>
          <w:kern w:val="0"/>
          <w:szCs w:val="24"/>
        </w:rPr>
        <w:t xml:space="preserve">, Vol. 7 No. 8, pp. 577–588. https://doi.org/10.13106/jafeb.2020.vol7.no8.577 </w:t>
      </w:r>
    </w:p>
    <w:p w14:paraId="7782666A" w14:textId="77777777" w:rsidR="0086443B" w:rsidRPr="0013387F" w:rsidRDefault="0086443B" w:rsidP="0086443B">
      <w:pPr>
        <w:spacing w:after="0" w:line="480" w:lineRule="auto"/>
        <w:ind w:left="720" w:hanging="720"/>
        <w:rPr>
          <w:rFonts w:eastAsia="Times New Roman" w:cs="Times New Roman"/>
          <w:kern w:val="0"/>
          <w:szCs w:val="24"/>
          <w14:ligatures w14:val="none"/>
        </w:rPr>
      </w:pPr>
      <w:r w:rsidRPr="0013387F">
        <w:rPr>
          <w:rFonts w:eastAsia="Times New Roman" w:cs="Times New Roman"/>
          <w:kern w:val="0"/>
          <w:szCs w:val="24"/>
          <w14:ligatures w14:val="none"/>
        </w:rPr>
        <w:t xml:space="preserve">Peng, A. C., Schaubroeck, J. M., and Li, Y. (2014), "Social Exchange Implications of Own and </w:t>
      </w:r>
      <w:proofErr w:type="spellStart"/>
      <w:r w:rsidRPr="0013387F">
        <w:rPr>
          <w:rFonts w:eastAsia="Times New Roman" w:cs="Times New Roman"/>
          <w:kern w:val="0"/>
          <w:szCs w:val="24"/>
          <w14:ligatures w14:val="none"/>
        </w:rPr>
        <w:t>CoWorkers’</w:t>
      </w:r>
      <w:proofErr w:type="spellEnd"/>
      <w:r w:rsidRPr="0013387F">
        <w:rPr>
          <w:rFonts w:eastAsia="Times New Roman" w:cs="Times New Roman"/>
          <w:kern w:val="0"/>
          <w:szCs w:val="24"/>
          <w14:ligatures w14:val="none"/>
        </w:rPr>
        <w:t xml:space="preserve"> Experiences of Supervisory Abuse", </w:t>
      </w:r>
      <w:r w:rsidRPr="0013387F">
        <w:rPr>
          <w:rFonts w:eastAsia="Times New Roman" w:cs="Times New Roman"/>
          <w:i/>
          <w:iCs/>
          <w:kern w:val="0"/>
          <w:szCs w:val="24"/>
          <w14:ligatures w14:val="none"/>
        </w:rPr>
        <w:t>Academy of Management Journal</w:t>
      </w:r>
      <w:r w:rsidRPr="0013387F">
        <w:rPr>
          <w:rFonts w:eastAsia="Times New Roman" w:cs="Times New Roman"/>
          <w:kern w:val="0"/>
          <w:szCs w:val="24"/>
          <w14:ligatures w14:val="none"/>
        </w:rPr>
        <w:t>, Vol. 57 No. 5, pp. 1385–1405. https://doi.org/10.5465/amj.2012.0080</w:t>
      </w:r>
    </w:p>
    <w:p w14:paraId="609FE266" w14:textId="77777777" w:rsidR="0086443B" w:rsidRPr="002E7A84" w:rsidRDefault="0086443B" w:rsidP="0086443B">
      <w:pPr>
        <w:spacing w:after="0" w:line="480" w:lineRule="auto"/>
        <w:ind w:left="720" w:hanging="720"/>
        <w:rPr>
          <w:rFonts w:eastAsia="Calibri" w:cs="Times New Roman"/>
          <w:kern w:val="0"/>
          <w:szCs w:val="24"/>
        </w:rPr>
      </w:pPr>
      <w:r w:rsidRPr="002E7A84">
        <w:rPr>
          <w:rFonts w:eastAsia="Calibri" w:cs="Times New Roman"/>
          <w:kern w:val="0"/>
          <w:szCs w:val="24"/>
        </w:rPr>
        <w:t xml:space="preserve">Pirzada, Z. A., Mirani, S. H., </w:t>
      </w:r>
      <w:proofErr w:type="spellStart"/>
      <w:r w:rsidRPr="002E7A84">
        <w:rPr>
          <w:rFonts w:eastAsia="Calibri" w:cs="Times New Roman"/>
          <w:kern w:val="0"/>
          <w:szCs w:val="24"/>
        </w:rPr>
        <w:t>Phulpoto</w:t>
      </w:r>
      <w:proofErr w:type="spellEnd"/>
      <w:r w:rsidRPr="002E7A84">
        <w:rPr>
          <w:rFonts w:eastAsia="Calibri" w:cs="Times New Roman"/>
          <w:kern w:val="0"/>
          <w:szCs w:val="24"/>
        </w:rPr>
        <w:t xml:space="preserve">, N. H., Dogar, H., and Mahar, S. A. (2020), "Study of employee silence, organizational justice and work engagement: Mediation analysis", </w:t>
      </w:r>
      <w:r w:rsidRPr="002E7A84">
        <w:rPr>
          <w:rFonts w:eastAsia="Calibri" w:cs="Times New Roman"/>
          <w:i/>
          <w:iCs/>
          <w:kern w:val="0"/>
          <w:szCs w:val="24"/>
        </w:rPr>
        <w:t>IJCSNS</w:t>
      </w:r>
      <w:r w:rsidRPr="002E7A84">
        <w:rPr>
          <w:rFonts w:eastAsia="Calibri" w:cs="Times New Roman"/>
          <w:kern w:val="0"/>
          <w:szCs w:val="24"/>
        </w:rPr>
        <w:t xml:space="preserve">, Vol. 20 No. 1, pp. 9-14. </w:t>
      </w:r>
    </w:p>
    <w:p w14:paraId="70BD407D" w14:textId="77777777" w:rsidR="0086443B" w:rsidRDefault="0086443B" w:rsidP="0086443B">
      <w:pPr>
        <w:spacing w:after="0" w:line="480" w:lineRule="auto"/>
        <w:ind w:left="720" w:hanging="720"/>
        <w:rPr>
          <w:rFonts w:eastAsia="Calibri" w:cs="Times New Roman"/>
          <w:kern w:val="0"/>
          <w:szCs w:val="24"/>
        </w:rPr>
      </w:pPr>
      <w:proofErr w:type="spellStart"/>
      <w:r w:rsidRPr="00C8318C">
        <w:rPr>
          <w:rFonts w:eastAsia="Calibri" w:cs="Times New Roman"/>
          <w:kern w:val="0"/>
          <w:szCs w:val="24"/>
        </w:rPr>
        <w:t>Pradoto</w:t>
      </w:r>
      <w:proofErr w:type="spellEnd"/>
      <w:r w:rsidRPr="00C8318C">
        <w:rPr>
          <w:rFonts w:eastAsia="Calibri" w:cs="Times New Roman"/>
          <w:kern w:val="0"/>
          <w:szCs w:val="24"/>
        </w:rPr>
        <w:t xml:space="preserve">, H., Haryono, S., and Wahyuningsih, S. H. (2022), "The role of work stress, organizational climate, and improving employee performance in the implementation of work from home", </w:t>
      </w:r>
      <w:r w:rsidRPr="00C8318C">
        <w:rPr>
          <w:rFonts w:eastAsia="Calibri" w:cs="Times New Roman"/>
          <w:i/>
          <w:iCs/>
          <w:kern w:val="0"/>
          <w:szCs w:val="24"/>
        </w:rPr>
        <w:t>Work</w:t>
      </w:r>
      <w:r w:rsidRPr="00C8318C">
        <w:rPr>
          <w:rFonts w:eastAsia="Calibri" w:cs="Times New Roman"/>
          <w:kern w:val="0"/>
          <w:szCs w:val="24"/>
        </w:rPr>
        <w:t xml:space="preserve">, Vol. 71 No. 2, pp. 345–355. </w:t>
      </w:r>
      <w:hyperlink r:id="rId4" w:history="1">
        <w:r w:rsidRPr="00C8318C">
          <w:rPr>
            <w:rFonts w:eastAsia="Calibri" w:cs="Times New Roman"/>
            <w:kern w:val="0"/>
            <w:szCs w:val="24"/>
          </w:rPr>
          <w:t>https://doi.org/10.3233/WOR-210678</w:t>
        </w:r>
      </w:hyperlink>
      <w:r w:rsidRPr="00C8318C">
        <w:rPr>
          <w:rFonts w:eastAsia="Calibri" w:cs="Times New Roman"/>
          <w:kern w:val="0"/>
          <w:szCs w:val="24"/>
        </w:rPr>
        <w:t xml:space="preserve"> </w:t>
      </w:r>
    </w:p>
    <w:p w14:paraId="275FE8A8" w14:textId="77777777" w:rsidR="0086443B" w:rsidRPr="00D34B85" w:rsidRDefault="0086443B" w:rsidP="0086443B">
      <w:pPr>
        <w:spacing w:after="0" w:line="480" w:lineRule="auto"/>
        <w:ind w:left="720" w:hanging="720"/>
        <w:rPr>
          <w:rFonts w:eastAsia="Calibri" w:cs="Times New Roman"/>
          <w:i/>
          <w:iCs/>
          <w:kern w:val="0"/>
          <w:szCs w:val="24"/>
          <w:lang w:val="en-GB"/>
        </w:rPr>
      </w:pPr>
      <w:proofErr w:type="spellStart"/>
      <w:r w:rsidRPr="00D34B85">
        <w:rPr>
          <w:rFonts w:eastAsia="Calibri" w:cs="Times New Roman"/>
          <w:kern w:val="0"/>
          <w:szCs w:val="24"/>
          <w:lang w:val="en-GB"/>
        </w:rPr>
        <w:t>Rabl</w:t>
      </w:r>
      <w:proofErr w:type="spellEnd"/>
      <w:r w:rsidRPr="00D34B85">
        <w:rPr>
          <w:rFonts w:eastAsia="Calibri" w:cs="Times New Roman"/>
          <w:kern w:val="0"/>
          <w:szCs w:val="24"/>
          <w:lang w:val="en-GB"/>
        </w:rPr>
        <w:t xml:space="preserve">, T., del Carmen Triana, M., Byun, S., and Bosch, L. (2020), “Diversity Management Efforts as an Ethical Responsibility: How Employees’ Perceptions of an Organizational Integration and Learning Approach to Diversity Affect Employee </w:t>
      </w:r>
      <w:proofErr w:type="spellStart"/>
      <w:r w:rsidRPr="00D34B85">
        <w:rPr>
          <w:rFonts w:eastAsia="Calibri" w:cs="Times New Roman"/>
          <w:kern w:val="0"/>
          <w:szCs w:val="24"/>
          <w:lang w:val="en-GB"/>
        </w:rPr>
        <w:t>Behavior</w:t>
      </w:r>
      <w:proofErr w:type="spellEnd"/>
      <w:r w:rsidRPr="00D34B85">
        <w:rPr>
          <w:rFonts w:eastAsia="Calibri" w:cs="Times New Roman"/>
          <w:kern w:val="0"/>
          <w:szCs w:val="24"/>
          <w:lang w:val="en-GB"/>
        </w:rPr>
        <w:t xml:space="preserve">,” </w:t>
      </w:r>
      <w:r w:rsidRPr="00D34B85">
        <w:rPr>
          <w:rFonts w:eastAsia="Calibri" w:cs="Times New Roman"/>
          <w:i/>
          <w:iCs/>
          <w:kern w:val="0"/>
          <w:szCs w:val="24"/>
          <w:lang w:val="en-GB"/>
        </w:rPr>
        <w:t xml:space="preserve">Journal of Business Ethics, </w:t>
      </w:r>
      <w:r w:rsidRPr="00D34B85">
        <w:rPr>
          <w:rFonts w:eastAsia="Calibri" w:cs="Times New Roman"/>
          <w:kern w:val="0"/>
          <w:szCs w:val="24"/>
          <w:lang w:val="en-GB"/>
        </w:rPr>
        <w:t>Vol. 161 No. 3, pp. 531–550. https://doi.org/10.1007/s10551-018-3849-7</w:t>
      </w:r>
    </w:p>
    <w:p w14:paraId="256D4894" w14:textId="77777777" w:rsidR="0086443B" w:rsidRPr="00817E92" w:rsidRDefault="0086443B" w:rsidP="0086443B">
      <w:pPr>
        <w:spacing w:after="0" w:line="480" w:lineRule="auto"/>
        <w:ind w:left="720" w:hanging="720"/>
        <w:rPr>
          <w:rFonts w:eastAsia="Times New Roman" w:cs="Times New Roman"/>
          <w:kern w:val="0"/>
          <w:szCs w:val="24"/>
          <w14:ligatures w14:val="none"/>
        </w:rPr>
      </w:pPr>
      <w:r w:rsidRPr="00817E92">
        <w:rPr>
          <w:rFonts w:eastAsia="Times New Roman" w:cs="Times New Roman"/>
          <w:kern w:val="0"/>
          <w:szCs w:val="24"/>
          <w14:ligatures w14:val="none"/>
        </w:rPr>
        <w:t xml:space="preserve">Ragins, B. R., Townsend, B., and Mattis, M. (1998), "Gender gap in the executive suite: CEOs and Female executives report on breaking the glass ceiling", </w:t>
      </w:r>
      <w:r w:rsidRPr="00817E92">
        <w:rPr>
          <w:rFonts w:eastAsia="Times New Roman" w:cs="Times New Roman"/>
          <w:i/>
          <w:iCs/>
          <w:kern w:val="0"/>
          <w:szCs w:val="24"/>
          <w14:ligatures w14:val="none"/>
        </w:rPr>
        <w:t xml:space="preserve">The Academy of Management Executive, </w:t>
      </w:r>
      <w:r w:rsidRPr="00817E92">
        <w:rPr>
          <w:rFonts w:eastAsia="Times New Roman" w:cs="Times New Roman"/>
          <w:kern w:val="0"/>
          <w:szCs w:val="24"/>
          <w14:ligatures w14:val="none"/>
        </w:rPr>
        <w:t>Vol. 12 No. 1, pp. 28–42. https://doi.org/10.5465/ame.1998.254976</w:t>
      </w:r>
    </w:p>
    <w:p w14:paraId="6C861D8B" w14:textId="77777777" w:rsidR="0086443B" w:rsidRPr="001F1708" w:rsidRDefault="0086443B" w:rsidP="0086443B">
      <w:pPr>
        <w:spacing w:after="0" w:line="480" w:lineRule="auto"/>
        <w:ind w:left="720" w:hanging="720"/>
        <w:rPr>
          <w:rFonts w:eastAsia="Times New Roman" w:cs="Times New Roman"/>
          <w:kern w:val="0"/>
          <w:szCs w:val="24"/>
          <w14:ligatures w14:val="none"/>
        </w:rPr>
      </w:pPr>
      <w:r w:rsidRPr="001F1708">
        <w:rPr>
          <w:rFonts w:eastAsia="Times New Roman" w:cs="Times New Roman"/>
          <w:kern w:val="0"/>
          <w:szCs w:val="24"/>
          <w14:ligatures w14:val="none"/>
        </w:rPr>
        <w:lastRenderedPageBreak/>
        <w:t xml:space="preserve">Rahim, A., and </w:t>
      </w:r>
      <w:proofErr w:type="spellStart"/>
      <w:r w:rsidRPr="001F1708">
        <w:rPr>
          <w:rFonts w:eastAsia="Times New Roman" w:cs="Times New Roman"/>
          <w:kern w:val="0"/>
          <w:szCs w:val="24"/>
          <w14:ligatures w14:val="none"/>
        </w:rPr>
        <w:t>Bonoma</w:t>
      </w:r>
      <w:proofErr w:type="spellEnd"/>
      <w:r w:rsidRPr="001F1708">
        <w:rPr>
          <w:rFonts w:eastAsia="Times New Roman" w:cs="Times New Roman"/>
          <w:kern w:val="0"/>
          <w:szCs w:val="24"/>
          <w14:ligatures w14:val="none"/>
        </w:rPr>
        <w:t>, T. V. (1979), "Managing Organizational Conflict: A Model for Diagnosis and Intervention</w:t>
      </w:r>
      <w:r w:rsidRPr="001F1708">
        <w:rPr>
          <w:rFonts w:eastAsia="Times New Roman" w:cs="Times New Roman"/>
          <w:i/>
          <w:iCs/>
          <w:kern w:val="0"/>
          <w:szCs w:val="24"/>
          <w14:ligatures w14:val="none"/>
        </w:rPr>
        <w:t xml:space="preserve">", Psychological Reports, </w:t>
      </w:r>
      <w:r w:rsidRPr="001F1708">
        <w:rPr>
          <w:rFonts w:eastAsia="Times New Roman" w:cs="Times New Roman"/>
          <w:kern w:val="0"/>
          <w:szCs w:val="24"/>
          <w14:ligatures w14:val="none"/>
        </w:rPr>
        <w:t>Vol. 44 No. 3, pp. 1323–1344. https://doi.org/10.2466/pr0.1979.44.3c.1323</w:t>
      </w:r>
    </w:p>
    <w:p w14:paraId="70285E25" w14:textId="77777777" w:rsidR="0086443B" w:rsidRPr="00032E58" w:rsidRDefault="0086443B" w:rsidP="0086443B">
      <w:pPr>
        <w:spacing w:after="0" w:line="480" w:lineRule="auto"/>
        <w:ind w:left="720" w:hanging="720"/>
        <w:rPr>
          <w:rFonts w:eastAsia="Calibri" w:cs="Times New Roman"/>
          <w:kern w:val="0"/>
          <w:szCs w:val="24"/>
        </w:rPr>
      </w:pPr>
      <w:r w:rsidRPr="00032E58">
        <w:rPr>
          <w:rFonts w:eastAsia="Calibri" w:cs="Times New Roman"/>
          <w:kern w:val="0"/>
          <w:szCs w:val="24"/>
        </w:rPr>
        <w:t xml:space="preserve">Rai, A., and Maheshwari, S. (2020), "Exploring the mediating role of work engagement between the linkages of job characteristics with organizational engagement and job satisfaction", </w:t>
      </w:r>
      <w:r w:rsidRPr="00032E58">
        <w:rPr>
          <w:rFonts w:eastAsia="Calibri" w:cs="Times New Roman"/>
          <w:i/>
          <w:iCs/>
          <w:kern w:val="0"/>
          <w:szCs w:val="24"/>
        </w:rPr>
        <w:t>Management Research Review</w:t>
      </w:r>
      <w:r w:rsidRPr="00032E58">
        <w:rPr>
          <w:rFonts w:eastAsia="Calibri" w:cs="Times New Roman"/>
          <w:kern w:val="0"/>
          <w:szCs w:val="24"/>
        </w:rPr>
        <w:t xml:space="preserve">, Vol. 44 No. 1, pp. 133–157. https://doi.org/10.1108/MRR-10-2019-0442 </w:t>
      </w:r>
    </w:p>
    <w:p w14:paraId="57B0ACFF" w14:textId="77777777" w:rsidR="0086443B" w:rsidRPr="00691C88" w:rsidRDefault="0086443B" w:rsidP="0086443B">
      <w:pPr>
        <w:spacing w:after="0" w:line="480" w:lineRule="auto"/>
        <w:ind w:left="720" w:hanging="720"/>
        <w:rPr>
          <w:rFonts w:eastAsia="Times New Roman" w:cs="Times New Roman"/>
          <w:kern w:val="0"/>
          <w:szCs w:val="24"/>
          <w14:ligatures w14:val="none"/>
        </w:rPr>
      </w:pPr>
      <w:r w:rsidRPr="00691C88">
        <w:rPr>
          <w:rFonts w:eastAsia="Times New Roman" w:cs="Times New Roman"/>
          <w:kern w:val="0"/>
          <w:szCs w:val="24"/>
          <w14:ligatures w14:val="none"/>
        </w:rPr>
        <w:t xml:space="preserve">Rousseau, D. M. (1989), "Psychological and implied contracts in organizations", </w:t>
      </w:r>
      <w:r w:rsidRPr="00691C88">
        <w:rPr>
          <w:rFonts w:eastAsia="Times New Roman" w:cs="Times New Roman"/>
          <w:i/>
          <w:iCs/>
          <w:kern w:val="0"/>
          <w:szCs w:val="24"/>
          <w14:ligatures w14:val="none"/>
        </w:rPr>
        <w:t>Employee Responsibilities and Rights Journal,</w:t>
      </w:r>
      <w:r w:rsidRPr="00691C88">
        <w:rPr>
          <w:rFonts w:eastAsia="Times New Roman" w:cs="Times New Roman"/>
          <w:kern w:val="0"/>
          <w:szCs w:val="24"/>
          <w14:ligatures w14:val="none"/>
        </w:rPr>
        <w:t xml:space="preserve"> Vol. 2 No. 2, pp. 121–139. https://doi.org/10.1007/BF01384942</w:t>
      </w:r>
    </w:p>
    <w:p w14:paraId="2FE9A0B5" w14:textId="77777777" w:rsidR="0086443B" w:rsidRPr="000A7DD1" w:rsidRDefault="0086443B" w:rsidP="0086443B">
      <w:pPr>
        <w:spacing w:after="0" w:line="480" w:lineRule="auto"/>
        <w:ind w:left="720" w:hanging="720"/>
        <w:rPr>
          <w:rFonts w:eastAsia="Calibri" w:cs="Times New Roman"/>
          <w:kern w:val="0"/>
          <w:szCs w:val="24"/>
        </w:rPr>
      </w:pPr>
      <w:r w:rsidRPr="000A7DD1">
        <w:rPr>
          <w:rFonts w:eastAsia="Calibri" w:cs="Times New Roman"/>
          <w:kern w:val="0"/>
          <w:szCs w:val="24"/>
        </w:rPr>
        <w:t xml:space="preserve">Rubin, E. V. (2009), "The Role of Procedural Justice in Public Personnel Management: Empirical Results from the Department of Defense", </w:t>
      </w:r>
      <w:r w:rsidRPr="000A7DD1">
        <w:rPr>
          <w:rFonts w:eastAsia="Calibri" w:cs="Times New Roman"/>
          <w:i/>
          <w:iCs/>
          <w:kern w:val="0"/>
          <w:szCs w:val="24"/>
        </w:rPr>
        <w:t>Journal of Public Administration Research and Theory</w:t>
      </w:r>
      <w:r w:rsidRPr="000A7DD1">
        <w:rPr>
          <w:rFonts w:eastAsia="Calibri" w:cs="Times New Roman"/>
          <w:kern w:val="0"/>
          <w:szCs w:val="24"/>
        </w:rPr>
        <w:t xml:space="preserve">, Vol. 19 No. 1, pp. 125–143. https://doi.org/10.1093/jopart/mum035 </w:t>
      </w:r>
    </w:p>
    <w:p w14:paraId="30C71313" w14:textId="77777777" w:rsidR="0086443B" w:rsidRPr="001A42D0" w:rsidRDefault="0086443B" w:rsidP="0086443B">
      <w:pPr>
        <w:spacing w:after="0" w:line="480" w:lineRule="auto"/>
        <w:ind w:left="720" w:hanging="720"/>
        <w:rPr>
          <w:rFonts w:eastAsia="Times New Roman" w:cs="Times New Roman"/>
          <w:kern w:val="0"/>
          <w:szCs w:val="24"/>
          <w14:ligatures w14:val="none"/>
        </w:rPr>
      </w:pPr>
      <w:r w:rsidRPr="001A42D0">
        <w:rPr>
          <w:rFonts w:eastAsia="Times New Roman" w:cs="Times New Roman"/>
          <w:kern w:val="0"/>
          <w:szCs w:val="24"/>
          <w14:ligatures w14:val="none"/>
        </w:rPr>
        <w:t xml:space="preserve">Sabharwal, M. (2014), "Is Diversity Management Sufficient? Organizational Inclusion to Further Performance", </w:t>
      </w:r>
      <w:r w:rsidRPr="001A42D0">
        <w:rPr>
          <w:rFonts w:eastAsia="Times New Roman" w:cs="Times New Roman"/>
          <w:i/>
          <w:iCs/>
          <w:kern w:val="0"/>
          <w:szCs w:val="24"/>
          <w14:ligatures w14:val="none"/>
        </w:rPr>
        <w:t>Public Personnel Management,</w:t>
      </w:r>
      <w:r w:rsidRPr="001A42D0">
        <w:rPr>
          <w:rFonts w:eastAsia="Times New Roman" w:cs="Times New Roman"/>
          <w:kern w:val="0"/>
          <w:szCs w:val="24"/>
          <w14:ligatures w14:val="none"/>
        </w:rPr>
        <w:t xml:space="preserve"> Vol. 43 No. 2, pp. 197–217. https://doi.org/10.1177/0091026014522202</w:t>
      </w:r>
    </w:p>
    <w:p w14:paraId="60339924" w14:textId="77777777" w:rsidR="0086443B" w:rsidRPr="00B02175" w:rsidRDefault="0086443B" w:rsidP="0086443B">
      <w:pPr>
        <w:spacing w:after="0" w:line="480" w:lineRule="auto"/>
        <w:ind w:left="720" w:hanging="720"/>
        <w:rPr>
          <w:rFonts w:eastAsia="Times New Roman" w:cs="Times New Roman"/>
          <w:kern w:val="0"/>
          <w:szCs w:val="24"/>
          <w14:ligatures w14:val="none"/>
        </w:rPr>
      </w:pPr>
      <w:r w:rsidRPr="00B02175">
        <w:rPr>
          <w:rFonts w:eastAsia="Times New Roman" w:cs="Times New Roman"/>
          <w:kern w:val="0"/>
          <w:szCs w:val="24"/>
          <w14:ligatures w14:val="none"/>
        </w:rPr>
        <w:t xml:space="preserve">Schaufeli, W. B., </w:t>
      </w:r>
      <w:proofErr w:type="spellStart"/>
      <w:r w:rsidRPr="00B02175">
        <w:rPr>
          <w:rFonts w:eastAsia="Times New Roman" w:cs="Times New Roman"/>
          <w:kern w:val="0"/>
          <w:szCs w:val="24"/>
          <w14:ligatures w14:val="none"/>
        </w:rPr>
        <w:t>Salanova</w:t>
      </w:r>
      <w:proofErr w:type="spellEnd"/>
      <w:r w:rsidRPr="00B02175">
        <w:rPr>
          <w:rFonts w:eastAsia="Times New Roman" w:cs="Times New Roman"/>
          <w:kern w:val="0"/>
          <w:szCs w:val="24"/>
          <w14:ligatures w14:val="none"/>
        </w:rPr>
        <w:t>, M., González-</w:t>
      </w:r>
      <w:proofErr w:type="spellStart"/>
      <w:r w:rsidRPr="00B02175">
        <w:rPr>
          <w:rFonts w:eastAsia="Times New Roman" w:cs="Times New Roman"/>
          <w:kern w:val="0"/>
          <w:szCs w:val="24"/>
          <w14:ligatures w14:val="none"/>
        </w:rPr>
        <w:t>romá</w:t>
      </w:r>
      <w:proofErr w:type="spellEnd"/>
      <w:r w:rsidRPr="00B02175">
        <w:rPr>
          <w:rFonts w:eastAsia="Times New Roman" w:cs="Times New Roman"/>
          <w:kern w:val="0"/>
          <w:szCs w:val="24"/>
          <w14:ligatures w14:val="none"/>
        </w:rPr>
        <w:t xml:space="preserve">, V., and Bakker, A. B. (2002), "The Measurement of Engagement and Burnout: A Two Sample Confirmatory Factor Analytic Approach", </w:t>
      </w:r>
      <w:r w:rsidRPr="00B02175">
        <w:rPr>
          <w:rFonts w:eastAsia="Times New Roman" w:cs="Times New Roman"/>
          <w:i/>
          <w:iCs/>
          <w:kern w:val="0"/>
          <w:szCs w:val="24"/>
          <w14:ligatures w14:val="none"/>
        </w:rPr>
        <w:t>Journal of Happiness Studies,</w:t>
      </w:r>
      <w:r w:rsidRPr="00B02175">
        <w:rPr>
          <w:rFonts w:eastAsia="Times New Roman" w:cs="Times New Roman"/>
          <w:kern w:val="0"/>
          <w:szCs w:val="24"/>
          <w14:ligatures w14:val="none"/>
        </w:rPr>
        <w:t xml:space="preserve"> Vol. 3 No. 1, pp. 71–92. https://doi.org/10.1023/A:1015630930326</w:t>
      </w:r>
    </w:p>
    <w:p w14:paraId="3686E0BB" w14:textId="77777777" w:rsidR="0086443B" w:rsidRPr="006301AD" w:rsidRDefault="0086443B" w:rsidP="0086443B">
      <w:pPr>
        <w:spacing w:after="0" w:line="480" w:lineRule="auto"/>
        <w:ind w:left="720" w:hanging="720"/>
        <w:rPr>
          <w:rFonts w:eastAsia="Times New Roman" w:cs="Times New Roman"/>
          <w:kern w:val="0"/>
          <w:szCs w:val="24"/>
          <w14:ligatures w14:val="none"/>
        </w:rPr>
      </w:pPr>
      <w:r w:rsidRPr="006301AD">
        <w:rPr>
          <w:rFonts w:eastAsia="Times New Roman" w:cs="Times New Roman"/>
          <w:kern w:val="0"/>
          <w:szCs w:val="24"/>
          <w14:ligatures w14:val="none"/>
        </w:rPr>
        <w:lastRenderedPageBreak/>
        <w:t xml:space="preserve">Shore, L. M., Tetrick, L. E., Lynch, P., and Barksdale, K. (2006), "Social and Economic Exchange: Construct Development and Validation", </w:t>
      </w:r>
      <w:r w:rsidRPr="006301AD">
        <w:rPr>
          <w:rFonts w:eastAsia="Times New Roman" w:cs="Times New Roman"/>
          <w:i/>
          <w:iCs/>
          <w:kern w:val="0"/>
          <w:szCs w:val="24"/>
          <w14:ligatures w14:val="none"/>
        </w:rPr>
        <w:t>Journal of Applied Social Psychology, Vol</w:t>
      </w:r>
      <w:r w:rsidRPr="006301AD">
        <w:rPr>
          <w:rFonts w:eastAsia="Times New Roman" w:cs="Times New Roman"/>
          <w:kern w:val="0"/>
          <w:szCs w:val="24"/>
          <w14:ligatures w14:val="none"/>
        </w:rPr>
        <w:t>. 36 No. 4, pp. 837–867. https://doi.org/10.1111/j.0021-9029.2006.00046.x</w:t>
      </w:r>
    </w:p>
    <w:p w14:paraId="6F6839ED" w14:textId="77777777" w:rsidR="0086443B" w:rsidRPr="0074344C" w:rsidRDefault="0086443B" w:rsidP="0086443B">
      <w:pPr>
        <w:spacing w:after="0" w:line="480" w:lineRule="auto"/>
        <w:ind w:left="720" w:hanging="720"/>
        <w:rPr>
          <w:rFonts w:eastAsia="Calibri" w:cs="Times New Roman"/>
          <w:kern w:val="0"/>
          <w:szCs w:val="24"/>
        </w:rPr>
      </w:pPr>
      <w:proofErr w:type="spellStart"/>
      <w:r w:rsidRPr="0074344C">
        <w:rPr>
          <w:rFonts w:eastAsia="Calibri" w:cs="Times New Roman"/>
          <w:kern w:val="0"/>
          <w:szCs w:val="24"/>
          <w:lang w:val="fr-FR"/>
        </w:rPr>
        <w:t>Soltis</w:t>
      </w:r>
      <w:proofErr w:type="spellEnd"/>
      <w:r w:rsidRPr="0074344C">
        <w:rPr>
          <w:rFonts w:eastAsia="Calibri" w:cs="Times New Roman"/>
          <w:kern w:val="0"/>
          <w:szCs w:val="24"/>
          <w:lang w:val="fr-FR"/>
        </w:rPr>
        <w:t xml:space="preserve">, S. M., </w:t>
      </w:r>
      <w:proofErr w:type="spellStart"/>
      <w:r w:rsidRPr="0074344C">
        <w:rPr>
          <w:rFonts w:eastAsia="Calibri" w:cs="Times New Roman"/>
          <w:kern w:val="0"/>
          <w:szCs w:val="24"/>
          <w:lang w:val="fr-FR"/>
        </w:rPr>
        <w:t>Agneessens</w:t>
      </w:r>
      <w:proofErr w:type="spellEnd"/>
      <w:r w:rsidRPr="0074344C">
        <w:rPr>
          <w:rFonts w:eastAsia="Calibri" w:cs="Times New Roman"/>
          <w:kern w:val="0"/>
          <w:szCs w:val="24"/>
          <w:lang w:val="fr-FR"/>
        </w:rPr>
        <w:t xml:space="preserve">, F., </w:t>
      </w:r>
      <w:proofErr w:type="spellStart"/>
      <w:r w:rsidRPr="0074344C">
        <w:rPr>
          <w:rFonts w:eastAsia="Calibri" w:cs="Times New Roman"/>
          <w:kern w:val="0"/>
          <w:szCs w:val="24"/>
          <w:lang w:val="fr-FR"/>
        </w:rPr>
        <w:t>Sasovova</w:t>
      </w:r>
      <w:proofErr w:type="spellEnd"/>
      <w:r w:rsidRPr="0074344C">
        <w:rPr>
          <w:rFonts w:eastAsia="Calibri" w:cs="Times New Roman"/>
          <w:kern w:val="0"/>
          <w:szCs w:val="24"/>
          <w:lang w:val="fr-FR"/>
        </w:rPr>
        <w:t xml:space="preserve">, Z., and </w:t>
      </w:r>
      <w:proofErr w:type="spellStart"/>
      <w:r w:rsidRPr="0074344C">
        <w:rPr>
          <w:rFonts w:eastAsia="Calibri" w:cs="Times New Roman"/>
          <w:kern w:val="0"/>
          <w:szCs w:val="24"/>
          <w:lang w:val="fr-FR"/>
        </w:rPr>
        <w:t>Labianca</w:t>
      </w:r>
      <w:proofErr w:type="spellEnd"/>
      <w:r w:rsidRPr="0074344C">
        <w:rPr>
          <w:rFonts w:eastAsia="Calibri" w:cs="Times New Roman"/>
          <w:kern w:val="0"/>
          <w:szCs w:val="24"/>
          <w:lang w:val="fr-FR"/>
        </w:rPr>
        <w:t xml:space="preserve">, G. (Joe). </w:t>
      </w:r>
      <w:r w:rsidRPr="0074344C">
        <w:rPr>
          <w:rFonts w:eastAsia="Calibri" w:cs="Times New Roman"/>
          <w:kern w:val="0"/>
          <w:szCs w:val="24"/>
        </w:rPr>
        <w:t xml:space="preserve">(2013), "A Social Network Perspective on Turnover Intentions: The Role of Distributive Justice and Social Support", </w:t>
      </w:r>
      <w:r w:rsidRPr="0074344C">
        <w:rPr>
          <w:rFonts w:eastAsia="Calibri" w:cs="Times New Roman"/>
          <w:i/>
          <w:iCs/>
          <w:kern w:val="0"/>
          <w:szCs w:val="24"/>
        </w:rPr>
        <w:t>Human Resource Management</w:t>
      </w:r>
      <w:r w:rsidRPr="0074344C">
        <w:rPr>
          <w:rFonts w:eastAsia="Calibri" w:cs="Times New Roman"/>
          <w:kern w:val="0"/>
          <w:szCs w:val="24"/>
        </w:rPr>
        <w:t xml:space="preserve">, Vol. 52 No. 4, pp. 561–584. https://doi.org/10.1002/hrm.21542 </w:t>
      </w:r>
    </w:p>
    <w:p w14:paraId="0C832AB1" w14:textId="77777777" w:rsidR="0086443B" w:rsidRPr="001D5BD2" w:rsidRDefault="0086443B" w:rsidP="0086443B">
      <w:pPr>
        <w:spacing w:after="0" w:line="480" w:lineRule="auto"/>
        <w:ind w:left="720" w:hanging="720"/>
        <w:rPr>
          <w:rFonts w:eastAsia="Times New Roman" w:cs="Times New Roman"/>
          <w:kern w:val="0"/>
          <w:szCs w:val="24"/>
          <w14:ligatures w14:val="none"/>
        </w:rPr>
      </w:pPr>
      <w:r w:rsidRPr="001D5BD2">
        <w:rPr>
          <w:rFonts w:eastAsia="Times New Roman" w:cs="Times New Roman"/>
          <w:kern w:val="0"/>
          <w:szCs w:val="24"/>
          <w14:ligatures w14:val="none"/>
        </w:rPr>
        <w:t>Stewart, R., Volpone, S. D., Avery, D. R., and McKay, P. (2011), "You Support Diversity, But Are You Ethical</w:t>
      </w:r>
      <w:proofErr w:type="gramStart"/>
      <w:r w:rsidRPr="001D5BD2">
        <w:rPr>
          <w:rFonts w:eastAsia="Times New Roman" w:cs="Times New Roman"/>
          <w:kern w:val="0"/>
          <w:szCs w:val="24"/>
          <w14:ligatures w14:val="none"/>
        </w:rPr>
        <w:t>?</w:t>
      </w:r>
      <w:proofErr w:type="gramEnd"/>
      <w:r w:rsidRPr="001D5BD2">
        <w:rPr>
          <w:rFonts w:eastAsia="Times New Roman" w:cs="Times New Roman"/>
          <w:kern w:val="0"/>
          <w:szCs w:val="24"/>
          <w14:ligatures w14:val="none"/>
        </w:rPr>
        <w:t xml:space="preserve"> Examining the Interactive Effects of Diversity and Ethical Climate Perceptions on Turnover Intentions", </w:t>
      </w:r>
      <w:r w:rsidRPr="001D5BD2">
        <w:rPr>
          <w:rFonts w:eastAsia="Times New Roman" w:cs="Times New Roman"/>
          <w:i/>
          <w:iCs/>
          <w:kern w:val="0"/>
          <w:szCs w:val="24"/>
          <w14:ligatures w14:val="none"/>
        </w:rPr>
        <w:t>Journal of Business Ethics</w:t>
      </w:r>
      <w:r w:rsidRPr="001D5BD2">
        <w:rPr>
          <w:rFonts w:eastAsia="Times New Roman" w:cs="Times New Roman"/>
          <w:kern w:val="0"/>
          <w:szCs w:val="24"/>
          <w14:ligatures w14:val="none"/>
        </w:rPr>
        <w:t>, Vol. 100 No. 4, pp. 581–593. https://doi.org/10.1007/s10551-010-0697-5</w:t>
      </w:r>
    </w:p>
    <w:p w14:paraId="1F0989DE" w14:textId="77777777" w:rsidR="0086443B" w:rsidRPr="00A67904" w:rsidRDefault="0086443B" w:rsidP="0086443B">
      <w:pPr>
        <w:spacing w:after="0" w:line="480" w:lineRule="auto"/>
        <w:ind w:left="720" w:hanging="720"/>
        <w:rPr>
          <w:rFonts w:eastAsia="Times New Roman" w:cs="Times New Roman"/>
          <w:kern w:val="0"/>
          <w:szCs w:val="24"/>
          <w14:ligatures w14:val="none"/>
        </w:rPr>
      </w:pPr>
      <w:proofErr w:type="spellStart"/>
      <w:r w:rsidRPr="00A67904">
        <w:rPr>
          <w:rFonts w:eastAsia="Times New Roman" w:cs="Times New Roman"/>
          <w:kern w:val="0"/>
          <w:szCs w:val="24"/>
          <w14:ligatures w14:val="none"/>
        </w:rPr>
        <w:t>Tavangarmarvasti</w:t>
      </w:r>
      <w:proofErr w:type="spellEnd"/>
      <w:r w:rsidRPr="00A67904">
        <w:rPr>
          <w:rFonts w:eastAsia="Times New Roman" w:cs="Times New Roman"/>
          <w:kern w:val="0"/>
          <w:szCs w:val="24"/>
          <w14:ligatures w14:val="none"/>
        </w:rPr>
        <w:t xml:space="preserve">, Z., </w:t>
      </w:r>
      <w:proofErr w:type="spellStart"/>
      <w:r w:rsidRPr="00A67904">
        <w:rPr>
          <w:rFonts w:eastAsia="Times New Roman" w:cs="Times New Roman"/>
          <w:kern w:val="0"/>
          <w:szCs w:val="24"/>
          <w14:ligatures w14:val="none"/>
        </w:rPr>
        <w:t>Mohmadifar</w:t>
      </w:r>
      <w:proofErr w:type="spellEnd"/>
      <w:r w:rsidRPr="00A67904">
        <w:rPr>
          <w:rFonts w:eastAsia="Times New Roman" w:cs="Times New Roman"/>
          <w:kern w:val="0"/>
          <w:szCs w:val="24"/>
          <w14:ligatures w14:val="none"/>
        </w:rPr>
        <w:t xml:space="preserve">, M. A., and </w:t>
      </w:r>
      <w:proofErr w:type="spellStart"/>
      <w:r w:rsidRPr="00A67904">
        <w:rPr>
          <w:rFonts w:eastAsia="Times New Roman" w:cs="Times New Roman"/>
          <w:kern w:val="0"/>
          <w:szCs w:val="24"/>
          <w14:ligatures w14:val="none"/>
        </w:rPr>
        <w:t>Aminbaidokhti</w:t>
      </w:r>
      <w:proofErr w:type="spellEnd"/>
      <w:r w:rsidRPr="00A67904">
        <w:rPr>
          <w:rFonts w:eastAsia="Times New Roman" w:cs="Times New Roman"/>
          <w:kern w:val="0"/>
          <w:szCs w:val="24"/>
          <w14:ligatures w14:val="none"/>
        </w:rPr>
        <w:t xml:space="preserve">, A. A. (2020), "Designing a structural model of organizational justice, determining antecedents (organizational climate, emotional intelligence, organizational ethical values) and outcomes (organizational entrepreneurship)", </w:t>
      </w:r>
      <w:r w:rsidRPr="00A67904">
        <w:rPr>
          <w:rFonts w:eastAsia="Times New Roman" w:cs="Times New Roman"/>
          <w:i/>
          <w:iCs/>
          <w:kern w:val="0"/>
          <w:szCs w:val="24"/>
          <w14:ligatures w14:val="none"/>
        </w:rPr>
        <w:t>Journal of Psychological Science</w:t>
      </w:r>
      <w:r w:rsidRPr="00A67904">
        <w:rPr>
          <w:rFonts w:eastAsia="Times New Roman" w:cs="Times New Roman"/>
          <w:kern w:val="0"/>
          <w:szCs w:val="24"/>
          <w14:ligatures w14:val="none"/>
        </w:rPr>
        <w:t>, Vol. 19 No. 86, pp. 171–181.</w:t>
      </w:r>
    </w:p>
    <w:p w14:paraId="4BFABAA7" w14:textId="77777777" w:rsidR="0086443B" w:rsidRPr="0009364C" w:rsidRDefault="0086443B" w:rsidP="0086443B">
      <w:pPr>
        <w:spacing w:after="0" w:line="480" w:lineRule="auto"/>
        <w:ind w:left="720" w:hanging="720"/>
        <w:rPr>
          <w:rFonts w:eastAsia="Times New Roman" w:cs="Times New Roman"/>
          <w:kern w:val="0"/>
          <w:szCs w:val="24"/>
          <w14:ligatures w14:val="none"/>
        </w:rPr>
      </w:pPr>
      <w:r w:rsidRPr="0009364C">
        <w:rPr>
          <w:rFonts w:eastAsia="Times New Roman" w:cs="Times New Roman"/>
          <w:kern w:val="0"/>
          <w:szCs w:val="24"/>
          <w14:ligatures w14:val="none"/>
        </w:rPr>
        <w:t xml:space="preserve">Tett, R. P., and Meyer, J. P. (2006), "JOB SATISFACTION, ORGANIZATIONAL COMMITMENT, TURNOVER INTENTION, AND TURNOVER: PATH ANALYSES BASED ON META-ANALYTIC FINDINGS", </w:t>
      </w:r>
      <w:r w:rsidRPr="0009364C">
        <w:rPr>
          <w:rFonts w:eastAsia="Times New Roman" w:cs="Times New Roman"/>
          <w:i/>
          <w:iCs/>
          <w:kern w:val="0"/>
          <w:szCs w:val="24"/>
          <w14:ligatures w14:val="none"/>
        </w:rPr>
        <w:t>Personnel Psychology</w:t>
      </w:r>
      <w:r w:rsidRPr="0009364C">
        <w:rPr>
          <w:rFonts w:eastAsia="Times New Roman" w:cs="Times New Roman"/>
          <w:kern w:val="0"/>
          <w:szCs w:val="24"/>
          <w14:ligatures w14:val="none"/>
        </w:rPr>
        <w:t>, Vol. 46 No. 2, pp. 259–293. https://doi.org/10.1111/j.1744-6570.1993.tb00874.x</w:t>
      </w:r>
    </w:p>
    <w:p w14:paraId="6CD76A90" w14:textId="77777777" w:rsidR="0086443B" w:rsidRPr="00CA5D6C" w:rsidRDefault="0086443B" w:rsidP="0086443B">
      <w:pPr>
        <w:spacing w:after="0" w:line="480" w:lineRule="auto"/>
        <w:ind w:left="720" w:hanging="720"/>
        <w:rPr>
          <w:rFonts w:eastAsia="Calibri" w:cs="Times New Roman"/>
          <w:kern w:val="0"/>
          <w:szCs w:val="24"/>
        </w:rPr>
      </w:pPr>
      <w:r w:rsidRPr="00CA5D6C">
        <w:rPr>
          <w:rFonts w:eastAsia="Calibri" w:cs="Times New Roman"/>
          <w:kern w:val="0"/>
          <w:szCs w:val="24"/>
        </w:rPr>
        <w:lastRenderedPageBreak/>
        <w:t xml:space="preserve">Tran, T. B. H., and Choi, S. B. (2019), "Effects of inclusive leadership on organizational citizenship behavior: The mediating roles of organizational justice and learning culture", </w:t>
      </w:r>
      <w:r w:rsidRPr="00CA5D6C">
        <w:rPr>
          <w:rFonts w:eastAsia="Calibri" w:cs="Times New Roman"/>
          <w:i/>
          <w:iCs/>
          <w:kern w:val="0"/>
          <w:szCs w:val="24"/>
        </w:rPr>
        <w:t>Journal of Pacific Rim Psychology</w:t>
      </w:r>
      <w:r w:rsidRPr="00CA5D6C">
        <w:rPr>
          <w:rFonts w:eastAsia="Calibri" w:cs="Times New Roman"/>
          <w:kern w:val="0"/>
          <w:szCs w:val="24"/>
        </w:rPr>
        <w:t xml:space="preserve">, Vol. 13 No. 17. https://doi.org/10.1017/prp.2019.10 </w:t>
      </w:r>
    </w:p>
    <w:p w14:paraId="1F20049C" w14:textId="77777777" w:rsidR="0086443B" w:rsidRPr="008202AA" w:rsidRDefault="0086443B" w:rsidP="0086443B">
      <w:pPr>
        <w:spacing w:after="0" w:line="480" w:lineRule="auto"/>
        <w:ind w:left="720" w:hanging="720"/>
        <w:rPr>
          <w:rFonts w:eastAsia="Times New Roman" w:cs="Times New Roman"/>
          <w:kern w:val="0"/>
          <w:szCs w:val="24"/>
          <w14:ligatures w14:val="none"/>
        </w:rPr>
      </w:pPr>
      <w:r w:rsidRPr="008202AA">
        <w:rPr>
          <w:rFonts w:eastAsia="Times New Roman" w:cs="Times New Roman"/>
          <w:kern w:val="0"/>
          <w:szCs w:val="24"/>
          <w14:ligatures w14:val="none"/>
        </w:rPr>
        <w:t>Triana, M. del C., and García, M. F. (2009), "Valuing diversity: A group-value approach to understanding the importance of organizational efforts to support diversity",</w:t>
      </w:r>
      <w:r w:rsidRPr="008202AA">
        <w:rPr>
          <w:rFonts w:eastAsia="Times New Roman" w:cs="Times New Roman"/>
          <w:i/>
          <w:iCs/>
          <w:kern w:val="0"/>
          <w:szCs w:val="24"/>
          <w14:ligatures w14:val="none"/>
        </w:rPr>
        <w:t xml:space="preserve"> Journal of Organizational Behavior,</w:t>
      </w:r>
      <w:r w:rsidRPr="008202AA">
        <w:rPr>
          <w:rFonts w:eastAsia="Times New Roman" w:cs="Times New Roman"/>
          <w:kern w:val="0"/>
          <w:szCs w:val="24"/>
          <w14:ligatures w14:val="none"/>
        </w:rPr>
        <w:t xml:space="preserve"> Vol. 30 No. 7, pp. 941–962. https://doi.org/10.1002/job.598</w:t>
      </w:r>
    </w:p>
    <w:p w14:paraId="2A5D9689" w14:textId="77777777" w:rsidR="0086443B" w:rsidRPr="00310287" w:rsidRDefault="0086443B" w:rsidP="0086443B">
      <w:pPr>
        <w:spacing w:after="0" w:line="480" w:lineRule="auto"/>
        <w:ind w:left="720" w:hanging="720"/>
        <w:rPr>
          <w:rFonts w:eastAsia="Calibri" w:cs="Times New Roman"/>
          <w:kern w:val="0"/>
          <w:szCs w:val="24"/>
        </w:rPr>
      </w:pPr>
      <w:proofErr w:type="spellStart"/>
      <w:r w:rsidRPr="00310287">
        <w:rPr>
          <w:rFonts w:eastAsia="Calibri" w:cs="Times New Roman"/>
          <w:kern w:val="0"/>
          <w:szCs w:val="24"/>
        </w:rPr>
        <w:t>Uhunoma</w:t>
      </w:r>
      <w:proofErr w:type="spellEnd"/>
      <w:r w:rsidRPr="00310287">
        <w:rPr>
          <w:rFonts w:eastAsia="Calibri" w:cs="Times New Roman"/>
          <w:kern w:val="0"/>
          <w:szCs w:val="24"/>
        </w:rPr>
        <w:t xml:space="preserve">, O., Lim, D. H., and Kim, W. (2020), "The mediating role of informal learning on work engagement: Older workers in the US public sector", </w:t>
      </w:r>
      <w:r w:rsidRPr="00310287">
        <w:rPr>
          <w:rFonts w:eastAsia="Calibri" w:cs="Times New Roman"/>
          <w:i/>
          <w:iCs/>
          <w:kern w:val="0"/>
          <w:szCs w:val="24"/>
        </w:rPr>
        <w:t>European Journal of Training and Development</w:t>
      </w:r>
      <w:r w:rsidRPr="00310287">
        <w:rPr>
          <w:rFonts w:eastAsia="Calibri" w:cs="Times New Roman"/>
          <w:kern w:val="0"/>
          <w:szCs w:val="24"/>
        </w:rPr>
        <w:t xml:space="preserve">, Vol. 45 No. 2/3, pp. 200–217. https://doi.org/10.1108/EJTD-04-2020-0062 </w:t>
      </w:r>
    </w:p>
    <w:p w14:paraId="6364D2A5" w14:textId="77777777" w:rsidR="0086443B" w:rsidRPr="007F01C5" w:rsidRDefault="0086443B" w:rsidP="0086443B">
      <w:pPr>
        <w:spacing w:after="0" w:line="480" w:lineRule="auto"/>
        <w:ind w:left="720" w:hanging="720"/>
        <w:rPr>
          <w:rFonts w:eastAsia="Calibri" w:cs="Times New Roman"/>
          <w:kern w:val="0"/>
          <w:szCs w:val="24"/>
        </w:rPr>
      </w:pPr>
      <w:r w:rsidRPr="007F01C5">
        <w:rPr>
          <w:rFonts w:eastAsia="Calibri" w:cs="Times New Roman"/>
          <w:kern w:val="0"/>
          <w:szCs w:val="24"/>
        </w:rPr>
        <w:t xml:space="preserve">Wang, X., </w:t>
      </w:r>
      <w:proofErr w:type="spellStart"/>
      <w:r w:rsidRPr="007F01C5">
        <w:rPr>
          <w:rFonts w:eastAsia="Calibri" w:cs="Times New Roman"/>
          <w:kern w:val="0"/>
          <w:szCs w:val="24"/>
        </w:rPr>
        <w:t>Guchait</w:t>
      </w:r>
      <w:proofErr w:type="spellEnd"/>
      <w:r w:rsidRPr="007F01C5">
        <w:rPr>
          <w:rFonts w:eastAsia="Calibri" w:cs="Times New Roman"/>
          <w:kern w:val="0"/>
          <w:szCs w:val="24"/>
        </w:rPr>
        <w:t xml:space="preserve">, P., Lee, J., and Back, K.-J. (2019), "The importance of psychological safety and perceived fairness among hotel employees: The examination of antecedent and outcome variables", </w:t>
      </w:r>
      <w:r w:rsidRPr="007F01C5">
        <w:rPr>
          <w:rFonts w:eastAsia="Calibri" w:cs="Times New Roman"/>
          <w:i/>
          <w:iCs/>
          <w:kern w:val="0"/>
          <w:szCs w:val="24"/>
        </w:rPr>
        <w:t xml:space="preserve">Journal of Human Resources in Hospitality </w:t>
      </w:r>
      <w:r w:rsidRPr="007F01C5">
        <w:rPr>
          <w:rFonts w:eastAsia="Calibri" w:cs="Times New Roman"/>
          <w:iCs/>
          <w:kern w:val="0"/>
          <w:szCs w:val="24"/>
        </w:rPr>
        <w:t>and</w:t>
      </w:r>
      <w:r w:rsidRPr="007F01C5">
        <w:rPr>
          <w:rFonts w:eastAsia="Calibri" w:cs="Times New Roman"/>
          <w:i/>
          <w:iCs/>
          <w:kern w:val="0"/>
          <w:szCs w:val="24"/>
        </w:rPr>
        <w:t xml:space="preserve"> Tourism</w:t>
      </w:r>
      <w:r w:rsidRPr="007F01C5">
        <w:rPr>
          <w:rFonts w:eastAsia="Calibri" w:cs="Times New Roman"/>
          <w:kern w:val="0"/>
          <w:szCs w:val="24"/>
        </w:rPr>
        <w:t xml:space="preserve">, Vol. 18 No. 4, pp. 504–528. https://doi.org/10.1080/15332845.2019.1626964 </w:t>
      </w:r>
    </w:p>
    <w:p w14:paraId="2DF1EBB8" w14:textId="77777777" w:rsidR="0086443B" w:rsidRPr="00D529CA" w:rsidRDefault="0086443B" w:rsidP="0086443B">
      <w:pPr>
        <w:spacing w:after="0" w:line="480" w:lineRule="auto"/>
        <w:ind w:left="720" w:hanging="720"/>
        <w:rPr>
          <w:rFonts w:eastAsia="Times New Roman" w:cs="Times New Roman"/>
          <w:kern w:val="0"/>
          <w:szCs w:val="24"/>
          <w14:ligatures w14:val="none"/>
        </w:rPr>
      </w:pPr>
      <w:r w:rsidRPr="00D529CA">
        <w:rPr>
          <w:rFonts w:eastAsia="Times New Roman" w:cs="Times New Roman"/>
          <w:kern w:val="0"/>
          <w:szCs w:val="24"/>
          <w14:ligatures w14:val="none"/>
        </w:rPr>
        <w:t xml:space="preserve">Wayne, S., Shore, L., and Liden, R. (1997), "Perceived Organizational Support and Leader-Member Exchange: A Social Exchange Perspective", </w:t>
      </w:r>
      <w:r w:rsidRPr="00D529CA">
        <w:rPr>
          <w:rFonts w:eastAsia="Times New Roman" w:cs="Times New Roman"/>
          <w:i/>
          <w:iCs/>
          <w:kern w:val="0"/>
          <w:szCs w:val="24"/>
          <w14:ligatures w14:val="none"/>
        </w:rPr>
        <w:t xml:space="preserve">Academy of Management Journal, </w:t>
      </w:r>
      <w:r w:rsidRPr="00D529CA">
        <w:rPr>
          <w:rFonts w:eastAsia="Times New Roman" w:cs="Times New Roman"/>
          <w:kern w:val="0"/>
          <w:szCs w:val="24"/>
          <w14:ligatures w14:val="none"/>
        </w:rPr>
        <w:t>Vol. 40, pp. 82–111. https://doi.org/10.2307/257021</w:t>
      </w:r>
    </w:p>
    <w:p w14:paraId="34ECBB46" w14:textId="77777777" w:rsidR="0086443B" w:rsidRPr="00D529CA" w:rsidRDefault="0086443B" w:rsidP="0086443B">
      <w:pPr>
        <w:spacing w:after="0" w:line="480" w:lineRule="auto"/>
        <w:ind w:left="720" w:hanging="720"/>
        <w:rPr>
          <w:rFonts w:eastAsia="Times New Roman" w:cs="Times New Roman"/>
          <w:kern w:val="0"/>
          <w:szCs w:val="24"/>
          <w14:ligatures w14:val="none"/>
        </w:rPr>
      </w:pPr>
      <w:r w:rsidRPr="00D529CA">
        <w:rPr>
          <w:rFonts w:eastAsia="Times New Roman" w:cs="Times New Roman"/>
          <w:kern w:val="0"/>
          <w:szCs w:val="24"/>
          <w14:ligatures w14:val="none"/>
        </w:rPr>
        <w:t xml:space="preserve">Wayne, S., Shore, L., Bommer, W., and Tetrick, L. (2002), "The Role of Fair Treatment and Rewards in Perceptions of Organizational Support and Leader-Member Exchange", </w:t>
      </w:r>
      <w:r w:rsidRPr="00D529CA">
        <w:rPr>
          <w:rFonts w:eastAsia="Times New Roman" w:cs="Times New Roman"/>
          <w:i/>
          <w:iCs/>
          <w:kern w:val="0"/>
          <w:szCs w:val="24"/>
          <w14:ligatures w14:val="none"/>
        </w:rPr>
        <w:t>The Journal of Applied Psychology,</w:t>
      </w:r>
      <w:r w:rsidRPr="00D529CA">
        <w:rPr>
          <w:rFonts w:eastAsia="Times New Roman" w:cs="Times New Roman"/>
          <w:kern w:val="0"/>
          <w:szCs w:val="24"/>
          <w14:ligatures w14:val="none"/>
        </w:rPr>
        <w:t xml:space="preserve"> Vol. 87, pp. 590–598. https://doi.org/10.1037//0021-9010.87.3.590</w:t>
      </w:r>
    </w:p>
    <w:p w14:paraId="78D94691" w14:textId="77777777" w:rsidR="0086443B" w:rsidRPr="00993400" w:rsidRDefault="0086443B" w:rsidP="0086443B">
      <w:pPr>
        <w:spacing w:after="0" w:line="480" w:lineRule="auto"/>
        <w:ind w:left="720" w:hanging="720"/>
        <w:rPr>
          <w:rFonts w:eastAsia="Calibri" w:cs="Times New Roman"/>
          <w:kern w:val="0"/>
          <w:szCs w:val="24"/>
        </w:rPr>
      </w:pPr>
      <w:r w:rsidRPr="00993400">
        <w:rPr>
          <w:rFonts w:eastAsia="Calibri" w:cs="Times New Roman"/>
          <w:kern w:val="0"/>
          <w:szCs w:val="24"/>
        </w:rPr>
        <w:lastRenderedPageBreak/>
        <w:t xml:space="preserve">Wolfe, S. E., Rojek, J., Manjarrez, V. M., and Rojek, A. (2018), "Why does organizational justice matter? Uncertainty management among law enforcement officers", </w:t>
      </w:r>
      <w:r w:rsidRPr="00993400">
        <w:rPr>
          <w:rFonts w:eastAsia="Calibri" w:cs="Times New Roman"/>
          <w:i/>
          <w:iCs/>
          <w:kern w:val="0"/>
          <w:szCs w:val="24"/>
        </w:rPr>
        <w:t>Journal of Criminal Justice</w:t>
      </w:r>
      <w:r w:rsidRPr="00993400">
        <w:rPr>
          <w:rFonts w:eastAsia="Calibri" w:cs="Times New Roman"/>
          <w:kern w:val="0"/>
          <w:szCs w:val="24"/>
        </w:rPr>
        <w:t>, Vol. 54, pp. 20–29. https://doi.org/10.1016/j.jcrimjus.2017.11.003</w:t>
      </w:r>
    </w:p>
    <w:p w14:paraId="42751639" w14:textId="77777777" w:rsidR="0086443B" w:rsidRPr="005D3B78" w:rsidRDefault="0086443B" w:rsidP="0086443B">
      <w:pPr>
        <w:spacing w:after="0" w:line="480" w:lineRule="auto"/>
        <w:ind w:left="720" w:hanging="720"/>
        <w:rPr>
          <w:rFonts w:eastAsia="Calibri" w:cs="Times New Roman"/>
          <w:kern w:val="0"/>
          <w:szCs w:val="24"/>
        </w:rPr>
      </w:pPr>
      <w:r w:rsidRPr="005D3B78">
        <w:rPr>
          <w:rFonts w:eastAsia="Calibri" w:cs="Times New Roman"/>
          <w:kern w:val="0"/>
          <w:szCs w:val="24"/>
        </w:rPr>
        <w:t xml:space="preserve">Wushe, T., and </w:t>
      </w:r>
      <w:proofErr w:type="spellStart"/>
      <w:r w:rsidRPr="005D3B78">
        <w:rPr>
          <w:rFonts w:eastAsia="Calibri" w:cs="Times New Roman"/>
          <w:kern w:val="0"/>
          <w:szCs w:val="24"/>
        </w:rPr>
        <w:t>Shenje</w:t>
      </w:r>
      <w:proofErr w:type="spellEnd"/>
      <w:r w:rsidRPr="005D3B78">
        <w:rPr>
          <w:rFonts w:eastAsia="Calibri" w:cs="Times New Roman"/>
          <w:kern w:val="0"/>
          <w:szCs w:val="24"/>
        </w:rPr>
        <w:t xml:space="preserve">, J. (2019), "The antecedents of employee engagement and their effect on public sector service delivery: The case study of government departments in Harare", </w:t>
      </w:r>
      <w:r w:rsidRPr="005D3B78">
        <w:rPr>
          <w:rFonts w:eastAsia="Calibri" w:cs="Times New Roman"/>
          <w:i/>
          <w:iCs/>
          <w:kern w:val="0"/>
          <w:szCs w:val="24"/>
        </w:rPr>
        <w:t>SA Journal of Human Resource Management</w:t>
      </w:r>
      <w:r w:rsidRPr="005D3B78">
        <w:rPr>
          <w:rFonts w:eastAsia="Calibri" w:cs="Times New Roman"/>
          <w:kern w:val="0"/>
          <w:szCs w:val="24"/>
        </w:rPr>
        <w:t xml:space="preserve">, Vol. 17 No. 1, pp. 1–11. https://doi.org/10.4102/sajhrm.v17i0.1082 </w:t>
      </w:r>
    </w:p>
    <w:p w14:paraId="20E251C4" w14:textId="77777777" w:rsidR="0086443B" w:rsidRPr="00E8321A" w:rsidRDefault="0086443B" w:rsidP="0086443B">
      <w:pPr>
        <w:spacing w:after="0" w:line="480" w:lineRule="auto"/>
        <w:ind w:left="720" w:hanging="720"/>
        <w:rPr>
          <w:rFonts w:eastAsia="Calibri" w:cs="Times New Roman"/>
          <w:kern w:val="0"/>
          <w:szCs w:val="24"/>
        </w:rPr>
      </w:pPr>
      <w:r w:rsidRPr="00E8321A">
        <w:rPr>
          <w:rFonts w:eastAsia="Calibri" w:cs="Times New Roman"/>
          <w:kern w:val="0"/>
          <w:szCs w:val="24"/>
        </w:rPr>
        <w:t xml:space="preserve">Yardan, E., Durukan Köse, S., and Köse, T. (2014), “The Effect of Employees’ Perceptions of Organizational Justice on Organizational Citizenship Behavior: An Application in Turkish Public Hospital”, </w:t>
      </w:r>
      <w:r w:rsidRPr="00E8321A">
        <w:rPr>
          <w:rFonts w:eastAsia="Calibri" w:cs="Times New Roman"/>
          <w:i/>
          <w:iCs/>
          <w:kern w:val="0"/>
          <w:szCs w:val="24"/>
        </w:rPr>
        <w:t>Journal of Human Resources Management and Labor Studies</w:t>
      </w:r>
      <w:r w:rsidRPr="00E8321A">
        <w:rPr>
          <w:rFonts w:eastAsia="Calibri" w:cs="Times New Roman"/>
          <w:kern w:val="0"/>
          <w:szCs w:val="24"/>
        </w:rPr>
        <w:t>, Vol. 2.</w:t>
      </w:r>
    </w:p>
    <w:p w14:paraId="25678381" w14:textId="77777777" w:rsidR="0086443B" w:rsidRDefault="0086443B" w:rsidP="0086443B"/>
    <w:p w14:paraId="3AC260A9" w14:textId="5E04E026" w:rsidR="00D229A2" w:rsidRPr="00D229A2" w:rsidRDefault="00D229A2" w:rsidP="00D229A2"/>
    <w:sectPr w:rsidR="00D229A2" w:rsidRPr="00D229A2" w:rsidSect="00261B2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9A2"/>
    <w:rsid w:val="000206C1"/>
    <w:rsid w:val="00025DAE"/>
    <w:rsid w:val="00065D88"/>
    <w:rsid w:val="00072FC8"/>
    <w:rsid w:val="000802FB"/>
    <w:rsid w:val="00084E0B"/>
    <w:rsid w:val="000E77EE"/>
    <w:rsid w:val="00132CFF"/>
    <w:rsid w:val="00181AD5"/>
    <w:rsid w:val="001B756B"/>
    <w:rsid w:val="001D6D72"/>
    <w:rsid w:val="002178B6"/>
    <w:rsid w:val="002269DD"/>
    <w:rsid w:val="00261B23"/>
    <w:rsid w:val="002A167C"/>
    <w:rsid w:val="002B564B"/>
    <w:rsid w:val="002C63C7"/>
    <w:rsid w:val="00387BA4"/>
    <w:rsid w:val="003C4BAC"/>
    <w:rsid w:val="003E2FC3"/>
    <w:rsid w:val="00420047"/>
    <w:rsid w:val="004D3750"/>
    <w:rsid w:val="004E47C0"/>
    <w:rsid w:val="00582687"/>
    <w:rsid w:val="005C4AF2"/>
    <w:rsid w:val="00601FD8"/>
    <w:rsid w:val="00621936"/>
    <w:rsid w:val="00664512"/>
    <w:rsid w:val="006D57A3"/>
    <w:rsid w:val="00773793"/>
    <w:rsid w:val="007E4A06"/>
    <w:rsid w:val="00830BB7"/>
    <w:rsid w:val="0086443B"/>
    <w:rsid w:val="00876F59"/>
    <w:rsid w:val="008A06E2"/>
    <w:rsid w:val="008D5509"/>
    <w:rsid w:val="008E54E6"/>
    <w:rsid w:val="009443AE"/>
    <w:rsid w:val="009E05FE"/>
    <w:rsid w:val="009F0E33"/>
    <w:rsid w:val="00A8082E"/>
    <w:rsid w:val="00AF3036"/>
    <w:rsid w:val="00AF6261"/>
    <w:rsid w:val="00B23428"/>
    <w:rsid w:val="00BB227A"/>
    <w:rsid w:val="00C43425"/>
    <w:rsid w:val="00C716D1"/>
    <w:rsid w:val="00D229A2"/>
    <w:rsid w:val="00E30E3D"/>
    <w:rsid w:val="00E402BD"/>
    <w:rsid w:val="00E5693B"/>
    <w:rsid w:val="00ED422E"/>
    <w:rsid w:val="00F037FD"/>
    <w:rsid w:val="00F11481"/>
    <w:rsid w:val="00F94EE3"/>
    <w:rsid w:val="00FB30CC"/>
    <w:rsid w:val="00FC5D8E"/>
    <w:rsid w:val="00FE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35970"/>
  <w15:chartTrackingRefBased/>
  <w15:docId w15:val="{1BB0FB7C-A97B-4434-BDC4-F426D13D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4512"/>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664512"/>
    <w:pPr>
      <w:keepNext/>
      <w:keepLines/>
      <w:spacing w:before="40" w:after="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semiHidden/>
    <w:unhideWhenUsed/>
    <w:qFormat/>
    <w:rsid w:val="00D229A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29A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229A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229A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229A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229A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229A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51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664512"/>
    <w:rPr>
      <w:rFonts w:ascii="Times New Roman" w:eastAsiaTheme="majorEastAsia" w:hAnsi="Times New Roman" w:cstheme="majorBidi"/>
      <w:i/>
      <w:color w:val="000000" w:themeColor="text1"/>
      <w:sz w:val="24"/>
      <w:szCs w:val="26"/>
    </w:rPr>
  </w:style>
  <w:style w:type="character" w:customStyle="1" w:styleId="Heading3Char">
    <w:name w:val="Heading 3 Char"/>
    <w:basedOn w:val="DefaultParagraphFont"/>
    <w:link w:val="Heading3"/>
    <w:uiPriority w:val="9"/>
    <w:semiHidden/>
    <w:rsid w:val="00D229A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29A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229A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229A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229A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229A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229A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22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9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9A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9A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229A2"/>
    <w:pPr>
      <w:spacing w:before="160"/>
      <w:jc w:val="center"/>
    </w:pPr>
    <w:rPr>
      <w:i/>
      <w:iCs/>
      <w:color w:val="404040" w:themeColor="text1" w:themeTint="BF"/>
    </w:rPr>
  </w:style>
  <w:style w:type="character" w:customStyle="1" w:styleId="QuoteChar">
    <w:name w:val="Quote Char"/>
    <w:basedOn w:val="DefaultParagraphFont"/>
    <w:link w:val="Quote"/>
    <w:uiPriority w:val="29"/>
    <w:rsid w:val="00D229A2"/>
    <w:rPr>
      <w:i/>
      <w:iCs/>
      <w:color w:val="404040" w:themeColor="text1" w:themeTint="BF"/>
    </w:rPr>
  </w:style>
  <w:style w:type="paragraph" w:styleId="ListParagraph">
    <w:name w:val="List Paragraph"/>
    <w:basedOn w:val="Normal"/>
    <w:uiPriority w:val="34"/>
    <w:qFormat/>
    <w:rsid w:val="00D229A2"/>
    <w:pPr>
      <w:ind w:left="720"/>
      <w:contextualSpacing/>
    </w:pPr>
  </w:style>
  <w:style w:type="character" w:styleId="IntenseEmphasis">
    <w:name w:val="Intense Emphasis"/>
    <w:basedOn w:val="DefaultParagraphFont"/>
    <w:uiPriority w:val="21"/>
    <w:qFormat/>
    <w:rsid w:val="00D229A2"/>
    <w:rPr>
      <w:i/>
      <w:iCs/>
      <w:color w:val="0F4761" w:themeColor="accent1" w:themeShade="BF"/>
    </w:rPr>
  </w:style>
  <w:style w:type="paragraph" w:styleId="IntenseQuote">
    <w:name w:val="Intense Quote"/>
    <w:basedOn w:val="Normal"/>
    <w:next w:val="Normal"/>
    <w:link w:val="IntenseQuoteChar"/>
    <w:uiPriority w:val="30"/>
    <w:qFormat/>
    <w:rsid w:val="00D22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29A2"/>
    <w:rPr>
      <w:i/>
      <w:iCs/>
      <w:color w:val="0F4761" w:themeColor="accent1" w:themeShade="BF"/>
    </w:rPr>
  </w:style>
  <w:style w:type="character" w:styleId="IntenseReference">
    <w:name w:val="Intense Reference"/>
    <w:basedOn w:val="DefaultParagraphFont"/>
    <w:uiPriority w:val="32"/>
    <w:qFormat/>
    <w:rsid w:val="00D229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998519">
      <w:bodyDiv w:val="1"/>
      <w:marLeft w:val="0"/>
      <w:marRight w:val="0"/>
      <w:marTop w:val="0"/>
      <w:marBottom w:val="0"/>
      <w:divBdr>
        <w:top w:val="none" w:sz="0" w:space="0" w:color="auto"/>
        <w:left w:val="none" w:sz="0" w:space="0" w:color="auto"/>
        <w:bottom w:val="none" w:sz="0" w:space="0" w:color="auto"/>
        <w:right w:val="none" w:sz="0" w:space="0" w:color="auto"/>
      </w:divBdr>
    </w:div>
    <w:div w:id="267660717">
      <w:bodyDiv w:val="1"/>
      <w:marLeft w:val="0"/>
      <w:marRight w:val="0"/>
      <w:marTop w:val="0"/>
      <w:marBottom w:val="0"/>
      <w:divBdr>
        <w:top w:val="none" w:sz="0" w:space="0" w:color="auto"/>
        <w:left w:val="none" w:sz="0" w:space="0" w:color="auto"/>
        <w:bottom w:val="none" w:sz="0" w:space="0" w:color="auto"/>
        <w:right w:val="none" w:sz="0" w:space="0" w:color="auto"/>
      </w:divBdr>
    </w:div>
    <w:div w:id="1034694798">
      <w:bodyDiv w:val="1"/>
      <w:marLeft w:val="0"/>
      <w:marRight w:val="0"/>
      <w:marTop w:val="0"/>
      <w:marBottom w:val="0"/>
      <w:divBdr>
        <w:top w:val="none" w:sz="0" w:space="0" w:color="auto"/>
        <w:left w:val="none" w:sz="0" w:space="0" w:color="auto"/>
        <w:bottom w:val="none" w:sz="0" w:space="0" w:color="auto"/>
        <w:right w:val="none" w:sz="0" w:space="0" w:color="auto"/>
      </w:divBdr>
    </w:div>
    <w:div w:id="173199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3233/WOR-2106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49</Pages>
  <Words>9021</Words>
  <Characters>52684</Characters>
  <Application>Microsoft Office Word</Application>
  <DocSecurity>0</DocSecurity>
  <Lines>2306</Lines>
  <Paragraphs>847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Q. Gip</dc:creator>
  <cp:keywords/>
  <dc:description/>
  <cp:lastModifiedBy>Robert Q. Gip</cp:lastModifiedBy>
  <cp:revision>5</cp:revision>
  <dcterms:created xsi:type="dcterms:W3CDTF">2024-03-08T21:57:00Z</dcterms:created>
  <dcterms:modified xsi:type="dcterms:W3CDTF">2024-03-11T18:39:00Z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40845cb9-1ac9-4fcf-ac18-96ef4ffe5556</vt:lpwstr>
  </property>
</Properties>
</file>