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B8B83" w14:textId="77777777" w:rsidR="004A1929" w:rsidRDefault="004A1929" w:rsidP="002E3666">
      <w:pPr>
        <w:spacing w:line="240" w:lineRule="auto"/>
        <w:rPr>
          <w:szCs w:val="24"/>
        </w:rPr>
      </w:pPr>
      <w:r>
        <w:rPr>
          <w:szCs w:val="24"/>
        </w:rPr>
        <w:t>Supplementary material</w:t>
      </w:r>
    </w:p>
    <w:p w14:paraId="6B016A8E" w14:textId="77777777" w:rsidR="004A1929" w:rsidRDefault="004A1929" w:rsidP="002E3666">
      <w:pPr>
        <w:spacing w:line="240" w:lineRule="auto"/>
        <w:rPr>
          <w:szCs w:val="24"/>
        </w:rPr>
      </w:pPr>
    </w:p>
    <w:p w14:paraId="044B5E0D" w14:textId="10B42BCF" w:rsidR="002E3666" w:rsidRPr="002E3666" w:rsidRDefault="002E3666" w:rsidP="002E3666">
      <w:pPr>
        <w:spacing w:line="240" w:lineRule="auto"/>
        <w:rPr>
          <w:szCs w:val="24"/>
        </w:rPr>
      </w:pPr>
      <w:r w:rsidRPr="002E3666">
        <w:rPr>
          <w:szCs w:val="24"/>
        </w:rPr>
        <w:t>Appendix</w:t>
      </w:r>
      <w:r w:rsidR="00C004A3">
        <w:rPr>
          <w:szCs w:val="24"/>
        </w:rPr>
        <w:t xml:space="preserve"> 1</w:t>
      </w:r>
      <w:r w:rsidRPr="002E3666">
        <w:rPr>
          <w:szCs w:val="24"/>
        </w:rPr>
        <w:t>.</w:t>
      </w:r>
      <w:r w:rsidR="00C004A3">
        <w:rPr>
          <w:szCs w:val="24"/>
        </w:rPr>
        <w:t xml:space="preserve"> Constructs and measurement items</w:t>
      </w:r>
      <w:r w:rsidRPr="002E3666">
        <w:rPr>
          <w:szCs w:val="24"/>
        </w:rPr>
        <w:t xml:space="preserve"> </w:t>
      </w:r>
    </w:p>
    <w:tbl>
      <w:tblPr>
        <w:tblW w:w="1394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525"/>
        <w:gridCol w:w="3423"/>
      </w:tblGrid>
      <w:tr w:rsidR="00F54B04" w:rsidRPr="002E3666" w14:paraId="426F68C2" w14:textId="6BC5724D" w:rsidTr="00621C67">
        <w:trPr>
          <w:trHeight w:val="310"/>
        </w:trPr>
        <w:tc>
          <w:tcPr>
            <w:tcW w:w="1052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A63D1AB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Constructs and measurement items</w:t>
            </w:r>
          </w:p>
        </w:tc>
        <w:tc>
          <w:tcPr>
            <w:tcW w:w="3423" w:type="dxa"/>
            <w:tcBorders>
              <w:top w:val="single" w:sz="4" w:space="0" w:color="auto"/>
              <w:bottom w:val="single" w:sz="4" w:space="0" w:color="auto"/>
            </w:tcBorders>
          </w:tcPr>
          <w:p w14:paraId="10BEE771" w14:textId="3D9D0ADA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Sources</w:t>
            </w:r>
          </w:p>
        </w:tc>
      </w:tr>
      <w:tr w:rsidR="00F54B04" w:rsidRPr="002E3666" w14:paraId="3473EF66" w14:textId="735B4FE6" w:rsidTr="00621C67">
        <w:trPr>
          <w:trHeight w:val="310"/>
        </w:trPr>
        <w:tc>
          <w:tcPr>
            <w:tcW w:w="1052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712B9EF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Subcultural appeal</w:t>
            </w:r>
          </w:p>
        </w:tc>
        <w:tc>
          <w:tcPr>
            <w:tcW w:w="3423" w:type="dxa"/>
            <w:tcBorders>
              <w:top w:val="single" w:sz="4" w:space="0" w:color="auto"/>
            </w:tcBorders>
          </w:tcPr>
          <w:p w14:paraId="11150DEA" w14:textId="26B75E81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Cha (2020)</w:t>
            </w:r>
          </w:p>
        </w:tc>
      </w:tr>
      <w:tr w:rsidR="00F54B04" w:rsidRPr="002E3666" w14:paraId="38888864" w14:textId="71ACD741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EB3F345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SA1. Serving robots make people who use them different from other people</w:t>
            </w:r>
          </w:p>
        </w:tc>
        <w:tc>
          <w:tcPr>
            <w:tcW w:w="3423" w:type="dxa"/>
          </w:tcPr>
          <w:p w14:paraId="0ECAC02B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3C1BF9FA" w14:textId="394380C1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8E53480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SA2. People who use serving robots are unique</w:t>
            </w:r>
          </w:p>
        </w:tc>
        <w:tc>
          <w:tcPr>
            <w:tcW w:w="3423" w:type="dxa"/>
          </w:tcPr>
          <w:p w14:paraId="6DAF4055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1335A049" w14:textId="0A039A1C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1851BFBE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 xml:space="preserve">SA3. People who use serving robots are considered leaders rather than followers </w:t>
            </w:r>
          </w:p>
        </w:tc>
        <w:tc>
          <w:tcPr>
            <w:tcW w:w="3423" w:type="dxa"/>
          </w:tcPr>
          <w:p w14:paraId="473BC7FD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03F05FE3" w14:textId="6E90959D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0B52D635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SA4. Customers using serving robots look great</w:t>
            </w:r>
          </w:p>
        </w:tc>
        <w:tc>
          <w:tcPr>
            <w:tcW w:w="3423" w:type="dxa"/>
          </w:tcPr>
          <w:p w14:paraId="3BC89F2C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88768DA" w14:textId="184A180A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379B3685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423" w:type="dxa"/>
          </w:tcPr>
          <w:p w14:paraId="6D890841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04E2E58" w14:textId="4B084E33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DCE598C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 xml:space="preserve">Utility </w:t>
            </w:r>
          </w:p>
        </w:tc>
        <w:tc>
          <w:tcPr>
            <w:tcW w:w="3423" w:type="dxa"/>
          </w:tcPr>
          <w:p w14:paraId="18ACC948" w14:textId="1078C262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Cha (2020); Sundar et al. (2014)</w:t>
            </w:r>
          </w:p>
        </w:tc>
      </w:tr>
      <w:tr w:rsidR="00F54B04" w:rsidRPr="002E3666" w14:paraId="689716A3" w14:textId="60D2736D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254C1AE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UT1. Serving robots are useful</w:t>
            </w:r>
          </w:p>
        </w:tc>
        <w:tc>
          <w:tcPr>
            <w:tcW w:w="3423" w:type="dxa"/>
          </w:tcPr>
          <w:p w14:paraId="04A2FED5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15BF87B7" w14:textId="0D96A293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074C50AC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UT2. I think the purpose of serving robots is to help employee</w:t>
            </w:r>
          </w:p>
        </w:tc>
        <w:tc>
          <w:tcPr>
            <w:tcW w:w="3423" w:type="dxa"/>
          </w:tcPr>
          <w:p w14:paraId="66E7A955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225C144E" w14:textId="0AD7735A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FC637EB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UT3. I think the purpose of serving robots is to help customers</w:t>
            </w:r>
          </w:p>
        </w:tc>
        <w:tc>
          <w:tcPr>
            <w:tcW w:w="3423" w:type="dxa"/>
          </w:tcPr>
          <w:p w14:paraId="06710D21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751F8D55" w14:textId="47183ADF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4183B766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UT4. Serving robots would help customers get things done</w:t>
            </w:r>
          </w:p>
        </w:tc>
        <w:tc>
          <w:tcPr>
            <w:tcW w:w="3423" w:type="dxa"/>
          </w:tcPr>
          <w:p w14:paraId="07974CBD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374B2CEA" w14:textId="486BF27C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67DE871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UT5. Using serving robots helps me complete tasks more efficiently than other devices of its kind</w:t>
            </w:r>
          </w:p>
        </w:tc>
        <w:tc>
          <w:tcPr>
            <w:tcW w:w="3423" w:type="dxa"/>
          </w:tcPr>
          <w:p w14:paraId="704259EF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437D6FF" w14:textId="722FB2DF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A06DC21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423" w:type="dxa"/>
          </w:tcPr>
          <w:p w14:paraId="2AEDFC31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15E378D9" w14:textId="5E7163D7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7D3FDBE2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Originality</w:t>
            </w:r>
          </w:p>
        </w:tc>
        <w:tc>
          <w:tcPr>
            <w:tcW w:w="3423" w:type="dxa"/>
          </w:tcPr>
          <w:p w14:paraId="3F10148F" w14:textId="3B43F7CB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Ashfaq et al. (2021); Cha (2020)</w:t>
            </w:r>
          </w:p>
        </w:tc>
      </w:tr>
      <w:tr w:rsidR="00F54B04" w:rsidRPr="002E3666" w14:paraId="56A88826" w14:textId="4F2507C1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29FC72A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OR1. Serving robots are original</w:t>
            </w:r>
          </w:p>
        </w:tc>
        <w:tc>
          <w:tcPr>
            <w:tcW w:w="3423" w:type="dxa"/>
          </w:tcPr>
          <w:p w14:paraId="5AA76076" w14:textId="0277CA2C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20C8CC68" w14:textId="26814A57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1A7BF73E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OR2. Serving robots are unique</w:t>
            </w:r>
          </w:p>
        </w:tc>
        <w:tc>
          <w:tcPr>
            <w:tcW w:w="3423" w:type="dxa"/>
          </w:tcPr>
          <w:p w14:paraId="490DB748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C3FEF8E" w14:textId="2B51F081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256852D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OR3. Serving robots stand apart from other technology services</w:t>
            </w:r>
          </w:p>
        </w:tc>
        <w:tc>
          <w:tcPr>
            <w:tcW w:w="3423" w:type="dxa"/>
          </w:tcPr>
          <w:p w14:paraId="01845E1B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7B5C3C44" w14:textId="2BB93EF6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1BD5FD1F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OR4. Serving robots are novel</w:t>
            </w:r>
          </w:p>
        </w:tc>
        <w:tc>
          <w:tcPr>
            <w:tcW w:w="3423" w:type="dxa"/>
          </w:tcPr>
          <w:p w14:paraId="7CB11CFC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18BB8154" w14:textId="21F51E73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1C80EAC6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OR5. Serving robots are the origin of the future restaurant service method</w:t>
            </w:r>
          </w:p>
        </w:tc>
        <w:tc>
          <w:tcPr>
            <w:tcW w:w="3423" w:type="dxa"/>
          </w:tcPr>
          <w:p w14:paraId="539DD94C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4DA204F4" w14:textId="498918D2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C5D2D5C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423" w:type="dxa"/>
          </w:tcPr>
          <w:p w14:paraId="2B89FDB1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E28EFAA" w14:textId="49803496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BA4D915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Attractiveness</w:t>
            </w:r>
          </w:p>
        </w:tc>
        <w:tc>
          <w:tcPr>
            <w:tcW w:w="3423" w:type="dxa"/>
          </w:tcPr>
          <w:p w14:paraId="566E3363" w14:textId="12E52A8B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Cha (2020)</w:t>
            </w:r>
          </w:p>
        </w:tc>
      </w:tr>
      <w:tr w:rsidR="00F54B04" w:rsidRPr="002E3666" w14:paraId="24201D68" w14:textId="32B90FE1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37F4252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AT1. Serving robots are attractive</w:t>
            </w:r>
          </w:p>
        </w:tc>
        <w:tc>
          <w:tcPr>
            <w:tcW w:w="3423" w:type="dxa"/>
          </w:tcPr>
          <w:p w14:paraId="00A2F8BE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E376F9C" w14:textId="61D27DF4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7F14DB8B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AT2. Serving robots are hot</w:t>
            </w:r>
          </w:p>
        </w:tc>
        <w:tc>
          <w:tcPr>
            <w:tcW w:w="3423" w:type="dxa"/>
          </w:tcPr>
          <w:p w14:paraId="6336E769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1335C009" w14:textId="1B23CAF1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0FC1A724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lastRenderedPageBreak/>
              <w:t>AT3. Serving robots are stylish</w:t>
            </w:r>
          </w:p>
        </w:tc>
        <w:tc>
          <w:tcPr>
            <w:tcW w:w="3423" w:type="dxa"/>
          </w:tcPr>
          <w:p w14:paraId="472D3B6B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0A6F7C82" w14:textId="5E14C972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1014D657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AT4. Serving robots are cutting edge</w:t>
            </w:r>
          </w:p>
        </w:tc>
        <w:tc>
          <w:tcPr>
            <w:tcW w:w="3423" w:type="dxa"/>
          </w:tcPr>
          <w:p w14:paraId="5E8101BD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421F8D49" w14:textId="1CC02D5F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720843D7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423" w:type="dxa"/>
          </w:tcPr>
          <w:p w14:paraId="13994D30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62ED39DA" w14:textId="3669DBF9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4F7BFEDD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Hedonic experience</w:t>
            </w:r>
          </w:p>
        </w:tc>
        <w:tc>
          <w:tcPr>
            <w:tcW w:w="3423" w:type="dxa"/>
          </w:tcPr>
          <w:p w14:paraId="1628ACC9" w14:textId="1F1A8BD5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Verleye, K. (2015)</w:t>
            </w:r>
          </w:p>
        </w:tc>
      </w:tr>
      <w:tr w:rsidR="00F54B04" w:rsidRPr="002E3666" w14:paraId="152A603C" w14:textId="3897E839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41D14AAB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HED1. Using serving robots in restaurants was a nice experience</w:t>
            </w:r>
          </w:p>
        </w:tc>
        <w:tc>
          <w:tcPr>
            <w:tcW w:w="3423" w:type="dxa"/>
          </w:tcPr>
          <w:p w14:paraId="36B4AB20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3232F2CB" w14:textId="173C067C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15BA96AC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HED2. Using serving robots in restaurants was fun</w:t>
            </w:r>
          </w:p>
        </w:tc>
        <w:tc>
          <w:tcPr>
            <w:tcW w:w="3423" w:type="dxa"/>
          </w:tcPr>
          <w:p w14:paraId="74D1850E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76795090" w14:textId="3B24038E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79912F6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HED3. I enjoyed using serving robots in the restaurants</w:t>
            </w:r>
          </w:p>
        </w:tc>
        <w:tc>
          <w:tcPr>
            <w:tcW w:w="3423" w:type="dxa"/>
          </w:tcPr>
          <w:p w14:paraId="6FA931AE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E1AAC25" w14:textId="2D934B7B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2714A56A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423" w:type="dxa"/>
          </w:tcPr>
          <w:p w14:paraId="06C3837B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18C1BE81" w14:textId="0338A646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404B0313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Cognitive experience</w:t>
            </w:r>
          </w:p>
        </w:tc>
        <w:tc>
          <w:tcPr>
            <w:tcW w:w="3423" w:type="dxa"/>
          </w:tcPr>
          <w:p w14:paraId="2F4F6F52" w14:textId="31898549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Verleye, K. (2015)</w:t>
            </w:r>
          </w:p>
        </w:tc>
      </w:tr>
      <w:tr w:rsidR="00F54B04" w:rsidRPr="002E3666" w14:paraId="756D2D73" w14:textId="2C894441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BB62318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COG1. The experience of using serving robots in restaurants allowed me to keep up with new ideas and innovations</w:t>
            </w:r>
          </w:p>
        </w:tc>
        <w:tc>
          <w:tcPr>
            <w:tcW w:w="3423" w:type="dxa"/>
          </w:tcPr>
          <w:p w14:paraId="290C41CA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3374377" w14:textId="3584EAB6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78759DE5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COG2. The experience of using serving robots in restaurants enabled me to come up with new ideas</w:t>
            </w:r>
          </w:p>
        </w:tc>
        <w:tc>
          <w:tcPr>
            <w:tcW w:w="3423" w:type="dxa"/>
          </w:tcPr>
          <w:p w14:paraId="472D0DCD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243A6481" w14:textId="7E5506D6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0A240E04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COG3. I could test my capabilities through the experience of using serving robots in restaurants</w:t>
            </w:r>
          </w:p>
        </w:tc>
        <w:tc>
          <w:tcPr>
            <w:tcW w:w="3423" w:type="dxa"/>
          </w:tcPr>
          <w:p w14:paraId="1EF44C76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640E9F71" w14:textId="52B2B0F8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F2E736A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COG4. The experience of using serving robots in restaurants improved my skills</w:t>
            </w:r>
          </w:p>
        </w:tc>
        <w:tc>
          <w:tcPr>
            <w:tcW w:w="3423" w:type="dxa"/>
          </w:tcPr>
          <w:p w14:paraId="2C3C004C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61BE7FC0" w14:textId="6C1868B9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2007AE82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COG5. The experience of using serving robots in restaurants gave me a sense of accomplishment</w:t>
            </w:r>
          </w:p>
        </w:tc>
        <w:tc>
          <w:tcPr>
            <w:tcW w:w="3423" w:type="dxa"/>
          </w:tcPr>
          <w:p w14:paraId="7F766DB3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4C41D4BB" w14:textId="1ABF4546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437D060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COG6. The experience of using serving robots in restaurants provided me with new knowledge</w:t>
            </w:r>
          </w:p>
        </w:tc>
        <w:tc>
          <w:tcPr>
            <w:tcW w:w="3423" w:type="dxa"/>
          </w:tcPr>
          <w:p w14:paraId="36D13C23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3098A5DC" w14:textId="1804A585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148AEC51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423" w:type="dxa"/>
          </w:tcPr>
          <w:p w14:paraId="054EADB2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3B041595" w14:textId="74BA2A5B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B1FB8DE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Personal experience</w:t>
            </w:r>
          </w:p>
        </w:tc>
        <w:tc>
          <w:tcPr>
            <w:tcW w:w="3423" w:type="dxa"/>
          </w:tcPr>
          <w:p w14:paraId="24F7D8E6" w14:textId="5881238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Verleye, K. (2015)</w:t>
            </w:r>
          </w:p>
        </w:tc>
      </w:tr>
      <w:tr w:rsidR="00F54B04" w:rsidRPr="002E3666" w14:paraId="355406A5" w14:textId="10B7303D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26BCD56A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PER1. The experience of using serving robots in restaurants raised ideas that I can introduce to others</w:t>
            </w:r>
          </w:p>
        </w:tc>
        <w:tc>
          <w:tcPr>
            <w:tcW w:w="3423" w:type="dxa"/>
          </w:tcPr>
          <w:p w14:paraId="5EC23FEB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6B99F7E1" w14:textId="5394B4E6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738FB830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PER2. The experience of using serving robots in restaurants allowed me to share my knowledge with others</w:t>
            </w:r>
          </w:p>
        </w:tc>
        <w:tc>
          <w:tcPr>
            <w:tcW w:w="3423" w:type="dxa"/>
          </w:tcPr>
          <w:p w14:paraId="0AECB8D8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9102AA0" w14:textId="507917E6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0CC768E7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PER3. I made a good impression on other people through the experience of using serving robots in restaurants</w:t>
            </w:r>
          </w:p>
        </w:tc>
        <w:tc>
          <w:tcPr>
            <w:tcW w:w="3423" w:type="dxa"/>
          </w:tcPr>
          <w:p w14:paraId="5096BC21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24D63107" w14:textId="27A64C28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C402B9E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423" w:type="dxa"/>
          </w:tcPr>
          <w:p w14:paraId="31C45BA5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1C522C07" w14:textId="67DB568A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4823B135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Subjective well-being</w:t>
            </w:r>
          </w:p>
        </w:tc>
        <w:tc>
          <w:tcPr>
            <w:tcW w:w="3423" w:type="dxa"/>
          </w:tcPr>
          <w:p w14:paraId="6493E9A3" w14:textId="0FDE223B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Li et al., 2022</w:t>
            </w:r>
          </w:p>
        </w:tc>
      </w:tr>
      <w:tr w:rsidR="00F54B04" w:rsidRPr="002E3666" w14:paraId="352536A3" w14:textId="39DAC1FB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176FBFFE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SWB1. The serving robot experience is important to my well-being</w:t>
            </w:r>
          </w:p>
        </w:tc>
        <w:tc>
          <w:tcPr>
            <w:tcW w:w="3423" w:type="dxa"/>
          </w:tcPr>
          <w:p w14:paraId="185091A1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792B6A71" w14:textId="22CCC93B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FADCA01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SWB2. The serving robot experience is important to enhance my quality of life</w:t>
            </w:r>
          </w:p>
        </w:tc>
        <w:tc>
          <w:tcPr>
            <w:tcW w:w="3423" w:type="dxa"/>
          </w:tcPr>
          <w:p w14:paraId="2550A5CA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2B756B9F" w14:textId="4D448E5C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119F686A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SWB3. I felt revitalized after the experience of using serving robots in restaurants.</w:t>
            </w:r>
          </w:p>
        </w:tc>
        <w:tc>
          <w:tcPr>
            <w:tcW w:w="3423" w:type="dxa"/>
          </w:tcPr>
          <w:p w14:paraId="5A1632AA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0C71ABD6" w14:textId="29562011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52AE86AE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3423" w:type="dxa"/>
          </w:tcPr>
          <w:p w14:paraId="6818FAEC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67CF8A96" w14:textId="288B1BAC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7FD9F66C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lastRenderedPageBreak/>
              <w:t>Revisit intention</w:t>
            </w:r>
          </w:p>
        </w:tc>
        <w:tc>
          <w:tcPr>
            <w:tcW w:w="3423" w:type="dxa"/>
          </w:tcPr>
          <w:p w14:paraId="7BB15159" w14:textId="39268F15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8220DA">
              <w:rPr>
                <w:rFonts w:eastAsia="Times New Roman"/>
                <w:color w:val="000000"/>
                <w:szCs w:val="24"/>
              </w:rPr>
              <w:t>Venkatesh et al., 2012</w:t>
            </w:r>
          </w:p>
        </w:tc>
      </w:tr>
      <w:tr w:rsidR="00F54B04" w:rsidRPr="002E3666" w14:paraId="6B5571D6" w14:textId="5DCEAEDB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2004985A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RI1. I will revisit the robot service restaurants</w:t>
            </w:r>
          </w:p>
        </w:tc>
        <w:tc>
          <w:tcPr>
            <w:tcW w:w="3423" w:type="dxa"/>
          </w:tcPr>
          <w:p w14:paraId="5D16E6A4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501B2F64" w14:textId="7DA740C8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47FD00F9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RI2. I will make an effort to revisit robot service restaurants in the future</w:t>
            </w:r>
          </w:p>
        </w:tc>
        <w:tc>
          <w:tcPr>
            <w:tcW w:w="3423" w:type="dxa"/>
          </w:tcPr>
          <w:p w14:paraId="146D40CE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1ECAFF1D" w14:textId="09EED749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3DF5EE7D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RI3. If I have the opportunity to revisit robot service restaurants in the future, I will actively intend to revisit robotic restaurants</w:t>
            </w:r>
          </w:p>
        </w:tc>
        <w:tc>
          <w:tcPr>
            <w:tcW w:w="3423" w:type="dxa"/>
          </w:tcPr>
          <w:p w14:paraId="2AC5BBA0" w14:textId="77777777" w:rsidR="00F54B04" w:rsidRPr="008220DA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  <w:tr w:rsidR="00F54B04" w:rsidRPr="002E3666" w14:paraId="46BF9FD6" w14:textId="75041574" w:rsidTr="00621C67">
        <w:trPr>
          <w:trHeight w:val="310"/>
        </w:trPr>
        <w:tc>
          <w:tcPr>
            <w:tcW w:w="10525" w:type="dxa"/>
            <w:noWrap/>
            <w:vAlign w:val="bottom"/>
            <w:hideMark/>
          </w:tcPr>
          <w:p w14:paraId="6CA9BCDF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  <w:r w:rsidRPr="002E3666">
              <w:rPr>
                <w:rFonts w:eastAsia="Times New Roman"/>
                <w:color w:val="000000"/>
                <w:szCs w:val="24"/>
              </w:rPr>
              <w:t>RI4. I will prioritize visiting restaurants with serving robots over those with human servers</w:t>
            </w:r>
          </w:p>
        </w:tc>
        <w:tc>
          <w:tcPr>
            <w:tcW w:w="3423" w:type="dxa"/>
          </w:tcPr>
          <w:p w14:paraId="38B7FA48" w14:textId="77777777" w:rsidR="00F54B04" w:rsidRPr="002E3666" w:rsidRDefault="00F54B04" w:rsidP="00FB121B">
            <w:pPr>
              <w:spacing w:after="0" w:line="240" w:lineRule="auto"/>
              <w:rPr>
                <w:rFonts w:eastAsia="Times New Roman"/>
                <w:color w:val="000000"/>
                <w:szCs w:val="24"/>
              </w:rPr>
            </w:pPr>
          </w:p>
        </w:tc>
      </w:tr>
    </w:tbl>
    <w:p w14:paraId="4063B314" w14:textId="3BAE2E10" w:rsidR="002E3666" w:rsidRDefault="002E3666" w:rsidP="002E3666">
      <w:pPr>
        <w:spacing w:line="240" w:lineRule="auto"/>
        <w:rPr>
          <w:rFonts w:eastAsia="Times New Roman"/>
          <w:szCs w:val="24"/>
        </w:rPr>
      </w:pPr>
      <w:r w:rsidRPr="002E3666">
        <w:rPr>
          <w:i/>
          <w:szCs w:val="24"/>
        </w:rPr>
        <w:t>Note.</w:t>
      </w:r>
      <w:r w:rsidRPr="002E3666">
        <w:rPr>
          <w:rFonts w:eastAsia="Times New Roman"/>
          <w:szCs w:val="24"/>
          <w:vertAlign w:val="superscript"/>
        </w:rPr>
        <w:t xml:space="preserve"> </w:t>
      </w:r>
      <w:r w:rsidRPr="002E3666">
        <w:rPr>
          <w:rFonts w:eastAsia="Times New Roman"/>
          <w:szCs w:val="24"/>
        </w:rPr>
        <w:t>Items were measured with a 7-Likert scale from 1=strongly disagree to 7= strongly agree</w:t>
      </w:r>
    </w:p>
    <w:p w14:paraId="307F958B" w14:textId="76114AF0" w:rsidR="002E3666" w:rsidRPr="002E3666" w:rsidRDefault="002E3666" w:rsidP="002E3666">
      <w:pPr>
        <w:spacing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Source: Authors own work</w:t>
      </w:r>
    </w:p>
    <w:p w14:paraId="01ECF7A0" w14:textId="77777777" w:rsidR="00B36F6F" w:rsidRDefault="00C004A3">
      <w:pPr>
        <w:spacing w:after="0" w:line="240" w:lineRule="auto"/>
        <w:jc w:val="both"/>
        <w:rPr>
          <w:szCs w:val="24"/>
          <w:lang w:eastAsia="ko-KR"/>
        </w:rPr>
        <w:sectPr w:rsidR="00B36F6F" w:rsidSect="002E3666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szCs w:val="24"/>
          <w:lang w:eastAsia="ko-KR"/>
        </w:rPr>
        <w:br w:type="page"/>
      </w:r>
    </w:p>
    <w:p w14:paraId="00A554AE" w14:textId="1E3F4296" w:rsidR="00C004A3" w:rsidRDefault="00C004A3" w:rsidP="00C004A3">
      <w:pPr>
        <w:spacing w:after="0" w:line="240" w:lineRule="auto"/>
      </w:pPr>
      <w:r>
        <w:lastRenderedPageBreak/>
        <w:t xml:space="preserve">Appendix </w:t>
      </w:r>
      <w:r w:rsidR="00C75460">
        <w:t>2</w:t>
      </w:r>
      <w:r>
        <w:t>. Discriminant validity (HTMT)</w:t>
      </w:r>
    </w:p>
    <w:p w14:paraId="61AE527A" w14:textId="77777777" w:rsidR="00C004A3" w:rsidRDefault="00C004A3" w:rsidP="00C004A3">
      <w:pPr>
        <w:spacing w:after="0" w:line="240" w:lineRule="auto"/>
        <w:rPr>
          <w:lang w:eastAsia="ko-KR"/>
        </w:rPr>
      </w:pPr>
    </w:p>
    <w:tbl>
      <w:tblPr>
        <w:tblW w:w="12691" w:type="dxa"/>
        <w:tblLook w:val="04A0" w:firstRow="1" w:lastRow="0" w:firstColumn="1" w:lastColumn="0" w:noHBand="0" w:noVBand="1"/>
      </w:tblPr>
      <w:tblGrid>
        <w:gridCol w:w="2833"/>
        <w:gridCol w:w="1067"/>
        <w:gridCol w:w="1322"/>
        <w:gridCol w:w="1067"/>
        <w:gridCol w:w="1067"/>
        <w:gridCol w:w="1067"/>
        <w:gridCol w:w="1067"/>
        <w:gridCol w:w="1067"/>
        <w:gridCol w:w="1067"/>
        <w:gridCol w:w="1067"/>
      </w:tblGrid>
      <w:tr w:rsidR="00C004A3" w:rsidRPr="00DA3084" w14:paraId="5F4BEC85" w14:textId="77777777" w:rsidTr="0089302F">
        <w:trPr>
          <w:trHeight w:val="309"/>
        </w:trPr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9F0628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color w:val="000000"/>
                <w:sz w:val="22"/>
              </w:rPr>
            </w:pPr>
            <w:r w:rsidRPr="00180D8A">
              <w:rPr>
                <w:rFonts w:eastAsia="Times New Roman"/>
                <w:color w:val="000000"/>
                <w:sz w:val="22"/>
              </w:rPr>
              <w:t> 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BC3128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B69257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8E008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3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57773D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4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861AF4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5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C4DA87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006FB8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CAB74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8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E67CBC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9</w:t>
            </w:r>
          </w:p>
        </w:tc>
      </w:tr>
      <w:tr w:rsidR="00C004A3" w:rsidRPr="00DA3084" w14:paraId="1E23FBF7" w14:textId="77777777" w:rsidTr="0089302F">
        <w:trPr>
          <w:trHeight w:val="309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D9B4F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1. Subcultural appeal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C133E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B20C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DB78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16EA0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DB669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B9C27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28558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26081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CFF1E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DA3084" w14:paraId="34A7007E" w14:textId="77777777" w:rsidTr="0089302F">
        <w:trPr>
          <w:trHeight w:val="309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F2F1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 xml:space="preserve">2. Utility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FAF0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0.46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8BEE6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0651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397B3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F6E2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22DAD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F3FAE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ADD63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BFD72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DA3084" w14:paraId="201B8AFE" w14:textId="77777777" w:rsidTr="0089302F">
        <w:trPr>
          <w:trHeight w:val="309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AA1D7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3. Originality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7432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0.46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979C1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0.71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0C7EA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23DF0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F098A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DB572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6A6BC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6FB6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64DE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DA3084" w14:paraId="7DB87529" w14:textId="77777777" w:rsidTr="0089302F">
        <w:trPr>
          <w:trHeight w:val="309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FECCB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4. Attractiveness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BFC45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0.40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99258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2B6A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0.70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E3522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38F5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B0684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C4ED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A32C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981C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DA3084" w14:paraId="12D23666" w14:textId="77777777" w:rsidTr="0089302F">
        <w:trPr>
          <w:trHeight w:val="309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3A400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5. Hedonic experience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76272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0.43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8B66F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0.70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BA64E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0.70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B9F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9C24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CF45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C5AC4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2DCB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ACF5F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DA3084" w14:paraId="4456DE17" w14:textId="77777777" w:rsidTr="0089302F">
        <w:trPr>
          <w:trHeight w:val="309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D9417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6. Cognitive experience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F033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0.59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9B70E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0.55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8ED1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0.62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3D5FE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0.57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6AF6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5123F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BB2E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E8157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4D832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DA3084" w14:paraId="1DDF9E25" w14:textId="77777777" w:rsidTr="0089302F">
        <w:trPr>
          <w:trHeight w:val="309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2EFB9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7. Personal experience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35E1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0.56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DF9BD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0.47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2AFE3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0.60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6458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0.45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4562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28A09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0.86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2F0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A68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CEB67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DA3084" w14:paraId="40D3490F" w14:textId="77777777" w:rsidTr="0089302F">
        <w:trPr>
          <w:trHeight w:val="309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2AF1C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8. Subjective well-being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48B75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6C984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0.58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A7C4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9E9BD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0.56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8C1D6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12833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0.88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173A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0.89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D8B9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20414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DA3084" w14:paraId="0E3EEBE3" w14:textId="77777777" w:rsidTr="0089302F">
        <w:trPr>
          <w:trHeight w:val="309"/>
        </w:trPr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A69D78" w14:textId="77777777" w:rsidR="00C004A3" w:rsidRPr="00180D8A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9. Revisit intention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F3AFF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0.49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B2EA2D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0.73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CEB0D0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620E0E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0.63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C1F78B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0.82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425BC5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0.74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C79152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0.74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1EE143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0.80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B4A586" w14:textId="77777777" w:rsidR="00C004A3" w:rsidRPr="00180D8A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180D8A">
              <w:rPr>
                <w:rFonts w:eastAsia="Times New Roman"/>
                <w:sz w:val="22"/>
              </w:rPr>
              <w:t> </w:t>
            </w:r>
          </w:p>
        </w:tc>
      </w:tr>
    </w:tbl>
    <w:p w14:paraId="1EEC0DA7" w14:textId="77777777" w:rsidR="00C004A3" w:rsidRPr="00B43DE1" w:rsidRDefault="00C004A3" w:rsidP="00C004A3">
      <w:pPr>
        <w:rPr>
          <w:rFonts w:eastAsia="SimSun"/>
        </w:rPr>
      </w:pPr>
      <w:r w:rsidRPr="002F2928">
        <w:rPr>
          <w:rFonts w:eastAsia="SimSun"/>
        </w:rPr>
        <w:t>Source: Authors own work</w:t>
      </w:r>
    </w:p>
    <w:p w14:paraId="1505AEB3" w14:textId="77777777" w:rsidR="00C004A3" w:rsidRDefault="00C004A3" w:rsidP="00C004A3">
      <w:pPr>
        <w:spacing w:after="0" w:line="240" w:lineRule="auto"/>
        <w:rPr>
          <w:lang w:eastAsia="ko-KR"/>
        </w:rPr>
        <w:sectPr w:rsidR="00C004A3" w:rsidSect="00C004A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6881A93" w14:textId="08A0C707" w:rsidR="00C004A3" w:rsidRDefault="00C004A3" w:rsidP="00C004A3">
      <w:r>
        <w:lastRenderedPageBreak/>
        <w:t xml:space="preserve">Appendix </w:t>
      </w:r>
      <w:r w:rsidR="00C75460">
        <w:t>3</w:t>
      </w:r>
      <w:r>
        <w:t>. Second-order measurement model</w:t>
      </w:r>
    </w:p>
    <w:tbl>
      <w:tblPr>
        <w:tblW w:w="4839" w:type="pct"/>
        <w:tblLook w:val="04A0" w:firstRow="1" w:lastRow="0" w:firstColumn="1" w:lastColumn="0" w:noHBand="0" w:noVBand="1"/>
      </w:tblPr>
      <w:tblGrid>
        <w:gridCol w:w="2459"/>
        <w:gridCol w:w="1445"/>
        <w:gridCol w:w="2180"/>
        <w:gridCol w:w="1536"/>
        <w:gridCol w:w="1115"/>
      </w:tblGrid>
      <w:tr w:rsidR="00C004A3" w:rsidRPr="00CB4C6D" w14:paraId="5EF86FE3" w14:textId="77777777" w:rsidTr="00B36F6F">
        <w:trPr>
          <w:trHeight w:val="318"/>
        </w:trPr>
        <w:tc>
          <w:tcPr>
            <w:tcW w:w="14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705B8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CB4C6D">
              <w:rPr>
                <w:rFonts w:eastAsia="Times New Roman"/>
                <w:b/>
                <w:bCs/>
                <w:sz w:val="22"/>
              </w:rPr>
              <w:t>Construct and items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7554D6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CB4C6D">
              <w:rPr>
                <w:rFonts w:eastAsia="Times New Roman"/>
                <w:b/>
                <w:bCs/>
                <w:sz w:val="22"/>
              </w:rPr>
              <w:t>Loadings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44986A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CB4C6D">
              <w:rPr>
                <w:rFonts w:eastAsia="Times New Roman"/>
                <w:b/>
                <w:bCs/>
                <w:sz w:val="22"/>
              </w:rPr>
              <w:t>Cronbach</w:t>
            </w:r>
            <w:r>
              <w:rPr>
                <w:rFonts w:eastAsia="Times New Roman"/>
                <w:b/>
                <w:bCs/>
                <w:sz w:val="22"/>
              </w:rPr>
              <w:t>’</w:t>
            </w:r>
            <w:r w:rsidRPr="00CB4C6D">
              <w:rPr>
                <w:rFonts w:eastAsia="Times New Roman"/>
                <w:b/>
                <w:bCs/>
                <w:sz w:val="22"/>
              </w:rPr>
              <w:t>s alpha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981252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CB4C6D">
              <w:rPr>
                <w:rFonts w:eastAsia="Times New Roman"/>
                <w:b/>
                <w:bCs/>
                <w:sz w:val="22"/>
              </w:rPr>
              <w:t>CR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03985A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CB4C6D">
              <w:rPr>
                <w:rFonts w:eastAsia="Times New Roman"/>
                <w:b/>
                <w:bCs/>
                <w:sz w:val="22"/>
              </w:rPr>
              <w:t>AVE</w:t>
            </w:r>
          </w:p>
        </w:tc>
      </w:tr>
      <w:tr w:rsidR="00C004A3" w:rsidRPr="00CB4C6D" w14:paraId="711CDAEF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94456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Perceived coolness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852A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61B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0.799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591E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0.807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393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0.628</w:t>
            </w:r>
          </w:p>
        </w:tc>
      </w:tr>
      <w:tr w:rsidR="00C004A3" w:rsidRPr="00CB4C6D" w14:paraId="42782709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7F3BD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Subcultural appeal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E8FA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0.680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A969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12336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931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1D874E61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E4EE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 xml:space="preserve">Utility 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AF91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0.813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CF145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A242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D8EAC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1C4EB7EF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6964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Originality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141F2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0.861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B44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11AE9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18D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4AFF6C07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1389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Attractiveness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1BB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0.803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87C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3F6D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DD31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38D0E425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0307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Hedonic experience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042F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A944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0.930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5DA3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0.930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F814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0.877</w:t>
            </w:r>
          </w:p>
        </w:tc>
      </w:tr>
      <w:tr w:rsidR="00C004A3" w:rsidRPr="00CB4C6D" w14:paraId="1621A92A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20D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HED1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23AF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0.915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DD60C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77E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C83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06B8E568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36DED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HED2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CE362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0.951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BE89C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7A9D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C95D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00D1B51B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57A7A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HED3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8A743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0.943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58272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9FF5D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69C94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04C6D18C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9066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Cognitive experience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94663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E252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0.947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55CC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0.948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37C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0.905</w:t>
            </w:r>
          </w:p>
        </w:tc>
      </w:tr>
      <w:tr w:rsidR="00C004A3" w:rsidRPr="00CB4C6D" w14:paraId="178FD1FE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18BD3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COG3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DFEA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0.949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0620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D9A4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9486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2B720B04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7B3C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COG4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7824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0.966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9F4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6377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A8236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3D3EBDAF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512C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COG5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FF214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0.938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6D51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9584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9D1B4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2D0938C2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FAD81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Personal experience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FF9E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6DDC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0.935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6152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0.935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5CC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0.884</w:t>
            </w:r>
          </w:p>
        </w:tc>
      </w:tr>
      <w:tr w:rsidR="00C004A3" w:rsidRPr="00CB4C6D" w14:paraId="431E5689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32FDC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PER1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EC6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0.935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1153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E51D4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6001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6740F15A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9A0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PER2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53EEA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0.952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B6E73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90AA5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A1FC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0F50F3B3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7EA0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PER3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E531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0.935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754E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F6EA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A61A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3807B3C1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1DE1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Subjective well-being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0E2F4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8DFF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0.949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743E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0.949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5E89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0.907</w:t>
            </w:r>
          </w:p>
        </w:tc>
      </w:tr>
      <w:tr w:rsidR="00C004A3" w:rsidRPr="00CB4C6D" w14:paraId="3C3E889D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7CBF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SWB1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1FF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0.946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D3BE1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C9B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DE1C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3F2E70D5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BC63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SWB2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FFFAD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0.961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0659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3DB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DB826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2FB43173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B6BED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SWB3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470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0.951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AA366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6C8D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037A9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7D8672FE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9E790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Revisit intention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508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6DB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0.907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0C626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0.909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E49EA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0.782</w:t>
            </w:r>
          </w:p>
        </w:tc>
      </w:tr>
      <w:tr w:rsidR="00C004A3" w:rsidRPr="00CB4C6D" w14:paraId="61F8CAEC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66413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RI1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F2A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0.860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F1B5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9435C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D6F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41953B1F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DAFF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RI2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4E76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0.915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559A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6C019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4600A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2DBD7876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9E5C9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RI3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11B79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0.882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7C76E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6B9B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EC5F8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</w:p>
        </w:tc>
      </w:tr>
      <w:tr w:rsidR="00C004A3" w:rsidRPr="00CB4C6D" w14:paraId="4DB688E4" w14:textId="77777777" w:rsidTr="00B36F6F">
        <w:trPr>
          <w:trHeight w:val="318"/>
        </w:trPr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317A4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RI4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6EC113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0.878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F1CF37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75E99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509D1" w14:textId="77777777" w:rsidR="00C004A3" w:rsidRPr="00CB4C6D" w:rsidRDefault="00C004A3" w:rsidP="0089302F">
            <w:pPr>
              <w:spacing w:after="0" w:line="240" w:lineRule="auto"/>
              <w:jc w:val="center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sz w:val="22"/>
              </w:rPr>
              <w:t> </w:t>
            </w:r>
          </w:p>
        </w:tc>
      </w:tr>
      <w:tr w:rsidR="00C004A3" w:rsidRPr="00CB4C6D" w14:paraId="3620FB8F" w14:textId="77777777" w:rsidTr="00B36F6F">
        <w:trPr>
          <w:trHeight w:val="354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EAE773B" w14:textId="77777777" w:rsidR="00C004A3" w:rsidRPr="00CB4C6D" w:rsidRDefault="00C004A3" w:rsidP="0089302F">
            <w:pPr>
              <w:spacing w:after="0" w:line="240" w:lineRule="auto"/>
              <w:rPr>
                <w:rFonts w:eastAsia="Times New Roman"/>
                <w:sz w:val="22"/>
              </w:rPr>
            </w:pPr>
            <w:r w:rsidRPr="00CB4C6D">
              <w:rPr>
                <w:rFonts w:eastAsia="Times New Roman"/>
                <w:i/>
                <w:iCs/>
                <w:sz w:val="22"/>
              </w:rPr>
              <w:t>Note</w:t>
            </w:r>
            <w:r w:rsidRPr="00CB4C6D">
              <w:rPr>
                <w:rFonts w:eastAsia="Times New Roman"/>
                <w:sz w:val="22"/>
              </w:rPr>
              <w:t>. CR=composite reliability; AVE=average variance extracted</w:t>
            </w:r>
          </w:p>
        </w:tc>
      </w:tr>
    </w:tbl>
    <w:p w14:paraId="2A5F70CC" w14:textId="77777777" w:rsidR="00C004A3" w:rsidRPr="00B43DE1" w:rsidRDefault="00C004A3" w:rsidP="00C004A3">
      <w:pPr>
        <w:spacing w:before="100" w:beforeAutospacing="1" w:after="0"/>
        <w:rPr>
          <w:rFonts w:eastAsia="SimSun"/>
        </w:rPr>
      </w:pPr>
      <w:r w:rsidRPr="002F2928">
        <w:rPr>
          <w:rFonts w:eastAsia="SimSun"/>
        </w:rPr>
        <w:t>Source: Authors own work</w:t>
      </w:r>
    </w:p>
    <w:p w14:paraId="02B6035D" w14:textId="6F2F7A41" w:rsidR="00C93697" w:rsidRPr="00C75460" w:rsidRDefault="00C93697" w:rsidP="00C75460">
      <w:pPr>
        <w:spacing w:after="0" w:line="240" w:lineRule="auto"/>
        <w:jc w:val="both"/>
        <w:rPr>
          <w:rFonts w:eastAsia="SimSun"/>
        </w:rPr>
      </w:pPr>
    </w:p>
    <w:sectPr w:rsidR="00C93697" w:rsidRPr="00C75460" w:rsidSect="00B36F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666"/>
    <w:rsid w:val="00050DE9"/>
    <w:rsid w:val="00112AB8"/>
    <w:rsid w:val="00176861"/>
    <w:rsid w:val="002E3666"/>
    <w:rsid w:val="003E3934"/>
    <w:rsid w:val="003F1646"/>
    <w:rsid w:val="004A1929"/>
    <w:rsid w:val="00585642"/>
    <w:rsid w:val="00621C67"/>
    <w:rsid w:val="00773DE7"/>
    <w:rsid w:val="008220DA"/>
    <w:rsid w:val="00AA018F"/>
    <w:rsid w:val="00B36F6F"/>
    <w:rsid w:val="00C004A3"/>
    <w:rsid w:val="00C1114A"/>
    <w:rsid w:val="00C75460"/>
    <w:rsid w:val="00C93697"/>
    <w:rsid w:val="00EB1489"/>
    <w:rsid w:val="00F5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6FB2"/>
  <w15:chartTrackingRefBased/>
  <w15:docId w15:val="{DCFBC7C6-09EA-394E-9A81-FE4AF81E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666"/>
    <w:pPr>
      <w:spacing w:after="160" w:line="259" w:lineRule="auto"/>
      <w:jc w:val="left"/>
    </w:pPr>
    <w:rPr>
      <w:rFonts w:ascii="Times New Roman" w:hAnsi="Times New Roman" w:cs="Times New Roman"/>
      <w:kern w:val="0"/>
      <w:sz w:val="24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3666"/>
    <w:pPr>
      <w:keepNext/>
      <w:keepLines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666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666"/>
    <w:pPr>
      <w:keepNext/>
      <w:keepLines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666"/>
    <w:pPr>
      <w:keepNext/>
      <w:keepLines/>
      <w:spacing w:before="80" w:after="40" w:line="240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0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666"/>
    <w:pPr>
      <w:keepNext/>
      <w:keepLines/>
      <w:spacing w:before="80" w:after="40" w:line="240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0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666"/>
    <w:pPr>
      <w:keepNext/>
      <w:keepLines/>
      <w:spacing w:before="80" w:after="40" w:line="240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0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666"/>
    <w:pPr>
      <w:keepNext/>
      <w:keepLines/>
      <w:spacing w:before="80" w:after="40" w:line="240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0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666"/>
    <w:pPr>
      <w:keepNext/>
      <w:keepLines/>
      <w:spacing w:before="80" w:after="40" w:line="240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0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666"/>
    <w:pPr>
      <w:keepNext/>
      <w:keepLines/>
      <w:spacing w:before="80" w:after="40" w:line="240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0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iginalreferencesentneces">
    <w:name w:val="original reference sentneces"/>
    <w:basedOn w:val="Normal"/>
    <w:qFormat/>
    <w:rsid w:val="003E3934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 w:line="240" w:lineRule="auto"/>
    </w:pPr>
    <w:rPr>
      <w:color w:val="141413"/>
      <w:sz w:val="22"/>
      <w:lang w:eastAsia="ko-KR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2E36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6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66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6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666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2E36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3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666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36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666"/>
    <w:pPr>
      <w:spacing w:before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0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3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666"/>
    <w:pPr>
      <w:spacing w:after="0" w:line="240" w:lineRule="auto"/>
      <w:ind w:left="720"/>
      <w:contextualSpacing/>
      <w:jc w:val="both"/>
    </w:pPr>
    <w:rPr>
      <w:rFonts w:asciiTheme="minorHAnsi" w:hAnsiTheme="minorHAnsi" w:cstheme="minorBidi"/>
      <w:kern w:val="2"/>
      <w:sz w:val="20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3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0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666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B36F6F"/>
    <w:pPr>
      <w:jc w:val="left"/>
    </w:pPr>
    <w:rPr>
      <w:rFonts w:ascii="Times New Roman" w:hAnsi="Times New Roman" w:cs="Times New Roman"/>
      <w:kern w:val="0"/>
      <w:sz w:val="24"/>
      <w:szCs w:val="22"/>
      <w:lang w:eastAsia="zh-C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3F23AC-8BB7-5E47-8D43-B64F2E96D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heesuhan0815@gmail.com</dc:creator>
  <cp:keywords/>
  <dc:description/>
  <cp:lastModifiedBy>Shivani Emerald</cp:lastModifiedBy>
  <cp:revision>3</cp:revision>
  <dcterms:created xsi:type="dcterms:W3CDTF">2026-01-20T23:53:00Z</dcterms:created>
  <dcterms:modified xsi:type="dcterms:W3CDTF">2026-03-06T07:10:00Z</dcterms:modified>
</cp:coreProperties>
</file>