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9379" w14:textId="77777777" w:rsidR="0029318B" w:rsidRDefault="00000000">
      <w:pPr>
        <w:spacing w:after="605"/>
        <w:ind w:left="113"/>
        <w:jc w:val="center"/>
      </w:pPr>
      <w:r>
        <w:rPr>
          <w:rFonts w:ascii="Cambria" w:eastAsia="Cambria" w:hAnsi="Cambria" w:cs="Cambria"/>
          <w:sz w:val="34"/>
        </w:rPr>
        <w:t>Supplementary Material</w:t>
      </w:r>
    </w:p>
    <w:p w14:paraId="0A26ACF9" w14:textId="77777777" w:rsidR="0029318B" w:rsidRDefault="00000000">
      <w:pPr>
        <w:tabs>
          <w:tab w:val="right" w:pos="9247"/>
        </w:tabs>
        <w:spacing w:after="85"/>
      </w:pPr>
      <w:r>
        <w:rPr>
          <w:rFonts w:ascii="Cambria" w:eastAsia="Cambria" w:hAnsi="Cambria" w:cs="Cambria"/>
          <w:b/>
          <w:sz w:val="29"/>
        </w:rPr>
        <w:t>1</w:t>
      </w:r>
      <w:r>
        <w:rPr>
          <w:rFonts w:ascii="Cambria" w:eastAsia="Cambria" w:hAnsi="Cambria" w:cs="Cambria"/>
          <w:b/>
          <w:sz w:val="29"/>
        </w:rPr>
        <w:tab/>
        <w:t>Priors Used in the Hierarchical Negative Binomial Regression</w:t>
      </w:r>
    </w:p>
    <w:p w14:paraId="08C680D6" w14:textId="77777777" w:rsidR="0029318B" w:rsidRDefault="00000000">
      <w:pPr>
        <w:spacing w:after="206"/>
      </w:pPr>
      <w:r>
        <w:rPr>
          <w:rFonts w:ascii="Cambria" w:eastAsia="Cambria" w:hAnsi="Cambria" w:cs="Cambria"/>
          <w:sz w:val="20"/>
        </w:rPr>
        <w:t>In the negative binomial hierarchical regression run (section 3), the following priors were used:</w:t>
      </w:r>
    </w:p>
    <w:tbl>
      <w:tblPr>
        <w:tblStyle w:val="TableGrid"/>
        <w:tblW w:w="9360" w:type="dxa"/>
        <w:tblInd w:w="0" w:type="dxa"/>
        <w:tblCellMar>
          <w:top w:w="39" w:type="dxa"/>
          <w:left w:w="0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9096"/>
        <w:gridCol w:w="264"/>
      </w:tblGrid>
      <w:tr w:rsidR="0029318B" w14:paraId="02C9B3F6" w14:textId="77777777">
        <w:trPr>
          <w:trHeight w:val="28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42494F72" w14:textId="77777777" w:rsidR="0029318B" w:rsidRDefault="00000000">
            <w:pPr>
              <w:spacing w:after="0"/>
              <w:ind w:right="789"/>
              <w:jc w:val="center"/>
            </w:pPr>
            <w:proofErr w:type="spellStart"/>
            <w:r>
              <w:rPr>
                <w:rFonts w:ascii="Cambria" w:eastAsia="Cambria" w:hAnsi="Cambria" w:cs="Cambria"/>
                <w:i/>
                <w:sz w:val="20"/>
              </w:rPr>
              <w:t>θ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>k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∼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N(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5</w:t>
            </w:r>
            <w:r>
              <w:rPr>
                <w:rFonts w:ascii="Cambria" w:eastAsia="Cambria" w:hAnsi="Cambria" w:cs="Cambria"/>
                <w:sz w:val="20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20"/>
              </w:rPr>
              <w:t>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179A55E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(1)</w:t>
            </w:r>
          </w:p>
        </w:tc>
      </w:tr>
      <w:tr w:rsidR="0029318B" w14:paraId="2A4315AF" w14:textId="77777777">
        <w:trPr>
          <w:trHeight w:val="336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0F09894F" w14:textId="2E79AB19" w:rsidR="0029318B" w:rsidRDefault="00000000">
            <w:pPr>
              <w:spacing w:after="0"/>
              <w:ind w:left="255"/>
              <w:jc w:val="center"/>
            </w:pPr>
            <w:r>
              <w:rPr>
                <w:rFonts w:ascii="Cambria" w:eastAsia="Cambria" w:hAnsi="Cambria" w:cs="Cambria"/>
                <w:i/>
                <w:sz w:val="20"/>
              </w:rPr>
              <w:t>σ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>k</w:t>
            </w:r>
            <w:r>
              <w:rPr>
                <w:rFonts w:ascii="Cambria" w:eastAsia="Cambria" w:hAnsi="Cambria" w:cs="Cambria"/>
                <w:sz w:val="20"/>
                <w:vertAlign w:val="superscript"/>
              </w:rPr>
              <w:t xml:space="preserve">2 </w:t>
            </w:r>
            <w:r>
              <w:rPr>
                <w:rFonts w:ascii="Cambria" w:eastAsia="Cambria" w:hAnsi="Cambria" w:cs="Cambria"/>
                <w:sz w:val="20"/>
              </w:rPr>
              <w:t>∼ Inv-</w:t>
            </w:r>
            <w:r w:rsidR="004A76CE">
              <w:rPr>
                <w:rFonts w:ascii="Cambria" w:eastAsia="Cambria" w:hAnsi="Cambria" w:cs="Cambria"/>
                <w:sz w:val="20"/>
              </w:rPr>
              <w:t>g</w:t>
            </w:r>
            <w:r>
              <w:rPr>
                <w:rFonts w:ascii="Cambria" w:eastAsia="Cambria" w:hAnsi="Cambria" w:cs="Cambria"/>
                <w:sz w:val="20"/>
              </w:rPr>
              <w:t>amma(0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BE5643B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(2)</w:t>
            </w:r>
          </w:p>
        </w:tc>
      </w:tr>
      <w:tr w:rsidR="0029318B" w14:paraId="10C5CDE9" w14:textId="77777777">
        <w:trPr>
          <w:trHeight w:val="1864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6AA3A3C7" w14:textId="77777777" w:rsidR="0029318B" w:rsidRDefault="00000000">
            <w:pPr>
              <w:spacing w:after="755"/>
              <w:ind w:right="773"/>
              <w:jc w:val="center"/>
            </w:pPr>
            <w:r>
              <w:rPr>
                <w:rFonts w:ascii="Cambria" w:eastAsia="Cambria" w:hAnsi="Cambria" w:cs="Cambria"/>
                <w:i/>
                <w:sz w:val="20"/>
              </w:rPr>
              <w:t>α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 xml:space="preserve">j </w:t>
            </w:r>
            <w:r>
              <w:rPr>
                <w:rFonts w:ascii="Cambria" w:eastAsia="Cambria" w:hAnsi="Cambria" w:cs="Cambria"/>
                <w:sz w:val="20"/>
              </w:rPr>
              <w:t xml:space="preserve">∼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Exp(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1)</w:t>
            </w:r>
          </w:p>
          <w:p w14:paraId="22CEF4E4" w14:textId="77777777" w:rsidR="0029318B" w:rsidRDefault="00000000">
            <w:pPr>
              <w:tabs>
                <w:tab w:val="center" w:pos="4008"/>
              </w:tabs>
              <w:spacing w:after="85"/>
            </w:pPr>
            <w:r>
              <w:rPr>
                <w:rFonts w:ascii="Cambria" w:eastAsia="Cambria" w:hAnsi="Cambria" w:cs="Cambria"/>
                <w:b/>
                <w:sz w:val="29"/>
              </w:rPr>
              <w:t>2</w:t>
            </w:r>
            <w:r>
              <w:rPr>
                <w:rFonts w:ascii="Cambria" w:eastAsia="Cambria" w:hAnsi="Cambria" w:cs="Cambria"/>
                <w:b/>
                <w:sz w:val="29"/>
              </w:rPr>
              <w:tab/>
              <w:t>Priors Used in the Hierarchical Linear Regression</w:t>
            </w:r>
          </w:p>
          <w:p w14:paraId="7895A25F" w14:textId="77777777" w:rsidR="0029318B" w:rsidRDefault="00000000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In the linear hierarchical regression run (section 4), the following priors were used: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F8304A9" w14:textId="77777777" w:rsidR="0029318B" w:rsidRDefault="00000000">
            <w:pPr>
              <w:spacing w:after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>(3)</w:t>
            </w:r>
          </w:p>
          <w:p w14:paraId="00567B53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(4)</w:t>
            </w:r>
          </w:p>
        </w:tc>
      </w:tr>
      <w:tr w:rsidR="0029318B" w14:paraId="0FAA932D" w14:textId="77777777">
        <w:trPr>
          <w:trHeight w:val="497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92450" w14:textId="77777777" w:rsidR="0029318B" w:rsidRDefault="00000000">
            <w:pPr>
              <w:spacing w:after="0"/>
              <w:ind w:right="662"/>
              <w:jc w:val="center"/>
            </w:pPr>
            <w:r>
              <w:rPr>
                <w:rFonts w:ascii="Cambria" w:eastAsia="Cambria" w:hAnsi="Cambria" w:cs="Cambria"/>
                <w:i/>
                <w:sz w:val="20"/>
              </w:rPr>
              <w:t>µ</w:t>
            </w:r>
            <w:proofErr w:type="spellStart"/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>i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∼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N(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20)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2C98A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(5)</w:t>
            </w:r>
          </w:p>
        </w:tc>
      </w:tr>
      <w:tr w:rsidR="0029318B" w14:paraId="4C5C0BB7" w14:textId="77777777">
        <w:trPr>
          <w:trHeight w:val="296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1DDCDB73" w14:textId="77777777" w:rsidR="0029318B" w:rsidRDefault="00000000">
            <w:pPr>
              <w:spacing w:after="0"/>
              <w:ind w:left="255"/>
              <w:jc w:val="center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Σ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>ii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∼ Inv-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gamma(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CDB83CC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(6)</w:t>
            </w:r>
          </w:p>
        </w:tc>
      </w:tr>
      <w:tr w:rsidR="0029318B" w14:paraId="0A70CA13" w14:textId="77777777">
        <w:trPr>
          <w:trHeight w:val="336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023A46D2" w14:textId="77777777" w:rsidR="0029318B" w:rsidRDefault="00000000">
            <w:pPr>
              <w:spacing w:after="0"/>
              <w:ind w:left="322"/>
              <w:jc w:val="center"/>
            </w:pPr>
            <w:r>
              <w:rPr>
                <w:rFonts w:ascii="Cambria" w:eastAsia="Cambria" w:hAnsi="Cambria" w:cs="Cambria"/>
                <w:i/>
                <w:sz w:val="20"/>
              </w:rPr>
              <w:t>τ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>j</w:t>
            </w:r>
            <w:r>
              <w:rPr>
                <w:rFonts w:ascii="Cambria" w:eastAsia="Cambria" w:hAnsi="Cambria" w:cs="Cambria"/>
                <w:sz w:val="20"/>
                <w:vertAlign w:val="superscript"/>
              </w:rPr>
              <w:t xml:space="preserve">2 </w:t>
            </w:r>
            <w:r>
              <w:rPr>
                <w:rFonts w:ascii="Cambria" w:eastAsia="Cambria" w:hAnsi="Cambria" w:cs="Cambria"/>
                <w:sz w:val="20"/>
              </w:rPr>
              <w:t>∼ Inv-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gamma(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0BBA9E1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(7)</w:t>
            </w:r>
          </w:p>
        </w:tc>
      </w:tr>
      <w:tr w:rsidR="0029318B" w14:paraId="0E60907C" w14:textId="77777777">
        <w:trPr>
          <w:trHeight w:val="328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24050143" w14:textId="77777777" w:rsidR="0029318B" w:rsidRDefault="00000000">
            <w:pPr>
              <w:spacing w:after="0"/>
              <w:ind w:left="311"/>
              <w:jc w:val="center"/>
            </w:pPr>
            <w:r>
              <w:rPr>
                <w:rFonts w:ascii="Cambria" w:eastAsia="Cambria" w:hAnsi="Cambria" w:cs="Cambria"/>
                <w:i/>
                <w:sz w:val="20"/>
              </w:rPr>
              <w:t>σ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>b</w:t>
            </w:r>
            <w:r>
              <w:rPr>
                <w:rFonts w:ascii="Cambria" w:eastAsia="Cambria" w:hAnsi="Cambria" w:cs="Cambria"/>
                <w:sz w:val="20"/>
                <w:vertAlign w:val="superscript"/>
              </w:rPr>
              <w:t xml:space="preserve">2 </w:t>
            </w:r>
            <w:r>
              <w:rPr>
                <w:rFonts w:ascii="Cambria" w:eastAsia="Cambria" w:hAnsi="Cambria" w:cs="Cambria"/>
                <w:sz w:val="20"/>
              </w:rPr>
              <w:t>∼ Inv-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gamma(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i/>
                <w:sz w:val="20"/>
              </w:rPr>
              <w:t>.</w:t>
            </w:r>
            <w:r>
              <w:rPr>
                <w:rFonts w:ascii="Cambria" w:eastAsia="Cambria" w:hAnsi="Cambria" w:cs="Cambria"/>
                <w:sz w:val="20"/>
              </w:rPr>
              <w:t>5)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F0E3051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(8)</w:t>
            </w:r>
          </w:p>
        </w:tc>
      </w:tr>
      <w:tr w:rsidR="0029318B" w14:paraId="2EDA271F" w14:textId="77777777">
        <w:trPr>
          <w:trHeight w:val="243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29939EAB" w14:textId="77777777" w:rsidR="0029318B" w:rsidRDefault="00000000">
            <w:pPr>
              <w:spacing w:after="0"/>
              <w:ind w:left="239"/>
              <w:jc w:val="center"/>
            </w:pPr>
            <w:r>
              <w:rPr>
                <w:rFonts w:ascii="Cambria" w:eastAsia="Cambria" w:hAnsi="Cambria" w:cs="Cambria"/>
                <w:i/>
                <w:sz w:val="20"/>
              </w:rPr>
              <w:t>µ</w:t>
            </w:r>
            <w:r>
              <w:rPr>
                <w:rFonts w:ascii="Cambria" w:eastAsia="Cambria" w:hAnsi="Cambria" w:cs="Cambria"/>
                <w:i/>
                <w:sz w:val="20"/>
                <w:vertAlign w:val="subscript"/>
              </w:rPr>
              <w:t xml:space="preserve">b </w:t>
            </w:r>
            <w:r>
              <w:rPr>
                <w:rFonts w:ascii="Cambria" w:eastAsia="Cambria" w:hAnsi="Cambria" w:cs="Cambria"/>
                <w:sz w:val="20"/>
              </w:rPr>
              <w:t xml:space="preserve">∼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</w:rPr>
              <w:t>TruncNorm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(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>20</w:t>
            </w:r>
            <w:r>
              <w:rPr>
                <w:rFonts w:ascii="Cambria" w:eastAsia="Cambria" w:hAnsi="Cambria" w:cs="Cambria"/>
                <w:i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50)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F3AD3C0" w14:textId="77777777" w:rsidR="0029318B" w:rsidRDefault="00000000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</w:rPr>
              <w:t>(9)</w:t>
            </w:r>
          </w:p>
        </w:tc>
      </w:tr>
    </w:tbl>
    <w:p w14:paraId="021B96D9" w14:textId="6CEF5D94" w:rsidR="0029318B" w:rsidRDefault="0029318B">
      <w:pPr>
        <w:spacing w:after="0"/>
        <w:ind w:left="113"/>
        <w:jc w:val="center"/>
      </w:pPr>
    </w:p>
    <w:sectPr w:rsidR="0029318B">
      <w:pgSz w:w="12240" w:h="15840"/>
      <w:pgMar w:top="1440" w:right="15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8B"/>
    <w:rsid w:val="0029318B"/>
    <w:rsid w:val="003142BD"/>
    <w:rsid w:val="004A76CE"/>
    <w:rsid w:val="00627012"/>
    <w:rsid w:val="00C823C6"/>
    <w:rsid w:val="00D135A5"/>
    <w:rsid w:val="00E73299"/>
    <w:rsid w:val="00E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D70ED"/>
  <w15:docId w15:val="{0695523F-2F55-9440-BD16-68025AB2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Franqueville, Juliette</dc:creator>
  <cp:keywords/>
  <cp:lastModifiedBy>Franqueville, Juliette</cp:lastModifiedBy>
  <cp:revision>9</cp:revision>
  <dcterms:created xsi:type="dcterms:W3CDTF">2024-08-29T22:57:00Z</dcterms:created>
  <dcterms:modified xsi:type="dcterms:W3CDTF">2024-08-29T23:02:00Z</dcterms:modified>
</cp:coreProperties>
</file>