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B3E" w:rsidRDefault="00BC2067" w:rsidP="00BC2067">
      <w:pPr>
        <w:spacing w:line="480" w:lineRule="auto"/>
        <w:rPr>
          <w:rFonts w:ascii="Times New Roman" w:eastAsia="Times New Roman" w:hAnsi="Times New Roman" w:cs="Times New Roman"/>
          <w:sz w:val="24"/>
          <w:szCs w:val="24"/>
        </w:rPr>
      </w:pPr>
      <w:r w:rsidRPr="00D56085">
        <w:rPr>
          <w:rFonts w:ascii="Times New Roman" w:eastAsia="Times New Roman" w:hAnsi="Times New Roman" w:cs="Times New Roman"/>
          <w:b/>
          <w:bCs/>
          <w:sz w:val="24"/>
          <w:szCs w:val="24"/>
        </w:rPr>
        <w:t>Title:</w:t>
      </w:r>
      <w:r w:rsidRPr="00D56085">
        <w:rPr>
          <w:rFonts w:ascii="Times New Roman" w:eastAsia="Times New Roman" w:hAnsi="Times New Roman" w:cs="Times New Roman"/>
          <w:sz w:val="24"/>
          <w:szCs w:val="24"/>
        </w:rPr>
        <w:t xml:space="preserve"> Implementation Issues of Republic Act 10754 (An Act Expanding the Benefits and Privileges of Persons with Disability) in the Philippines: A Qualitative Study</w:t>
      </w:r>
    </w:p>
    <w:p w:rsidR="00BC2067" w:rsidRDefault="006402EB" w:rsidP="00BC206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Supplementary File 1: </w:t>
      </w:r>
      <w:r w:rsidR="00BC2067" w:rsidRPr="00BC2067">
        <w:rPr>
          <w:rFonts w:ascii="Times New Roman" w:eastAsia="Times New Roman" w:hAnsi="Times New Roman" w:cs="Times New Roman"/>
          <w:b/>
          <w:bCs/>
          <w:sz w:val="24"/>
          <w:szCs w:val="24"/>
        </w:rPr>
        <w:t>Methodology Supplementary File</w:t>
      </w:r>
      <w:r>
        <w:rPr>
          <w:rFonts w:ascii="Times New Roman" w:eastAsia="Times New Roman" w:hAnsi="Times New Roman" w:cs="Times New Roman"/>
          <w:b/>
          <w:bCs/>
          <w:sz w:val="24"/>
          <w:szCs w:val="24"/>
        </w:rPr>
        <w:t xml:space="preserve"> </w:t>
      </w:r>
    </w:p>
    <w:p w:rsidR="00BC2067" w:rsidRDefault="00BC2067" w:rsidP="00BC2067">
      <w:pP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Inclusion-exclusion criteria and recruitment</w:t>
      </w:r>
    </w:p>
    <w:p w:rsidR="00BC2067" w:rsidRPr="003921EE" w:rsidRDefault="00BC2067" w:rsidP="00BC2067">
      <w:pPr>
        <w:spacing w:line="477" w:lineRule="auto"/>
        <w:ind w:firstLine="720"/>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t>Purposive sampling was used to choose the participants as this study would benefit from participant diversity, such as different doctor specializations, kinds of businesses, LGUs, and types of disability. The snowball technique was also used during the recruitment process especially during interviews with LGU workers since they were well connected to persons with disabilities, business establishments, and even other LGU workers.</w:t>
      </w:r>
    </w:p>
    <w:p w:rsidR="00BC2067" w:rsidRDefault="00BC2067" w:rsidP="00BC2067">
      <w:pPr>
        <w:spacing w:line="477" w:lineRule="auto"/>
        <w:ind w:firstLine="720"/>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t>Persons with disabilities were recruited either through their affiliation with PWD organizations, based on their type of disability, or individuals that fulfill the selection criteria. If another party helped the persons with disabilities apply for their ID, they were allowed to participate in the interview alongside the persons with disabilities, and were asked to sign the consent form as well. In selecting business establishments to interview, we chose companies with lower prices relative to others in their respective industry, such as fast-food chains, local pharmacies, and groceries. These businesses are frequently visited by persons with disabilities. Talking to these businesses was about getting a localized perspective of how they know and use the law. As for healthcare workers, a diverse set of doctors, each with different specialties capable of writing a medical certificate for persons with disabilities, and barangay (i.e., village) health volunteers in rural areas</w:t>
      </w:r>
      <w:r>
        <w:rPr>
          <w:rFonts w:ascii="Times New Roman" w:eastAsia="Times New Roman" w:hAnsi="Times New Roman" w:cs="Times New Roman"/>
          <w:sz w:val="24"/>
          <w:szCs w:val="24"/>
        </w:rPr>
        <w:t xml:space="preserve"> </w:t>
      </w:r>
      <w:r w:rsidRPr="003921EE">
        <w:rPr>
          <w:rFonts w:ascii="Times New Roman" w:eastAsia="Times New Roman" w:hAnsi="Times New Roman" w:cs="Times New Roman"/>
          <w:sz w:val="24"/>
          <w:szCs w:val="24"/>
        </w:rPr>
        <w:t xml:space="preserve">were invited to be interviewed. Lastly, LGUs were selected based on location, population density of the city and number of persons with disability, and through recommendations from other LGUs. This was done to ensure that the study captured perspectives from a broader range of people, including those who are in less urbanized areas. This approach </w:t>
      </w:r>
      <w:r w:rsidRPr="003921EE">
        <w:rPr>
          <w:rFonts w:ascii="Times New Roman" w:eastAsia="Times New Roman" w:hAnsi="Times New Roman" w:cs="Times New Roman"/>
          <w:sz w:val="24"/>
          <w:szCs w:val="24"/>
        </w:rPr>
        <w:lastRenderedPageBreak/>
        <w:t>ensures diversity of the results and reduce potential biases associated with focusing solely on large cities, where access to services may differ from more rural areas (</w:t>
      </w:r>
      <w:r>
        <w:rPr>
          <w:rFonts w:ascii="Times New Roman" w:eastAsia="Times New Roman" w:hAnsi="Times New Roman" w:cs="Times New Roman"/>
          <w:sz w:val="24"/>
          <w:szCs w:val="24"/>
        </w:rPr>
        <w:t xml:space="preserve">Supplementary </w:t>
      </w:r>
      <w:r w:rsidRPr="003921EE">
        <w:rPr>
          <w:rFonts w:ascii="Times New Roman" w:eastAsia="Times New Roman" w:hAnsi="Times New Roman" w:cs="Times New Roman"/>
          <w:sz w:val="24"/>
          <w:szCs w:val="24"/>
        </w:rPr>
        <w:t>Table I).</w:t>
      </w:r>
    </w:p>
    <w:p w:rsidR="00BC2067" w:rsidRDefault="00BC2067" w:rsidP="00BC2067">
      <w:pPr>
        <w:spacing w:line="4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I. Inclusion-exclusion criteria for this study.</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055"/>
        <w:gridCol w:w="4350"/>
        <w:gridCol w:w="2955"/>
      </w:tblGrid>
      <w:tr w:rsidR="00BC2067" w:rsidTr="00767F38">
        <w:trPr>
          <w:trHeight w:val="765"/>
        </w:trPr>
        <w:tc>
          <w:tcPr>
            <w:tcW w:w="2055" w:type="dxa"/>
            <w:tcBorders>
              <w:top w:val="single" w:sz="6" w:space="0" w:color="434343"/>
              <w:left w:val="single" w:sz="6" w:space="0" w:color="FFFFFF"/>
              <w:bottom w:val="single" w:sz="6" w:space="0" w:color="434343"/>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w:t>
            </w:r>
          </w:p>
        </w:tc>
        <w:tc>
          <w:tcPr>
            <w:tcW w:w="4350" w:type="dxa"/>
            <w:tcBorders>
              <w:top w:val="single" w:sz="6" w:space="0" w:color="434343"/>
              <w:left w:val="nil"/>
              <w:bottom w:val="single" w:sz="6" w:space="0" w:color="434343"/>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INCLUSION CRITERIA</w:t>
            </w:r>
          </w:p>
        </w:tc>
        <w:tc>
          <w:tcPr>
            <w:tcW w:w="2955" w:type="dxa"/>
            <w:tcBorders>
              <w:top w:val="single" w:sz="6" w:space="0" w:color="434343"/>
              <w:left w:val="nil"/>
              <w:bottom w:val="single" w:sz="6" w:space="0" w:color="434343"/>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EXCLUSION CRITERIA</w:t>
            </w:r>
          </w:p>
        </w:tc>
      </w:tr>
      <w:tr w:rsidR="00BC2067" w:rsidTr="00767F38">
        <w:trPr>
          <w:trHeight w:val="2690"/>
        </w:trPr>
        <w:tc>
          <w:tcPr>
            <w:tcW w:w="2055" w:type="dxa"/>
            <w:tcBorders>
              <w:top w:val="nil"/>
              <w:left w:val="single" w:sz="6" w:space="0" w:color="FFFFFF"/>
              <w:bottom w:val="single" w:sz="6" w:space="0" w:color="000000"/>
              <w:right w:val="single" w:sz="6" w:space="0" w:color="FFFFFF"/>
            </w:tcBorders>
            <w:tcMar>
              <w:top w:w="100" w:type="dxa"/>
              <w:left w:w="100" w:type="dxa"/>
              <w:bottom w:w="100" w:type="dxa"/>
              <w:right w:w="100" w:type="dxa"/>
            </w:tcMar>
          </w:tcPr>
          <w:p w:rsidR="00BC2067" w:rsidRDefault="00BC2067" w:rsidP="00767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Persons with disabilities </w:t>
            </w:r>
          </w:p>
        </w:tc>
        <w:tc>
          <w:tcPr>
            <w:tcW w:w="4350" w:type="dxa"/>
            <w:tcBorders>
              <w:top w:val="nil"/>
              <w:left w:val="nil"/>
              <w:bottom w:val="single" w:sz="6" w:space="0" w:color="000000"/>
              <w:right w:val="single" w:sz="6" w:space="0" w:color="FFFFFF"/>
            </w:tcBorders>
            <w:tcMar>
              <w:top w:w="100" w:type="dxa"/>
              <w:left w:w="100" w:type="dxa"/>
              <w:bottom w:w="100" w:type="dxa"/>
              <w:right w:w="100" w:type="dxa"/>
            </w:tcMar>
          </w:tcPr>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Male or female 18 years of age and above</w:t>
            </w:r>
          </w:p>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Must be a resident of a participating LGU</w:t>
            </w:r>
          </w:p>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Must be diagnosed with a disability (e.g., hearing loss, visual impairment, orthopedic disability, and others as specified by the law)</w:t>
            </w:r>
          </w:p>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 xml:space="preserve">Must either hold a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with disabilities ID or have tried to apply for a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with disabilities ID</w:t>
            </w:r>
          </w:p>
        </w:tc>
        <w:tc>
          <w:tcPr>
            <w:tcW w:w="2955" w:type="dxa"/>
            <w:tcBorders>
              <w:top w:val="nil"/>
              <w:left w:val="nil"/>
              <w:bottom w:val="single" w:sz="6" w:space="0" w:color="000000"/>
              <w:right w:val="single" w:sz="6" w:space="0" w:color="FFFFFF"/>
            </w:tcBorders>
            <w:tcMar>
              <w:top w:w="100" w:type="dxa"/>
              <w:left w:w="100" w:type="dxa"/>
              <w:bottom w:w="100" w:type="dxa"/>
              <w:right w:w="100" w:type="dxa"/>
            </w:tcMar>
          </w:tcPr>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They have a senior citizen card</w:t>
            </w:r>
          </w:p>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Persons with disabilities with severe disabilities in speech, hearing, or cognition that inhibit data collection.</w:t>
            </w:r>
          </w:p>
          <w:p w:rsidR="00BC2067" w:rsidRDefault="00BC2067" w:rsidP="00767F38">
            <w:pPr>
              <w:rPr>
                <w:rFonts w:ascii="Times New Roman" w:eastAsia="Times New Roman" w:hAnsi="Times New Roman" w:cs="Times New Roman"/>
              </w:rPr>
            </w:pPr>
            <w:r>
              <w:rPr>
                <w:rFonts w:ascii="Times New Roman" w:eastAsia="Times New Roman" w:hAnsi="Times New Roman" w:cs="Times New Roman"/>
              </w:rPr>
              <w:t xml:space="preserve"> </w:t>
            </w:r>
          </w:p>
        </w:tc>
      </w:tr>
      <w:tr w:rsidR="00BC2067" w:rsidTr="00767F38">
        <w:trPr>
          <w:trHeight w:val="1700"/>
        </w:trPr>
        <w:tc>
          <w:tcPr>
            <w:tcW w:w="2055" w:type="dxa"/>
            <w:tcBorders>
              <w:top w:val="nil"/>
              <w:left w:val="single" w:sz="6" w:space="0" w:color="FFFFFF"/>
              <w:bottom w:val="single" w:sz="6" w:space="0" w:color="000000"/>
              <w:right w:val="single" w:sz="6" w:space="0" w:color="FFFFFF"/>
            </w:tcBorders>
            <w:tcMar>
              <w:top w:w="100" w:type="dxa"/>
              <w:left w:w="100" w:type="dxa"/>
              <w:bottom w:w="100" w:type="dxa"/>
              <w:right w:w="100" w:type="dxa"/>
            </w:tcMar>
          </w:tcPr>
          <w:p w:rsidR="00BC2067" w:rsidRDefault="00BC2067" w:rsidP="00767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Establishments</w:t>
            </w:r>
          </w:p>
        </w:tc>
        <w:tc>
          <w:tcPr>
            <w:tcW w:w="4350" w:type="dxa"/>
            <w:tcBorders>
              <w:top w:val="nil"/>
              <w:left w:val="nil"/>
              <w:bottom w:val="single" w:sz="6" w:space="0" w:color="000000"/>
              <w:right w:val="single" w:sz="6" w:space="0" w:color="FFFFFF"/>
            </w:tcBorders>
            <w:tcMar>
              <w:top w:w="100" w:type="dxa"/>
              <w:left w:w="100" w:type="dxa"/>
              <w:bottom w:w="100" w:type="dxa"/>
              <w:right w:w="100" w:type="dxa"/>
            </w:tcMar>
          </w:tcPr>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Businesses from several different industries including but not limited to groceries, clinics, hospitals, pharmacies, transportation, hotels, restaurants, and entertainment centers.</w:t>
            </w:r>
          </w:p>
        </w:tc>
        <w:tc>
          <w:tcPr>
            <w:tcW w:w="2955" w:type="dxa"/>
            <w:tcBorders>
              <w:top w:val="nil"/>
              <w:left w:val="nil"/>
              <w:bottom w:val="single" w:sz="6" w:space="0" w:color="000000"/>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rPr>
            </w:pPr>
            <w:r>
              <w:rPr>
                <w:rFonts w:ascii="Times New Roman" w:eastAsia="Times New Roman" w:hAnsi="Times New Roman" w:cs="Times New Roman"/>
              </w:rPr>
              <w:t>N/A</w:t>
            </w:r>
          </w:p>
        </w:tc>
      </w:tr>
      <w:tr w:rsidR="00BC2067" w:rsidTr="00767F38">
        <w:trPr>
          <w:trHeight w:val="2195"/>
        </w:trPr>
        <w:tc>
          <w:tcPr>
            <w:tcW w:w="2055" w:type="dxa"/>
            <w:tcBorders>
              <w:top w:val="nil"/>
              <w:left w:val="single" w:sz="6" w:space="0" w:color="FFFFFF"/>
              <w:bottom w:val="single" w:sz="6" w:space="0" w:color="434343"/>
              <w:right w:val="single" w:sz="6" w:space="0" w:color="FFFFFF"/>
            </w:tcBorders>
            <w:tcMar>
              <w:top w:w="100" w:type="dxa"/>
              <w:left w:w="100" w:type="dxa"/>
              <w:bottom w:w="100" w:type="dxa"/>
              <w:right w:w="100" w:type="dxa"/>
            </w:tcMar>
          </w:tcPr>
          <w:p w:rsidR="00BC2067" w:rsidRDefault="00BC2067" w:rsidP="00767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Workers</w:t>
            </w:r>
          </w:p>
        </w:tc>
        <w:tc>
          <w:tcPr>
            <w:tcW w:w="4350" w:type="dxa"/>
            <w:tcBorders>
              <w:top w:val="nil"/>
              <w:left w:val="nil"/>
              <w:bottom w:val="single" w:sz="6" w:space="0" w:color="434343"/>
              <w:right w:val="single" w:sz="6" w:space="0" w:color="FFFFFF"/>
            </w:tcBorders>
            <w:tcMar>
              <w:top w:w="100" w:type="dxa"/>
              <w:left w:w="100" w:type="dxa"/>
              <w:bottom w:w="100" w:type="dxa"/>
              <w:right w:w="100" w:type="dxa"/>
            </w:tcMar>
          </w:tcPr>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 xml:space="preserve">Must have been approached by persons with disabilities for a physical and mental examination for the purpose of issuing a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with disabilities ID</w:t>
            </w:r>
          </w:p>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Must have either granted or rejected a medical certificate for the purpose of persons with disabilities ID application previously</w:t>
            </w:r>
          </w:p>
        </w:tc>
        <w:tc>
          <w:tcPr>
            <w:tcW w:w="2955" w:type="dxa"/>
            <w:tcBorders>
              <w:top w:val="nil"/>
              <w:left w:val="nil"/>
              <w:bottom w:val="single" w:sz="6" w:space="0" w:color="434343"/>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rPr>
            </w:pPr>
            <w:r>
              <w:rPr>
                <w:rFonts w:ascii="Times New Roman" w:eastAsia="Times New Roman" w:hAnsi="Times New Roman" w:cs="Times New Roman"/>
              </w:rPr>
              <w:t>N/A</w:t>
            </w:r>
          </w:p>
        </w:tc>
      </w:tr>
      <w:tr w:rsidR="00BC2067" w:rsidTr="00767F38">
        <w:trPr>
          <w:trHeight w:val="1700"/>
        </w:trPr>
        <w:tc>
          <w:tcPr>
            <w:tcW w:w="205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rsidR="00BC2067" w:rsidRDefault="00BC2067" w:rsidP="00767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 Units</w:t>
            </w:r>
          </w:p>
        </w:tc>
        <w:tc>
          <w:tcPr>
            <w:tcW w:w="4350" w:type="dxa"/>
            <w:tcBorders>
              <w:top w:val="nil"/>
              <w:left w:val="nil"/>
              <w:bottom w:val="single" w:sz="6" w:space="0" w:color="FFFFFF"/>
              <w:right w:val="single" w:sz="6" w:space="0" w:color="FFFFFF"/>
            </w:tcBorders>
            <w:tcMar>
              <w:top w:w="100" w:type="dxa"/>
              <w:left w:w="100" w:type="dxa"/>
              <w:bottom w:w="100" w:type="dxa"/>
              <w:right w:w="100" w:type="dxa"/>
            </w:tcMar>
          </w:tcPr>
          <w:p w:rsidR="00BC2067" w:rsidRDefault="00BC2067" w:rsidP="00767F38">
            <w:pPr>
              <w:ind w:left="900" w:hanging="36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rPr>
              <w:t>Social workers from the participating LGUs with at least 1 year of experience</w:t>
            </w:r>
          </w:p>
          <w:p w:rsidR="00BC2067" w:rsidRDefault="00BC2067" w:rsidP="00767F38">
            <w:pPr>
              <w:rPr>
                <w:rFonts w:ascii="Times New Roman" w:eastAsia="Times New Roman" w:hAnsi="Times New Roman" w:cs="Times New Roman"/>
              </w:rPr>
            </w:pPr>
          </w:p>
        </w:tc>
        <w:tc>
          <w:tcPr>
            <w:tcW w:w="2955" w:type="dxa"/>
            <w:tcBorders>
              <w:top w:val="nil"/>
              <w:left w:val="nil"/>
              <w:bottom w:val="single" w:sz="6" w:space="0" w:color="FFFFFF"/>
              <w:right w:val="single" w:sz="6" w:space="0" w:color="FFFFFF"/>
            </w:tcBorders>
            <w:tcMar>
              <w:top w:w="100" w:type="dxa"/>
              <w:left w:w="100" w:type="dxa"/>
              <w:bottom w:w="100" w:type="dxa"/>
              <w:right w:w="100" w:type="dxa"/>
            </w:tcMar>
          </w:tcPr>
          <w:p w:rsidR="00BC2067" w:rsidRDefault="00BC2067" w:rsidP="00767F38">
            <w:pPr>
              <w:jc w:val="center"/>
              <w:rPr>
                <w:rFonts w:ascii="Times New Roman" w:eastAsia="Times New Roman" w:hAnsi="Times New Roman" w:cs="Times New Roman"/>
              </w:rPr>
            </w:pPr>
            <w:r>
              <w:rPr>
                <w:rFonts w:ascii="Times New Roman" w:eastAsia="Times New Roman" w:hAnsi="Times New Roman" w:cs="Times New Roman"/>
              </w:rPr>
              <w:t>N/A</w:t>
            </w:r>
          </w:p>
        </w:tc>
      </w:tr>
    </w:tbl>
    <w:p w:rsidR="00BC2067" w:rsidRPr="003921EE" w:rsidRDefault="00BC2067" w:rsidP="00BC2067">
      <w:pPr>
        <w:spacing w:line="477" w:lineRule="auto"/>
        <w:ind w:firstLine="720"/>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lastRenderedPageBreak/>
        <w:t xml:space="preserve">Invitation letters to </w:t>
      </w:r>
      <w:r>
        <w:rPr>
          <w:rFonts w:ascii="Times New Roman" w:eastAsia="Times New Roman" w:hAnsi="Times New Roman" w:cs="Times New Roman"/>
          <w:sz w:val="24"/>
          <w:szCs w:val="24"/>
        </w:rPr>
        <w:t>local government unit</w:t>
      </w:r>
      <w:r w:rsidRPr="003921EE">
        <w:rPr>
          <w:rFonts w:ascii="Times New Roman" w:eastAsia="Times New Roman" w:hAnsi="Times New Roman" w:cs="Times New Roman"/>
          <w:sz w:val="24"/>
          <w:szCs w:val="24"/>
        </w:rPr>
        <w:t>s and persons with disabilities as the research group sent out invitation letters in March to</w:t>
      </w:r>
      <w:r>
        <w:rPr>
          <w:rFonts w:ascii="Times New Roman" w:eastAsia="Times New Roman" w:hAnsi="Times New Roman" w:cs="Times New Roman"/>
          <w:sz w:val="24"/>
          <w:szCs w:val="24"/>
        </w:rPr>
        <w:t xml:space="preserve"> </w:t>
      </w:r>
      <w:r w:rsidRPr="003921EE">
        <w:rPr>
          <w:rFonts w:ascii="Times New Roman" w:eastAsia="Times New Roman" w:hAnsi="Times New Roman" w:cs="Times New Roman"/>
          <w:sz w:val="24"/>
          <w:szCs w:val="24"/>
        </w:rPr>
        <w:t xml:space="preserve">April 2023. Shortly after, the group started contacting willing healthcare workers who were available for an online zoom interview. The business establishments were last to be contacted since these interviews were better conducted in person. Data collection lasted from August to November 2023. </w:t>
      </w:r>
    </w:p>
    <w:p w:rsidR="00BC2067" w:rsidRDefault="00BC2067" w:rsidP="00BC2067">
      <w:pPr>
        <w:spacing w:line="477"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Study Tools</w:t>
      </w:r>
    </w:p>
    <w:p w:rsidR="00BC2067" w:rsidRDefault="00BC2067" w:rsidP="00BC2067">
      <w:pPr>
        <w:spacing w:line="477"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initially collected inform</w:t>
      </w:r>
      <w:r w:rsidRPr="003921EE">
        <w:rPr>
          <w:rFonts w:ascii="Times New Roman" w:eastAsia="Times New Roman" w:hAnsi="Times New Roman" w:cs="Times New Roman"/>
          <w:sz w:val="24"/>
          <w:szCs w:val="24"/>
        </w:rPr>
        <w:t xml:space="preserve">ation for each subpopulation, such as general demographics for persons with disabilities, the location and position of LGU workers, type of business, and the specialization of healthcare workers if applicable. Then, questions that directly answer the objectives of this study were asked covering difficulties and experiences in the process of applying, or problems when attempting to access disability benefits. After adding translations from English to Tagalog for all the questions, each interview schedule was pre-tested by asking persons with disabilities, family members, friends, and healthcare workers not participating in the study and providing feedback on how to improve it. </w:t>
      </w:r>
    </w:p>
    <w:p w:rsidR="00BC2067" w:rsidRPr="003921EE" w:rsidRDefault="00BC2067" w:rsidP="00BC2067">
      <w:pPr>
        <w:spacing w:line="477" w:lineRule="auto"/>
        <w:jc w:val="both"/>
        <w:rPr>
          <w:rFonts w:ascii="Times New Roman" w:eastAsia="Times New Roman" w:hAnsi="Times New Roman" w:cs="Times New Roman"/>
          <w:i/>
          <w:iCs/>
          <w:sz w:val="24"/>
          <w:szCs w:val="24"/>
        </w:rPr>
      </w:pPr>
      <w:r w:rsidRPr="003921EE">
        <w:rPr>
          <w:rFonts w:ascii="Times New Roman" w:eastAsia="Times New Roman" w:hAnsi="Times New Roman" w:cs="Times New Roman"/>
          <w:i/>
          <w:iCs/>
          <w:sz w:val="24"/>
          <w:szCs w:val="24"/>
        </w:rPr>
        <w:t>Reflexivity</w:t>
      </w:r>
    </w:p>
    <w:p w:rsidR="00BC2067" w:rsidRPr="003921EE" w:rsidRDefault="00BC2067" w:rsidP="00BC2067">
      <w:pPr>
        <w:spacing w:line="477" w:lineRule="auto"/>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tab/>
        <w:t xml:space="preserve"> The research team is composed of six junior researchers who are currently medical students in the Philippines, supervised by an early career researcher who has nearly a decade of qualitative and quantitative research experience in the country. Our team has diverse academic backgrounds including undergraduate studies in social sciences, biomedical sciences, nursing, and interior design, providing a wide range of perspectives on health, disability, and accessibility. We have received training in basic research methods, both quantitative and qualitative, as part of our undergraduate and medical curriculum, including courses in research design, data collection techniques, and basic thematic analysis. One of our team members is a registered person with </w:t>
      </w:r>
      <w:r w:rsidRPr="003921EE">
        <w:rPr>
          <w:rFonts w:ascii="Times New Roman" w:eastAsia="Times New Roman" w:hAnsi="Times New Roman" w:cs="Times New Roman"/>
          <w:sz w:val="24"/>
          <w:szCs w:val="24"/>
        </w:rPr>
        <w:lastRenderedPageBreak/>
        <w:t xml:space="preserve">disability who went through the process of applying for a </w:t>
      </w:r>
      <w:r>
        <w:rPr>
          <w:rFonts w:ascii="Times New Roman" w:eastAsia="Times New Roman" w:hAnsi="Times New Roman" w:cs="Times New Roman"/>
          <w:sz w:val="24"/>
          <w:szCs w:val="24"/>
        </w:rPr>
        <w:t xml:space="preserve">PWD </w:t>
      </w:r>
      <w:r w:rsidRPr="003921EE">
        <w:rPr>
          <w:rFonts w:ascii="Times New Roman" w:eastAsia="Times New Roman" w:hAnsi="Times New Roman" w:cs="Times New Roman"/>
          <w:sz w:val="24"/>
          <w:szCs w:val="24"/>
        </w:rPr>
        <w:t>ID card and regularly accesses disability benefits.</w:t>
      </w:r>
    </w:p>
    <w:p w:rsidR="00BC2067" w:rsidRDefault="00BC2067" w:rsidP="00BC2067">
      <w:pPr>
        <w:spacing w:line="477" w:lineRule="auto"/>
        <w:ind w:firstLine="720"/>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t xml:space="preserve">The diversity in our backgrounds shaped the way we interpreted data: those with social sciences backgrounds brought an understanding of social structures and certain power dynamics at play, while those from biomedical sciences provided insight into medical terminology. The inclusion of an interior design background contributed to our awareness of physical spaces and how these can affect accessibility for PWDs. However, we acknowledge that our positionality as predominantly medical students may have influenced how participants responded to us and how we interpreted the results. Being seen as part of the healthcare system could have affected the openness with which they shared their experiences, potentially leading them to emphasize certain aspects of their stories or downplay others. We attempted to mitigate this by clearly stating our roles as researchers and emphasizing that our goal was to understand their lived experiences throughout the journey of awareness about the policy, applying for the </w:t>
      </w:r>
      <w:r>
        <w:rPr>
          <w:rFonts w:ascii="Times New Roman" w:eastAsia="Times New Roman" w:hAnsi="Times New Roman" w:cs="Times New Roman"/>
          <w:sz w:val="24"/>
          <w:szCs w:val="24"/>
        </w:rPr>
        <w:t>PWD</w:t>
      </w:r>
      <w:r>
        <w:rPr>
          <w:rFonts w:ascii="Times New Roman" w:eastAsia="Times New Roman" w:hAnsi="Times New Roman" w:cs="Times New Roman"/>
          <w:sz w:val="24"/>
          <w:szCs w:val="24"/>
        </w:rPr>
        <w:t xml:space="preserve"> </w:t>
      </w:r>
      <w:r w:rsidRPr="003921EE">
        <w:rPr>
          <w:rFonts w:ascii="Times New Roman" w:eastAsia="Times New Roman" w:hAnsi="Times New Roman" w:cs="Times New Roman"/>
          <w:sz w:val="24"/>
          <w:szCs w:val="24"/>
        </w:rPr>
        <w:t xml:space="preserve">ID, and accessing disability benefits. </w:t>
      </w:r>
    </w:p>
    <w:p w:rsidR="009F07F2" w:rsidRPr="003921EE" w:rsidRDefault="009F07F2" w:rsidP="009F07F2">
      <w:pPr>
        <w:spacing w:line="477" w:lineRule="auto"/>
        <w:jc w:val="both"/>
        <w:rPr>
          <w:rFonts w:ascii="Times New Roman" w:eastAsia="Times New Roman" w:hAnsi="Times New Roman" w:cs="Times New Roman"/>
          <w:i/>
          <w:sz w:val="24"/>
          <w:szCs w:val="24"/>
        </w:rPr>
      </w:pPr>
      <w:r w:rsidRPr="003921EE">
        <w:rPr>
          <w:rFonts w:ascii="Times New Roman" w:eastAsia="Times New Roman" w:hAnsi="Times New Roman" w:cs="Times New Roman"/>
          <w:i/>
          <w:sz w:val="24"/>
          <w:szCs w:val="24"/>
        </w:rPr>
        <w:t>Conceptual Framework</w:t>
      </w:r>
    </w:p>
    <w:p w:rsidR="009F07F2" w:rsidRDefault="009F07F2" w:rsidP="009F07F2">
      <w:pPr>
        <w:spacing w:line="477" w:lineRule="auto"/>
        <w:ind w:firstLine="720"/>
        <w:jc w:val="both"/>
        <w:rPr>
          <w:rFonts w:ascii="Times New Roman" w:eastAsia="Times New Roman" w:hAnsi="Times New Roman" w:cs="Times New Roman"/>
          <w:sz w:val="24"/>
          <w:szCs w:val="24"/>
        </w:rPr>
      </w:pPr>
      <w:r w:rsidRPr="003921EE">
        <w:rPr>
          <w:rFonts w:ascii="Times New Roman" w:eastAsia="Times New Roman" w:hAnsi="Times New Roman" w:cs="Times New Roman"/>
          <w:sz w:val="24"/>
          <w:szCs w:val="24"/>
        </w:rPr>
        <w:t xml:space="preserve">Owing to the limited evidence on implementation of disability policies in low- and middle-income countries, we had to develop our own conceptual framework, with inputs from </w:t>
      </w:r>
      <w:r w:rsidRPr="003921EE">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{"citationID":"VkIfOebP","properties":{"formattedCitation":"(Palmer, 2014)","plainCitation":"(Palmer, 2014)","dontUpdate":true,"noteIndex":0},"citationItems":[{"id":"3HrfKxS1/C2TjgYnv","uris":["http://zotero.org/users/6307441/items/L8T6T282"],"itemData":{"id":3175,"type":"document","abstract":"This paper evaluates the national social protection system for persons with disabilities in the Philippines with respect to the PWD ID card - a social assistance program which entitles persons to discounts on basic goods and services. The paper recommends that the objective of the program is redefined to allow for the future expansion of PWD ID card entitlements. It is recommended that the objective of the program is a poverty alleviation program that is targeted to persons that experience functional limitation. A clear outline of the objectives of the program assists in the determination of eligibility and benefits. It is recommended that eligibility determination processes are revised to reflect prevailing national and international laws on disability which acknowledge the relationship between medical impairment and the range of functioning in a lived-in environment. In keeping with current institutional arrangements, eligibility is recommended in two stages with confirmation of impairment or health condition by licensed medical practitioners and functional assessments undertaken by local Government units (LGUs). Overall administration and ultimate disability determination is recommended to be undertaken by LGUs. In line with the recommended poverty alleviation objective, PWD ID card program discounts on food, basic necessities, and medication are recommended to be increased and pro-rich service discounts removed. Options are further recommended to link the PWD ID card to a range of other social protection entitlements. Programs which protect poverty, including discounts, cash transfers and non-contributory health insurance, should be combined with those that promote work participation including vocational training, education and rehabilitation services.","note":"DOI: 10.13140/RG.2.2.15607.32165","source":"ResearchGate","title":"The PWD ID card: An Options Paper for the Philippines","title-short":"The PWD ID card","URL":"https://www.researchgate.net/publication/325466449_The_PWD_ID_card_An_Options_Paper_for_the_Philippines_Consultant","author":[{"family":"Palmer","given":"Michael"}],"issued":{"date-parts":[["2014",10,1]]}}}],"schema":"https://github.com/citation-style-language/schema/raw/master/csl-citation.json"} </w:instrText>
      </w:r>
      <w:r w:rsidRPr="003921EE">
        <w:rPr>
          <w:rFonts w:ascii="Times New Roman" w:eastAsia="Times New Roman" w:hAnsi="Times New Roman" w:cs="Times New Roman"/>
          <w:sz w:val="24"/>
          <w:szCs w:val="24"/>
        </w:rPr>
        <w:fldChar w:fldCharType="separate"/>
      </w:r>
      <w:r w:rsidRPr="003921EE">
        <w:rPr>
          <w:rFonts w:ascii="Times New Roman" w:hAnsi="Times New Roman" w:cs="Times New Roman"/>
          <w:sz w:val="24"/>
        </w:rPr>
        <w:t>Palmer (2014)</w:t>
      </w:r>
      <w:r w:rsidRPr="003921EE">
        <w:rPr>
          <w:rFonts w:ascii="Times New Roman" w:eastAsia="Times New Roman" w:hAnsi="Times New Roman" w:cs="Times New Roman"/>
          <w:sz w:val="24"/>
          <w:szCs w:val="24"/>
        </w:rPr>
        <w:fldChar w:fldCharType="end"/>
      </w:r>
      <w:r w:rsidRPr="003921EE">
        <w:rPr>
          <w:rFonts w:ascii="Times New Roman" w:eastAsia="Times New Roman" w:hAnsi="Times New Roman" w:cs="Times New Roman"/>
          <w:sz w:val="24"/>
          <w:szCs w:val="24"/>
        </w:rPr>
        <w:t xml:space="preserve"> and the Administrative Order No. 001 s. 2021 of the National Council of Disability Affairs (Philippines). This conceptual framework was developed to represent the experience of persons with disabilities from the time they are made aware of the law and its benefits, to applying for </w:t>
      </w:r>
      <w:r>
        <w:rPr>
          <w:rFonts w:ascii="Times New Roman" w:eastAsia="Times New Roman" w:hAnsi="Times New Roman" w:cs="Times New Roman"/>
          <w:sz w:val="24"/>
          <w:szCs w:val="24"/>
        </w:rPr>
        <w:t>PWD</w:t>
      </w:r>
      <w:r w:rsidRPr="003921EE">
        <w:rPr>
          <w:rFonts w:ascii="Times New Roman" w:eastAsia="Times New Roman" w:hAnsi="Times New Roman" w:cs="Times New Roman"/>
          <w:sz w:val="24"/>
          <w:szCs w:val="24"/>
        </w:rPr>
        <w:t xml:space="preserve"> ID, to accessing its benefits. The leftmost column lists the key stakeholders involved in the implementation of the law (Figure 1). The second to fourth columns then detail the processes in the implementation of the law, with those within solid borders depicting the ideal and those within broken borders depicting departures from ideal. For persons with disabilities, they ideally should </w:t>
      </w:r>
      <w:r w:rsidRPr="003921EE">
        <w:rPr>
          <w:rFonts w:ascii="Times New Roman" w:eastAsia="Times New Roman" w:hAnsi="Times New Roman" w:cs="Times New Roman"/>
          <w:sz w:val="24"/>
          <w:szCs w:val="24"/>
        </w:rPr>
        <w:lastRenderedPageBreak/>
        <w:t xml:space="preserve">be aware of the law, its stipulations and benefits, the requirements and processes to apply for a </w:t>
      </w:r>
      <w:r>
        <w:rPr>
          <w:rFonts w:ascii="Times New Roman" w:eastAsia="Times New Roman" w:hAnsi="Times New Roman" w:cs="Times New Roman"/>
          <w:sz w:val="24"/>
          <w:szCs w:val="24"/>
        </w:rPr>
        <w:t>PWD</w:t>
      </w:r>
      <w:r w:rsidRPr="003921EE">
        <w:rPr>
          <w:rFonts w:ascii="Times New Roman" w:eastAsia="Times New Roman" w:hAnsi="Times New Roman" w:cs="Times New Roman"/>
          <w:sz w:val="24"/>
          <w:szCs w:val="24"/>
        </w:rPr>
        <w:t xml:space="preserve"> ID, and accessing benefits. However, they may lack awareness or there could be physical and communication barriers that could affect how they apply and access disability benefits. For healthcare workers, they should ideally have awareness of the law and their role in the process of applying for a </w:t>
      </w:r>
      <w:r>
        <w:rPr>
          <w:rFonts w:ascii="Times New Roman" w:eastAsia="Times New Roman" w:hAnsi="Times New Roman" w:cs="Times New Roman"/>
          <w:sz w:val="24"/>
          <w:szCs w:val="24"/>
        </w:rPr>
        <w:t>PWD</w:t>
      </w:r>
      <w:r w:rsidRPr="003921EE">
        <w:rPr>
          <w:rFonts w:ascii="Times New Roman" w:eastAsia="Times New Roman" w:hAnsi="Times New Roman" w:cs="Times New Roman"/>
          <w:sz w:val="24"/>
          <w:szCs w:val="24"/>
        </w:rPr>
        <w:t xml:space="preserve"> ID. They conduct screening and issuance of medical certification for patients with disabilities, and monitor the condition of the patient to ensure that they are entitled to their benefits. However, they could lack awareness, and could be forced to ethical dilemmas if they are co-opted in fraudulent applications. Local government social workers should also ideally be aware of their role in the processing of </w:t>
      </w:r>
      <w:r>
        <w:rPr>
          <w:rFonts w:ascii="Times New Roman" w:eastAsia="Times New Roman" w:hAnsi="Times New Roman" w:cs="Times New Roman"/>
          <w:sz w:val="24"/>
          <w:szCs w:val="24"/>
        </w:rPr>
        <w:t xml:space="preserve">PWD </w:t>
      </w:r>
      <w:r w:rsidRPr="003921EE">
        <w:rPr>
          <w:rFonts w:ascii="Times New Roman" w:eastAsia="Times New Roman" w:hAnsi="Times New Roman" w:cs="Times New Roman"/>
          <w:sz w:val="24"/>
          <w:szCs w:val="24"/>
        </w:rPr>
        <w:t xml:space="preserve">ID application, they should screen and approve applications, and monitor proper provision of disability benefits by business establishments. However, these may be stymied by complex application processes and lack of monitoring of provision of disability benefits by business establishments. Lastly, business establishments should ideally be aware on their role in providing disability benefits and provide them to customers presenting a </w:t>
      </w:r>
      <w:r>
        <w:rPr>
          <w:rFonts w:ascii="Times New Roman" w:eastAsia="Times New Roman" w:hAnsi="Times New Roman" w:cs="Times New Roman"/>
          <w:sz w:val="24"/>
          <w:szCs w:val="24"/>
        </w:rPr>
        <w:t>PWD</w:t>
      </w:r>
      <w:r w:rsidRPr="003921EE">
        <w:rPr>
          <w:rFonts w:ascii="Times New Roman" w:eastAsia="Times New Roman" w:hAnsi="Times New Roman" w:cs="Times New Roman"/>
          <w:sz w:val="24"/>
          <w:szCs w:val="24"/>
        </w:rPr>
        <w:t xml:space="preserve"> ID; however, they may not be aware of the provisions of the law or their staff were not properly trained, which results to the inconsistent provision of benefits These are all affected by stigma and the prevailing biomedical model of disability as seen by Philippine society </w:t>
      </w:r>
      <w:r w:rsidRPr="003921EE">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{"citationID":"xCY2aNyG","properties":{"formattedCitation":"(Palmer, 2014)","plainCitation":"(Palmer, 2014)","noteIndex":0},"citationItems":[{"id":"3HrfKxS1/C2TjgYnv","uris":["http://zotero.org/users/6307441/items/L8T6T282"],"itemData":{"id":3175,"type":"document","abstract":"This paper evaluates the national social protection system for persons with disabilities in the Philippines with respect to the PWD ID card - a social assistance program which entitles persons to discounts on basic goods and services. The paper recommends that the objective of the program is redefined to allow for the future expansion of PWD ID card entitlements. It is recommended that the objective of the program is a poverty alleviation program that is targeted to persons that experience functional limitation. A clear outline of the objectives of the program assists in the determination of eligibility and benefits. It is recommended that eligibility determination processes are revised to reflect prevailing national and international laws on disability which acknowledge the relationship between medical impairment and the range of functioning in a lived-in environment. In keeping with current institutional arrangements, eligibility is recommended in two stages with confirmation of impairment or health condition by licensed medical practitioners and functional assessments undertaken by local Government units (LGUs). Overall administration and ultimate disability determination is recommended to be undertaken by LGUs. In line with the recommended poverty alleviation objective, PWD ID card program discounts on food, basic necessities, and medication are recommended to be increased and pro-rich service discounts removed. Options are further recommended to link the PWD ID card to a range of other social protection entitlements. Programs which protect poverty, including discounts, cash transfers and non-contributory health insurance, should be combined with those that promote work participation including vocational training, education and rehabilitation services.","note":"DOI: 10.13140/RG.2.2.15607.32165","source":"ResearchGate","title":"The PWD ID card: An Options Paper for the Philippines","title-short":"The PWD ID card","URL":"https://www.researchgate.net/publication/325466449_The_PWD_ID_card_An_Options_Paper_for_the_Philippines_Consultant","author":[{"family":"Palmer","given":"Michael"}],"issued":{"date-parts":[["2014",10,1]]}}}],"schema":"https://github.com/citation-style-language/schema/raw/master/csl-citation.json"} </w:instrText>
      </w:r>
      <w:r w:rsidRPr="003921EE">
        <w:rPr>
          <w:rFonts w:ascii="Times New Roman" w:eastAsia="Times New Roman" w:hAnsi="Times New Roman" w:cs="Times New Roman"/>
          <w:sz w:val="24"/>
          <w:szCs w:val="24"/>
        </w:rPr>
        <w:fldChar w:fldCharType="separate"/>
      </w:r>
      <w:r w:rsidRPr="003921EE">
        <w:rPr>
          <w:rFonts w:ascii="Times New Roman" w:hAnsi="Times New Roman" w:cs="Times New Roman"/>
          <w:sz w:val="24"/>
        </w:rPr>
        <w:t>(Palmer, 2014)</w:t>
      </w:r>
      <w:r w:rsidRPr="003921EE">
        <w:rPr>
          <w:rFonts w:ascii="Times New Roman" w:eastAsia="Times New Roman" w:hAnsi="Times New Roman" w:cs="Times New Roman"/>
          <w:sz w:val="24"/>
          <w:szCs w:val="24"/>
        </w:rPr>
        <w:fldChar w:fldCharType="end"/>
      </w:r>
      <w:r w:rsidRPr="003921EE">
        <w:rPr>
          <w:rFonts w:ascii="Times New Roman" w:eastAsia="Times New Roman" w:hAnsi="Times New Roman" w:cs="Times New Roman"/>
          <w:sz w:val="24"/>
          <w:szCs w:val="24"/>
        </w:rPr>
        <w:t xml:space="preserve">. This view, although prevailing, is slowly undergoing a paradigm shift toward the social model of disability, which is the preferred model of thinking about disability as it is a model that is more proactive in removing barriers to inclusion of persons with disability in everyday life </w:t>
      </w:r>
      <w:r w:rsidRPr="003921EE">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{"citationID":"jvxqRkLS","properties":{"formattedCitation":"(Parliamentary and Health Service Ombudsman (United Kingdom), n.d.)","plainCitation":"(Parliamentary and Health Service Ombudsman (United Kingdom), n.d.)","noteIndex":0},"citationItems":[{"id":"3HrfKxS1/zqjydoIq","uris":["http://zotero.org/users/6307441/items/NLP5FD8R"],"itemData":{"id":3234,"type":"document","title":"Introduction to the social and medical models of disability","URL":"https://www.ombudsman.org.uk/sites/default/files/FDN-218144_Introduction_to_the_Social_and_Medical_Models_of_Disability.pdf","author":[{"family":"Parliamentary and Health Service Ombudsman (United Kingdom)","given":""}],"accessed":{"date-parts":[["2024",10,18]]}}}],"schema":"https://github.com/citation-style-language/schema/raw/master/csl-citation.json"} </w:instrText>
      </w:r>
      <w:r w:rsidRPr="003921EE">
        <w:rPr>
          <w:rFonts w:ascii="Times New Roman" w:eastAsia="Times New Roman" w:hAnsi="Times New Roman" w:cs="Times New Roman"/>
          <w:sz w:val="24"/>
          <w:szCs w:val="24"/>
        </w:rPr>
        <w:fldChar w:fldCharType="separate"/>
      </w:r>
      <w:r w:rsidRPr="003921EE">
        <w:rPr>
          <w:rFonts w:ascii="Times New Roman" w:hAnsi="Times New Roman" w:cs="Times New Roman"/>
          <w:sz w:val="24"/>
        </w:rPr>
        <w:t>(Parliamentary and Health Service Ombudsman (United Kingdom), n.d.)</w:t>
      </w:r>
      <w:r w:rsidRPr="003921EE">
        <w:rPr>
          <w:rFonts w:ascii="Times New Roman" w:eastAsia="Times New Roman" w:hAnsi="Times New Roman" w:cs="Times New Roman"/>
          <w:sz w:val="24"/>
          <w:szCs w:val="24"/>
        </w:rPr>
        <w:fldChar w:fldCharType="end"/>
      </w:r>
      <w:r w:rsidRPr="003921EE">
        <w:rPr>
          <w:rFonts w:ascii="Times New Roman" w:eastAsia="Times New Roman" w:hAnsi="Times New Roman" w:cs="Times New Roman"/>
          <w:sz w:val="24"/>
          <w:szCs w:val="24"/>
        </w:rPr>
        <w:t xml:space="preserve">.  </w:t>
      </w:r>
    </w:p>
    <w:p w:rsidR="009F07F2" w:rsidRDefault="009F07F2" w:rsidP="009F07F2">
      <w:pPr>
        <w:spacing w:line="477" w:lineRule="auto"/>
        <w:jc w:val="both"/>
        <w:rPr>
          <w:rFonts w:ascii="Times New Roman" w:eastAsia="Times New Roman" w:hAnsi="Times New Roman" w:cs="Times New Roman"/>
          <w:b/>
          <w:bCs/>
          <w:sz w:val="24"/>
          <w:szCs w:val="24"/>
        </w:rPr>
      </w:pPr>
      <w:r w:rsidRPr="009F07F2">
        <w:rPr>
          <w:rFonts w:ascii="Times New Roman" w:eastAsia="Times New Roman" w:hAnsi="Times New Roman" w:cs="Times New Roman"/>
          <w:b/>
          <w:bCs/>
          <w:sz w:val="24"/>
          <w:szCs w:val="24"/>
        </w:rPr>
        <w:t>References</w:t>
      </w:r>
    </w:p>
    <w:p w:rsidR="009F07F2" w:rsidRPr="009F07F2" w:rsidRDefault="009F07F2" w:rsidP="009F07F2">
      <w:pPr>
        <w:pStyle w:val="Bibliography"/>
        <w:rPr>
          <w:rFonts w:ascii="Times New Roman" w:hAnsi="Times New Roman" w:cs="Times New Roman"/>
          <w:sz w:val="24"/>
        </w:rPr>
      </w:pPr>
      <w:r>
        <w:rPr>
          <w:rFonts w:eastAsia="Times New Roman"/>
          <w:b/>
          <w:bCs/>
          <w:sz w:val="24"/>
          <w:szCs w:val="24"/>
        </w:rPr>
        <w:fldChar w:fldCharType="begin"/>
      </w:r>
      <w:r>
        <w:rPr>
          <w:rFonts w:eastAsia="Times New Roman"/>
          <w:b/>
          <w:bCs/>
          <w:sz w:val="24"/>
          <w:szCs w:val="24"/>
        </w:rPr>
        <w:instrText xml:space="preserve"> ADDIN ZOTERO_BIBL {"uncited":[],"omitted":[],"custom":[]} CSL_BIBLIOGRAPHY </w:instrText>
      </w:r>
      <w:r>
        <w:rPr>
          <w:rFonts w:eastAsia="Times New Roman"/>
          <w:b/>
          <w:bCs/>
          <w:sz w:val="24"/>
          <w:szCs w:val="24"/>
        </w:rPr>
        <w:fldChar w:fldCharType="separate"/>
      </w:r>
      <w:r w:rsidRPr="009F07F2">
        <w:rPr>
          <w:rFonts w:ascii="Times New Roman" w:hAnsi="Times New Roman" w:cs="Times New Roman"/>
          <w:sz w:val="24"/>
        </w:rPr>
        <w:t xml:space="preserve">Palmer, M. (2014, October 1). </w:t>
      </w:r>
      <w:r w:rsidRPr="009F07F2">
        <w:rPr>
          <w:rFonts w:ascii="Times New Roman" w:hAnsi="Times New Roman" w:cs="Times New Roman"/>
          <w:i/>
          <w:iCs/>
          <w:sz w:val="24"/>
        </w:rPr>
        <w:t>The PWD ID card: An Options Paper for the Philippines</w:t>
      </w:r>
      <w:r w:rsidRPr="009F07F2">
        <w:rPr>
          <w:rFonts w:ascii="Times New Roman" w:hAnsi="Times New Roman" w:cs="Times New Roman"/>
          <w:sz w:val="24"/>
        </w:rPr>
        <w:t>. https://doi.org/10.13140/RG.2.2.15607.32165</w:t>
      </w:r>
    </w:p>
    <w:p w:rsidR="009F07F2" w:rsidRPr="009F07F2" w:rsidRDefault="009F07F2" w:rsidP="009F07F2">
      <w:pPr>
        <w:pStyle w:val="Bibliography"/>
        <w:rPr>
          <w:rFonts w:ascii="Times New Roman" w:hAnsi="Times New Roman" w:cs="Times New Roman"/>
          <w:sz w:val="24"/>
        </w:rPr>
      </w:pPr>
      <w:r w:rsidRPr="009F07F2">
        <w:rPr>
          <w:rFonts w:ascii="Times New Roman" w:hAnsi="Times New Roman" w:cs="Times New Roman"/>
          <w:sz w:val="24"/>
        </w:rPr>
        <w:lastRenderedPageBreak/>
        <w:t xml:space="preserve">Parliamentary and Health Service Ombudsman (United Kingdom). (n.d.). </w:t>
      </w:r>
      <w:r w:rsidRPr="009F07F2">
        <w:rPr>
          <w:rFonts w:ascii="Times New Roman" w:hAnsi="Times New Roman" w:cs="Times New Roman"/>
          <w:i/>
          <w:iCs/>
          <w:sz w:val="24"/>
        </w:rPr>
        <w:t>Introduction to the social and medical models of disability</w:t>
      </w:r>
      <w:r w:rsidRPr="009F07F2">
        <w:rPr>
          <w:rFonts w:ascii="Times New Roman" w:hAnsi="Times New Roman" w:cs="Times New Roman"/>
          <w:sz w:val="24"/>
        </w:rPr>
        <w:t>. Retrieved October 18, 2024, from https://www.ombudsman.org.uk/sites/default/files/FDN-218144_Introduction_to_the_Social_and_Medical_Models_of_Disability.pdf</w:t>
      </w:r>
    </w:p>
    <w:p w:rsidR="009F07F2" w:rsidRPr="009F07F2" w:rsidRDefault="009F07F2" w:rsidP="009F07F2">
      <w:pPr>
        <w:spacing w:line="477"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r w:rsidRPr="009F07F2">
        <w:rPr>
          <w:rFonts w:ascii="Times New Roman" w:eastAsia="Times New Roman" w:hAnsi="Times New Roman" w:cs="Times New Roman"/>
          <w:b/>
          <w:bCs/>
          <w:sz w:val="24"/>
          <w:szCs w:val="24"/>
        </w:rPr>
        <w:t xml:space="preserve"> </w:t>
      </w:r>
    </w:p>
    <w:p w:rsidR="009F07F2" w:rsidRDefault="009F07F2" w:rsidP="00BC2067">
      <w:pPr>
        <w:spacing w:line="477" w:lineRule="auto"/>
        <w:ind w:firstLine="720"/>
        <w:jc w:val="both"/>
        <w:rPr>
          <w:rFonts w:ascii="Times New Roman" w:eastAsia="Times New Roman" w:hAnsi="Times New Roman" w:cs="Times New Roman"/>
          <w:sz w:val="24"/>
          <w:szCs w:val="24"/>
        </w:rPr>
      </w:pPr>
    </w:p>
    <w:p w:rsidR="00BC2067" w:rsidRPr="003921EE" w:rsidRDefault="00BC2067" w:rsidP="00BC2067">
      <w:pPr>
        <w:spacing w:line="477" w:lineRule="auto"/>
        <w:jc w:val="both"/>
        <w:rPr>
          <w:rFonts w:ascii="Times New Roman" w:eastAsia="Times New Roman" w:hAnsi="Times New Roman" w:cs="Times New Roman"/>
          <w:sz w:val="24"/>
          <w:szCs w:val="24"/>
        </w:rPr>
      </w:pPr>
    </w:p>
    <w:p w:rsidR="00BC2067" w:rsidRPr="00BC2067" w:rsidRDefault="00BC2067" w:rsidP="00BC2067">
      <w:pPr>
        <w:spacing w:line="477" w:lineRule="auto"/>
        <w:jc w:val="both"/>
        <w:rPr>
          <w:rFonts w:ascii="Times New Roman" w:eastAsia="Times New Roman" w:hAnsi="Times New Roman" w:cs="Times New Roman"/>
          <w:sz w:val="24"/>
          <w:szCs w:val="24"/>
        </w:rPr>
      </w:pPr>
    </w:p>
    <w:p w:rsidR="00BC2067" w:rsidRPr="00BC2067" w:rsidRDefault="00BC2067" w:rsidP="00BC2067">
      <w:pP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sectPr w:rsidR="00BC2067" w:rsidRPr="00BC2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67"/>
    <w:rsid w:val="0031416E"/>
    <w:rsid w:val="006402EB"/>
    <w:rsid w:val="008E3B3E"/>
    <w:rsid w:val="009F07F2"/>
    <w:rsid w:val="00BC2067"/>
    <w:rsid w:val="00CF7BD6"/>
    <w:rsid w:val="00EB7B7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D4FA"/>
  <w15:chartTrackingRefBased/>
  <w15:docId w15:val="{70013690-58A4-478D-944F-F71599A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67"/>
    <w:pPr>
      <w:spacing w:after="0" w:line="276" w:lineRule="auto"/>
    </w:pPr>
    <w:rPr>
      <w:rFonts w:ascii="Arial" w:eastAsia="Arial" w:hAnsi="Arial" w:cs="Arial"/>
      <w:kern w:val="0"/>
      <w:sz w:val="22"/>
      <w:szCs w:val="22"/>
      <w:lang w:val="en" w:eastAsia="en-PH"/>
      <w14:ligatures w14:val="none"/>
    </w:rPr>
  </w:style>
  <w:style w:type="paragraph" w:styleId="Heading1">
    <w:name w:val="heading 1"/>
    <w:basedOn w:val="Normal"/>
    <w:next w:val="Normal"/>
    <w:link w:val="Heading1Char"/>
    <w:uiPriority w:val="9"/>
    <w:qFormat/>
    <w:rsid w:val="00BC20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eastAsia="en-US"/>
      <w14:ligatures w14:val="standardContextual"/>
    </w:rPr>
  </w:style>
  <w:style w:type="paragraph" w:styleId="Heading2">
    <w:name w:val="heading 2"/>
    <w:basedOn w:val="Normal"/>
    <w:next w:val="Normal"/>
    <w:link w:val="Heading2Char"/>
    <w:uiPriority w:val="9"/>
    <w:semiHidden/>
    <w:unhideWhenUsed/>
    <w:qFormat/>
    <w:rsid w:val="00BC20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eastAsia="en-US"/>
      <w14:ligatures w14:val="standardContextual"/>
    </w:rPr>
  </w:style>
  <w:style w:type="paragraph" w:styleId="Heading3">
    <w:name w:val="heading 3"/>
    <w:basedOn w:val="Normal"/>
    <w:next w:val="Normal"/>
    <w:link w:val="Heading3Char"/>
    <w:uiPriority w:val="9"/>
    <w:semiHidden/>
    <w:unhideWhenUsed/>
    <w:qFormat/>
    <w:rsid w:val="00BC20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PH" w:eastAsia="en-US"/>
      <w14:ligatures w14:val="standardContextual"/>
    </w:rPr>
  </w:style>
  <w:style w:type="paragraph" w:styleId="Heading4">
    <w:name w:val="heading 4"/>
    <w:basedOn w:val="Normal"/>
    <w:next w:val="Normal"/>
    <w:link w:val="Heading4Char"/>
    <w:uiPriority w:val="9"/>
    <w:semiHidden/>
    <w:unhideWhenUsed/>
    <w:qFormat/>
    <w:rsid w:val="00BC20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PH" w:eastAsia="en-US"/>
      <w14:ligatures w14:val="standardContextual"/>
    </w:rPr>
  </w:style>
  <w:style w:type="paragraph" w:styleId="Heading5">
    <w:name w:val="heading 5"/>
    <w:basedOn w:val="Normal"/>
    <w:next w:val="Normal"/>
    <w:link w:val="Heading5Char"/>
    <w:uiPriority w:val="9"/>
    <w:semiHidden/>
    <w:unhideWhenUsed/>
    <w:qFormat/>
    <w:rsid w:val="00BC206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PH" w:eastAsia="en-US"/>
      <w14:ligatures w14:val="standardContextual"/>
    </w:rPr>
  </w:style>
  <w:style w:type="paragraph" w:styleId="Heading6">
    <w:name w:val="heading 6"/>
    <w:basedOn w:val="Normal"/>
    <w:next w:val="Normal"/>
    <w:link w:val="Heading6Char"/>
    <w:uiPriority w:val="9"/>
    <w:semiHidden/>
    <w:unhideWhenUsed/>
    <w:qFormat/>
    <w:rsid w:val="00BC206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PH" w:eastAsia="en-US"/>
      <w14:ligatures w14:val="standardContextual"/>
    </w:rPr>
  </w:style>
  <w:style w:type="paragraph" w:styleId="Heading7">
    <w:name w:val="heading 7"/>
    <w:basedOn w:val="Normal"/>
    <w:next w:val="Normal"/>
    <w:link w:val="Heading7Char"/>
    <w:uiPriority w:val="9"/>
    <w:semiHidden/>
    <w:unhideWhenUsed/>
    <w:qFormat/>
    <w:rsid w:val="00BC206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PH" w:eastAsia="en-US"/>
      <w14:ligatures w14:val="standardContextual"/>
    </w:rPr>
  </w:style>
  <w:style w:type="paragraph" w:styleId="Heading8">
    <w:name w:val="heading 8"/>
    <w:basedOn w:val="Normal"/>
    <w:next w:val="Normal"/>
    <w:link w:val="Heading8Char"/>
    <w:uiPriority w:val="9"/>
    <w:semiHidden/>
    <w:unhideWhenUsed/>
    <w:qFormat/>
    <w:rsid w:val="00BC206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PH" w:eastAsia="en-US"/>
      <w14:ligatures w14:val="standardContextual"/>
    </w:rPr>
  </w:style>
  <w:style w:type="paragraph" w:styleId="Heading9">
    <w:name w:val="heading 9"/>
    <w:basedOn w:val="Normal"/>
    <w:next w:val="Normal"/>
    <w:link w:val="Heading9Char"/>
    <w:uiPriority w:val="9"/>
    <w:semiHidden/>
    <w:unhideWhenUsed/>
    <w:qFormat/>
    <w:rsid w:val="00BC206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P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067"/>
    <w:rPr>
      <w:rFonts w:eastAsiaTheme="majorEastAsia" w:cstheme="majorBidi"/>
      <w:color w:val="272727" w:themeColor="text1" w:themeTint="D8"/>
    </w:rPr>
  </w:style>
  <w:style w:type="paragraph" w:styleId="Title">
    <w:name w:val="Title"/>
    <w:basedOn w:val="Normal"/>
    <w:next w:val="Normal"/>
    <w:link w:val="TitleChar"/>
    <w:uiPriority w:val="10"/>
    <w:qFormat/>
    <w:rsid w:val="00BC2067"/>
    <w:pPr>
      <w:spacing w:after="80" w:line="240" w:lineRule="auto"/>
      <w:contextualSpacing/>
    </w:pPr>
    <w:rPr>
      <w:rFonts w:asciiTheme="majorHAnsi" w:eastAsiaTheme="majorEastAsia" w:hAnsiTheme="majorHAnsi" w:cstheme="majorBidi"/>
      <w:spacing w:val="-10"/>
      <w:kern w:val="28"/>
      <w:sz w:val="56"/>
      <w:szCs w:val="56"/>
      <w:lang w:val="en-PH" w:eastAsia="en-US"/>
      <w14:ligatures w14:val="standardContextual"/>
    </w:rPr>
  </w:style>
  <w:style w:type="character" w:customStyle="1" w:styleId="TitleChar">
    <w:name w:val="Title Char"/>
    <w:basedOn w:val="DefaultParagraphFont"/>
    <w:link w:val="Title"/>
    <w:uiPriority w:val="10"/>
    <w:rsid w:val="00BC2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0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eastAsia="en-US"/>
      <w14:ligatures w14:val="standardContextual"/>
    </w:rPr>
  </w:style>
  <w:style w:type="character" w:customStyle="1" w:styleId="SubtitleChar">
    <w:name w:val="Subtitle Char"/>
    <w:basedOn w:val="DefaultParagraphFont"/>
    <w:link w:val="Subtitle"/>
    <w:uiPriority w:val="11"/>
    <w:rsid w:val="00BC2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06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H" w:eastAsia="en-US"/>
      <w14:ligatures w14:val="standardContextual"/>
    </w:rPr>
  </w:style>
  <w:style w:type="character" w:customStyle="1" w:styleId="QuoteChar">
    <w:name w:val="Quote Char"/>
    <w:basedOn w:val="DefaultParagraphFont"/>
    <w:link w:val="Quote"/>
    <w:uiPriority w:val="29"/>
    <w:rsid w:val="00BC2067"/>
    <w:rPr>
      <w:i/>
      <w:iCs/>
      <w:color w:val="404040" w:themeColor="text1" w:themeTint="BF"/>
    </w:rPr>
  </w:style>
  <w:style w:type="paragraph" w:styleId="ListParagraph">
    <w:name w:val="List Paragraph"/>
    <w:basedOn w:val="Normal"/>
    <w:uiPriority w:val="34"/>
    <w:qFormat/>
    <w:rsid w:val="00BC2067"/>
    <w:pPr>
      <w:spacing w:after="160" w:line="278" w:lineRule="auto"/>
      <w:ind w:left="720"/>
      <w:contextualSpacing/>
    </w:pPr>
    <w:rPr>
      <w:rFonts w:asciiTheme="minorHAnsi" w:eastAsiaTheme="minorHAnsi" w:hAnsiTheme="minorHAnsi" w:cstheme="minorBidi"/>
      <w:kern w:val="2"/>
      <w:sz w:val="24"/>
      <w:szCs w:val="24"/>
      <w:lang w:val="en-PH" w:eastAsia="en-US"/>
      <w14:ligatures w14:val="standardContextual"/>
    </w:rPr>
  </w:style>
  <w:style w:type="character" w:styleId="IntenseEmphasis">
    <w:name w:val="Intense Emphasis"/>
    <w:basedOn w:val="DefaultParagraphFont"/>
    <w:uiPriority w:val="21"/>
    <w:qFormat/>
    <w:rsid w:val="00BC2067"/>
    <w:rPr>
      <w:i/>
      <w:iCs/>
      <w:color w:val="0F4761" w:themeColor="accent1" w:themeShade="BF"/>
    </w:rPr>
  </w:style>
  <w:style w:type="paragraph" w:styleId="IntenseQuote">
    <w:name w:val="Intense Quote"/>
    <w:basedOn w:val="Normal"/>
    <w:next w:val="Normal"/>
    <w:link w:val="IntenseQuoteChar"/>
    <w:uiPriority w:val="30"/>
    <w:qFormat/>
    <w:rsid w:val="00BC20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PH" w:eastAsia="en-US"/>
      <w14:ligatures w14:val="standardContextual"/>
    </w:rPr>
  </w:style>
  <w:style w:type="character" w:customStyle="1" w:styleId="IntenseQuoteChar">
    <w:name w:val="Intense Quote Char"/>
    <w:basedOn w:val="DefaultParagraphFont"/>
    <w:link w:val="IntenseQuote"/>
    <w:uiPriority w:val="30"/>
    <w:rsid w:val="00BC2067"/>
    <w:rPr>
      <w:i/>
      <w:iCs/>
      <w:color w:val="0F4761" w:themeColor="accent1" w:themeShade="BF"/>
    </w:rPr>
  </w:style>
  <w:style w:type="character" w:styleId="IntenseReference">
    <w:name w:val="Intense Reference"/>
    <w:basedOn w:val="DefaultParagraphFont"/>
    <w:uiPriority w:val="32"/>
    <w:qFormat/>
    <w:rsid w:val="00BC2067"/>
    <w:rPr>
      <w:b/>
      <w:bCs/>
      <w:smallCaps/>
      <w:color w:val="0F4761" w:themeColor="accent1" w:themeShade="BF"/>
      <w:spacing w:val="5"/>
    </w:rPr>
  </w:style>
  <w:style w:type="paragraph" w:styleId="Bibliography">
    <w:name w:val="Bibliography"/>
    <w:basedOn w:val="Normal"/>
    <w:next w:val="Normal"/>
    <w:uiPriority w:val="37"/>
    <w:unhideWhenUsed/>
    <w:rsid w:val="009F07F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Veincent Christian Pepito</dc:creator>
  <cp:keywords/>
  <dc:description/>
  <cp:lastModifiedBy>Veincent Christian Pepito</cp:lastModifiedBy>
  <cp:revision>1</cp:revision>
  <dcterms:created xsi:type="dcterms:W3CDTF">2025-05-03T05:31:00Z</dcterms:created>
  <dcterms:modified xsi:type="dcterms:W3CDTF">2025-05-03T06:38:00Z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id="3HrfKxS1"/&gt;&lt;style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