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27C" w:rsidRPr="00164EC2" w:rsidRDefault="00425C26" w:rsidP="00ED74B9">
      <w:pPr>
        <w:autoSpaceDE w:val="0"/>
        <w:autoSpaceDN w:val="0"/>
        <w:adjustRightInd w:val="0"/>
        <w:spacing w:before="120" w:after="120" w:line="360" w:lineRule="auto"/>
        <w:jc w:val="center"/>
        <w:rPr>
          <w:rFonts w:eastAsiaTheme="minorHAnsi"/>
          <w:b/>
          <w:sz w:val="28"/>
        </w:rPr>
      </w:pPr>
      <w:r w:rsidRPr="00164EC2">
        <w:rPr>
          <w:rFonts w:eastAsiaTheme="minorHAnsi"/>
          <w:b/>
          <w:sz w:val="28"/>
        </w:rPr>
        <w:t xml:space="preserve">Questionnaire </w:t>
      </w:r>
      <w:r w:rsidR="000C6424" w:rsidRPr="00164EC2">
        <w:rPr>
          <w:rFonts w:eastAsiaTheme="minorHAnsi"/>
          <w:b/>
          <w:sz w:val="28"/>
        </w:rPr>
        <w:t xml:space="preserve">for </w:t>
      </w:r>
      <w:r w:rsidR="00A50AE0" w:rsidRPr="00164EC2">
        <w:rPr>
          <w:rFonts w:eastAsiaTheme="minorHAnsi"/>
          <w:b/>
          <w:sz w:val="28"/>
        </w:rPr>
        <w:t>Weights Calculation of Criteria</w:t>
      </w:r>
      <w:r w:rsidR="000C6424" w:rsidRPr="00164EC2">
        <w:rPr>
          <w:rFonts w:eastAsiaTheme="minorHAnsi"/>
          <w:b/>
          <w:sz w:val="28"/>
        </w:rPr>
        <w:t xml:space="preserve"> </w:t>
      </w:r>
      <w:r w:rsidRPr="00164EC2">
        <w:rPr>
          <w:rFonts w:eastAsiaTheme="minorHAnsi"/>
          <w:b/>
          <w:sz w:val="28"/>
        </w:rPr>
        <w:t>and Ranking of Barriers</w:t>
      </w:r>
    </w:p>
    <w:p w:rsidR="00D9627C" w:rsidRPr="00164EC2" w:rsidRDefault="00D9627C" w:rsidP="00D9627C">
      <w:pPr>
        <w:autoSpaceDE w:val="0"/>
        <w:autoSpaceDN w:val="0"/>
        <w:adjustRightInd w:val="0"/>
        <w:spacing w:before="120" w:after="120" w:line="360" w:lineRule="auto"/>
        <w:jc w:val="center"/>
        <w:rPr>
          <w:b/>
          <w:u w:val="single"/>
        </w:rPr>
      </w:pPr>
      <w:r w:rsidRPr="00164EC2">
        <w:rPr>
          <w:b/>
          <w:u w:val="single"/>
        </w:rPr>
        <w:t>SECTION –A</w:t>
      </w:r>
    </w:p>
    <w:p w:rsidR="00D9627C" w:rsidRPr="00164EC2" w:rsidRDefault="00D9627C" w:rsidP="00D9627C">
      <w:pPr>
        <w:numPr>
          <w:ilvl w:val="0"/>
          <w:numId w:val="1"/>
        </w:numPr>
        <w:autoSpaceDE w:val="0"/>
        <w:autoSpaceDN w:val="0"/>
        <w:adjustRightInd w:val="0"/>
        <w:spacing w:before="120" w:after="120" w:line="360" w:lineRule="auto"/>
        <w:contextualSpacing/>
        <w:jc w:val="both"/>
      </w:pPr>
      <w:r w:rsidRPr="00164EC2">
        <w:t>Organization Name: _________________________________________________</w:t>
      </w:r>
    </w:p>
    <w:p w:rsidR="00D9627C" w:rsidRPr="00164EC2" w:rsidRDefault="00D9627C" w:rsidP="00D9627C">
      <w:pPr>
        <w:numPr>
          <w:ilvl w:val="0"/>
          <w:numId w:val="1"/>
        </w:numPr>
        <w:autoSpaceDE w:val="0"/>
        <w:autoSpaceDN w:val="0"/>
        <w:adjustRightInd w:val="0"/>
        <w:spacing w:before="120" w:after="120" w:line="360" w:lineRule="auto"/>
        <w:contextualSpacing/>
        <w:jc w:val="both"/>
      </w:pPr>
      <w:r w:rsidRPr="00164EC2">
        <w:t>Location:</w:t>
      </w:r>
      <w:r w:rsidRPr="00164EC2">
        <w:tab/>
        <w:t>_____________________________________________________</w:t>
      </w:r>
    </w:p>
    <w:p w:rsidR="00D9627C" w:rsidRPr="00164EC2" w:rsidRDefault="00D9627C" w:rsidP="00D9627C">
      <w:pPr>
        <w:numPr>
          <w:ilvl w:val="0"/>
          <w:numId w:val="1"/>
        </w:numPr>
        <w:autoSpaceDE w:val="0"/>
        <w:autoSpaceDN w:val="0"/>
        <w:adjustRightInd w:val="0"/>
        <w:spacing w:before="120" w:after="120" w:line="360" w:lineRule="auto"/>
        <w:contextualSpacing/>
        <w:jc w:val="both"/>
      </w:pPr>
      <w:r w:rsidRPr="00164EC2">
        <w:t>Name of the Authority____________________________________________</w:t>
      </w:r>
    </w:p>
    <w:p w:rsidR="00D9627C" w:rsidRPr="00164EC2" w:rsidRDefault="00D9627C" w:rsidP="00D9627C">
      <w:pPr>
        <w:numPr>
          <w:ilvl w:val="0"/>
          <w:numId w:val="1"/>
        </w:numPr>
        <w:autoSpaceDE w:val="0"/>
        <w:autoSpaceDN w:val="0"/>
        <w:adjustRightInd w:val="0"/>
        <w:spacing w:before="120" w:after="120" w:line="360" w:lineRule="auto"/>
        <w:contextualSpacing/>
        <w:jc w:val="both"/>
      </w:pPr>
      <w:r w:rsidRPr="00164EC2">
        <w:t>Designation____________________________________________________</w:t>
      </w:r>
    </w:p>
    <w:p w:rsidR="00D9627C" w:rsidRPr="00164EC2" w:rsidRDefault="00D9627C" w:rsidP="00D9627C">
      <w:pPr>
        <w:rPr>
          <w:b/>
          <w:u w:val="single"/>
        </w:rPr>
      </w:pPr>
    </w:p>
    <w:p w:rsidR="00D9627C" w:rsidRPr="00164EC2" w:rsidRDefault="00D9627C" w:rsidP="00D9627C">
      <w:pPr>
        <w:jc w:val="center"/>
        <w:rPr>
          <w:b/>
          <w:u w:val="single"/>
        </w:rPr>
      </w:pPr>
      <w:r w:rsidRPr="00164EC2">
        <w:rPr>
          <w:b/>
          <w:u w:val="single"/>
        </w:rPr>
        <w:t>SECTION-B</w:t>
      </w:r>
    </w:p>
    <w:p w:rsidR="002B0565" w:rsidRPr="00164EC2" w:rsidRDefault="002B0565" w:rsidP="00D9627C">
      <w:pPr>
        <w:jc w:val="center"/>
        <w:rPr>
          <w:b/>
          <w:u w:val="single"/>
        </w:rPr>
      </w:pPr>
    </w:p>
    <w:p w:rsidR="002B0565" w:rsidRPr="00164EC2" w:rsidRDefault="002B0565" w:rsidP="002B0565">
      <w:pPr>
        <w:spacing w:line="360" w:lineRule="auto"/>
        <w:jc w:val="both"/>
      </w:pPr>
      <w:r w:rsidRPr="00164EC2">
        <w:t xml:space="preserve">Industry 5.0 (I5.0) is a new industrial paradigm where humans interact with machines through the use of </w:t>
      </w:r>
      <w:proofErr w:type="spellStart"/>
      <w:r w:rsidRPr="00164EC2">
        <w:t>IoT</w:t>
      </w:r>
      <w:proofErr w:type="spellEnd"/>
      <w:r w:rsidRPr="00164EC2">
        <w:t xml:space="preserve">, sensors, and cyber-physical systems to transform existing factories into smart factories </w:t>
      </w:r>
      <w:r w:rsidRPr="00164EC2">
        <w:fldChar w:fldCharType="begin" w:fldLock="1"/>
      </w:r>
      <w:r w:rsidRPr="00164EC2">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fldChar w:fldCharType="separate"/>
      </w:r>
      <w:r w:rsidRPr="00164EC2">
        <w:rPr>
          <w:noProof/>
        </w:rPr>
        <w:t>(Sharma et al., 2022)</w:t>
      </w:r>
      <w:r w:rsidRPr="00164EC2">
        <w:fldChar w:fldCharType="end"/>
      </w:r>
      <w:r w:rsidRPr="00164EC2">
        <w:t>. Digital technologies of I5.0 provide a real-time collection of data and analysis that leads to improved operational performance within industrial settings (</w:t>
      </w:r>
      <w:proofErr w:type="spellStart"/>
      <w:r w:rsidRPr="00164EC2">
        <w:rPr>
          <w:noProof/>
        </w:rPr>
        <w:t>Paschek</w:t>
      </w:r>
      <w:proofErr w:type="spellEnd"/>
      <w:r w:rsidRPr="00164EC2">
        <w:rPr>
          <w:noProof/>
        </w:rPr>
        <w:t xml:space="preserve"> et al., 2019)</w:t>
      </w:r>
      <w:r w:rsidRPr="00164EC2">
        <w:t xml:space="preserve">. Continuous pursuits towards the attainment of sustainable development goals (SDGs) and I5.0 foster industrial organizational capability towards the mass customization of quality products with lower cost and lesser effects on environmental sustainability </w:t>
      </w:r>
      <w:r w:rsidRPr="00164EC2">
        <w:fldChar w:fldCharType="begin" w:fldLock="1"/>
      </w:r>
      <w:r w:rsidRPr="00164EC2">
        <w:instrText>ADDIN CSL_CITATION {"citationItems":[{"id":"ITEM-1","itemData":{"DOI":"10.1089/omi.2017.0194","ISSN":"15578100","PMID":"29293405","abstract":"Driverless cars with artificial intelligence (AI) and automated supermarkets run by collaborative robots (cobots) working without human supervision have sparked off new debates: what will be the impacts of extreme automation, turbocharged by the Internet of Things (IoT), AI, and the Industry 4.0, on Big Data and omics implementation science? The IoT builds on (1) broadband wireless internet connectivity, (2) miniaturized sensors embedded in animate and inanimate objects ranging from the house cat to the milk carton in your smart fridge, and (3) AI and cobots making sense of Big Data collected by sensors. Industry 4.0 is a high-tech strategy for manufacturing automation that employs the IoT, thus creating the Smart Factory. Extreme automation until \"everything is connected to everything else\" poses, however, vulnerabilities that have been little considered to date. First, highly integrated systems are vulnerable to systemic risks such as total network collapse in the event of failure of one of its parts, for example, by hacking or Internet viruses that can fully invade integrated systems. Second, extreme connectivity creates new social and political power structures. If left unchecked, they might lead to authoritarian governance by one person in total control of network power, directly or through her/his connected surrogates. We propose Industry 5.0 that can democratize knowledge coproduction from Big Data, building on the new concept of symmetrical innovation. Industry 5.0 utilizes IoT, but differs from predecessor automation systems by having three-dimensional (3D) symmetry in innovation ecosystem design: (1) a built-in safe exit strategy in case of demise of hyperconnected entrenched digital knowledge networks. Importantly, such safe exists are orthogonal - in that they allow \"digital detox\" by employing pathways unrelated/unaffected by automated networks, for example, electronic patient records versus material/article trails on vital medical information; (2) equal emphasis on both acceleration and deceleration of innovation if diminishing returns become apparent; and (3) next generation social science and humanities (SSH) research for global governance of emerging technologies: \"Post-ELSI Technology Evaluation Research\" (PETER). Importantly, PETER considers the technology opportunity costs, ethics, ethics-of-ethics, framings (epistemology), independence, and reflexivity of SSH research in technology policymaking. Industry 5.0 is poised to harness ext…","author":[{"dropping-particle":"","family":"Özdemir","given":"Vural","non-dropping-particle":"","parse-names":false,"suffix":""},{"dropping-particle":"","family":"Hekim","given":"Nezih","non-dropping-particle":"","parse-names":false,"suffix":""}],"container-title":"OMICS A Journal of Integrative Biology","id":"ITEM-1","issue":"1","issued":{"date-parts":[["2018"]]},"page":"65-76","title":"Birth of Industry 5.0: Making Sense of Big Data with Artificial Intelligence, \"the Internet of Things\" and Next-Generation Technology Policy","type":"article-journal","volume":"22"},"uris":["http://www.mendeley.com/documents/?uuid=3b48feec-1a4d-4ae8-b63d-e4ab61d74e3c"]}],"mendeley":{"formattedCitation":"(Özdemir &amp; Hekim, 2018)","plainTextFormattedCitation":"(Özdemir &amp; Hekim, 2018)","previouslyFormattedCitation":"(Özdemir &amp; Hekim, 2018)"},"properties":{"noteIndex":0},"schema":"https://github.com/citation-style-language/schema/raw/master/csl-citation.json"}</w:instrText>
      </w:r>
      <w:r w:rsidRPr="00164EC2">
        <w:fldChar w:fldCharType="separate"/>
      </w:r>
      <w:r w:rsidRPr="00164EC2">
        <w:rPr>
          <w:noProof/>
        </w:rPr>
        <w:t>(Özdemir &amp; Hekim, 2018)</w:t>
      </w:r>
      <w:r w:rsidRPr="00164EC2">
        <w:fldChar w:fldCharType="end"/>
      </w:r>
      <w:r w:rsidRPr="00164EC2">
        <w:t xml:space="preserve">. I5.0 technologies such as big data, </w:t>
      </w:r>
      <w:proofErr w:type="spellStart"/>
      <w:r w:rsidRPr="00164EC2">
        <w:t>IoT</w:t>
      </w:r>
      <w:proofErr w:type="spellEnd"/>
      <w:r w:rsidRPr="00164EC2">
        <w:t xml:space="preserve">, and cyber-physical systems (CPS), among others, are envisioned to benefit society in unprecedented ways that include manufacturing, services, innovation aspects, and many new avenues for the next decade </w:t>
      </w:r>
      <w:r w:rsidRPr="00164EC2">
        <w:fldChar w:fldCharType="begin" w:fldLock="1"/>
      </w:r>
      <w:r w:rsidRPr="00164EC2">
        <w:instrText>ADDIN CSL_CITATION {"citationItems":[{"id":"ITEM-1","itemData":{"abstract":"With the rapid development of technology in the digitalization era, the Industry 4.0 became a terminology that became a reference for research and development in the field of technology in various sectors. This continues to trigger all people to develop technology to enable better utilization in facilitating human life. Society 5.0 is an idea that explains the revolution in people's lives with the development of the fourth industrial revolution. The concept that wants to be presented is how there is a revolution in society that both utilizing technology and also considering humanities aspects. Some sectors of work and needs are beginning to enter digitalization that utilizes Artificial Intelligence, Big","author":[{"dropping-particle":"Al","family":"Faruqi","given":"Umar","non-dropping-particle":"","parse-names":false,"suffix":""}],"container-title":"Jurnal Sistem Cerdas","id":"ITEM-1","issue":"01","issued":{"date-parts":[["2019"]]},"page":"67-79","title":"Survey Paper : Future Service in Industry 5.0","type":"article-journal","volume":"02"},"uris":["http://www.mendeley.com/documents/?uuid=87e6c537-5f6c-4637-804e-1c45b111c53e"]}],"mendeley":{"formattedCitation":"(Faruqi, 2019)","plainTextFormattedCitation":"(Faruqi, 2019)","previouslyFormattedCitation":"(Faruqi, 2019)"},"properties":{"noteIndex":0},"schema":"https://github.com/citation-style-language/schema/raw/master/csl-citation.json"}</w:instrText>
      </w:r>
      <w:r w:rsidRPr="00164EC2">
        <w:fldChar w:fldCharType="separate"/>
      </w:r>
      <w:r w:rsidRPr="00164EC2">
        <w:rPr>
          <w:noProof/>
        </w:rPr>
        <w:t>(Faruqi, 2019)</w:t>
      </w:r>
      <w:r w:rsidRPr="00164EC2">
        <w:fldChar w:fldCharType="end"/>
      </w:r>
      <w:r w:rsidRPr="00164EC2">
        <w:t>.</w:t>
      </w:r>
    </w:p>
    <w:p w:rsidR="002B0565" w:rsidRPr="00164EC2" w:rsidRDefault="002B0565" w:rsidP="002B0565">
      <w:pPr>
        <w:spacing w:line="360" w:lineRule="auto"/>
        <w:jc w:val="both"/>
        <w:rPr>
          <w:color w:val="000000"/>
        </w:rPr>
      </w:pPr>
      <w:r w:rsidRPr="00164EC2">
        <w:t>I5.0 can revolutionize the manufacturing sector by meeting continuous demand for highly customized products on a mass scale by sustaining the environment altogether with the safety, and well-being of industrial personnel. For this, I5.0 has gotten huge attention among policymakers, practitioners, and researchers in the last few years.  As a new model for industries, it is resisted by different levels of organization personnel, due to industrial and technological boundaries. In the literature, most of the studies of I5.0 are related to concepts, applications, and tools (</w:t>
      </w:r>
      <w:proofErr w:type="spellStart"/>
      <w:r w:rsidRPr="00164EC2">
        <w:t>Maddikunta</w:t>
      </w:r>
      <w:proofErr w:type="spellEnd"/>
      <w:r w:rsidRPr="00164EC2">
        <w:t xml:space="preserve"> et al., 2022). Despite the great potential of I5.0, its adoption has not been explored to fully tap into the manufacturing industries of India (Mukherjee et al., 2023). India is now the fifth largest economy in the world but not on the list of top five manufacturing hubs (</w:t>
      </w:r>
      <w:proofErr w:type="spellStart"/>
      <w:r w:rsidRPr="00164EC2">
        <w:t>Sindhwani</w:t>
      </w:r>
      <w:proofErr w:type="spellEnd"/>
      <w:r w:rsidRPr="00164EC2">
        <w:t xml:space="preserve"> et al., 2023). Further, according to recent reports despite the Indian government's huge efforts related to Make in India investment in the manufacturing sector is slummed due to innovation measures and the availability of skilled work professionals. For this, Indian manufacturing industries must </w:t>
      </w:r>
      <w:r w:rsidRPr="00164EC2">
        <w:lastRenderedPageBreak/>
        <w:t>comprehend the reasons that obstruct the adoption of Industry 5.0 in Indian manufacturing study. The existing studies of Industry 5.0 elaborated on know-how, basic concepts, and technology but didn’t elaborate on why there is less adoption from the perspective of the operational management and business viewpoint (</w:t>
      </w:r>
      <w:r w:rsidRPr="00164EC2">
        <w:rPr>
          <w:noProof/>
        </w:rPr>
        <w:t xml:space="preserve">Aslam et al., 2020; Doyle-Kent &amp; Kopacek, 2021; Javaid et al., 2020; </w:t>
      </w:r>
      <w:r w:rsidRPr="00164EC2">
        <w:t>Kumar et al., 2023). The extensive study on the barriers is related to descriptive analysis of the barriers in a generalized manner and not specific to the manufacturing sector and a particular segment or nation (Mukherjee et al., 2023). The previous studies did not provide the prioritization of the barriers that provide a sequential way to remove the same. So, this research work is an attempt to explore barriers and associated criteria for increasing the promptness of I5.0 within the Indian manufacturing industry.</w:t>
      </w:r>
      <w:r w:rsidR="007B72D9" w:rsidRPr="00164EC2">
        <w:t xml:space="preserve"> The different barriers to </w:t>
      </w:r>
      <w:r w:rsidR="007B72D9" w:rsidRPr="00164EC2">
        <w:rPr>
          <w:color w:val="000000"/>
        </w:rPr>
        <w:t>I5.0 adoption in the Indian manufacturing industries are presented in Table 1.</w:t>
      </w:r>
    </w:p>
    <w:p w:rsidR="00CF1112" w:rsidRPr="00164EC2" w:rsidRDefault="00CF1112" w:rsidP="00CF1112">
      <w:pPr>
        <w:spacing w:line="360" w:lineRule="auto"/>
        <w:jc w:val="both"/>
      </w:pPr>
    </w:p>
    <w:p w:rsidR="00CF1112" w:rsidRPr="00164EC2" w:rsidRDefault="00CF1112" w:rsidP="00CF1112">
      <w:pPr>
        <w:jc w:val="center"/>
      </w:pPr>
      <w:r w:rsidRPr="00164EC2">
        <w:rPr>
          <w:b/>
        </w:rPr>
        <w:t xml:space="preserve"> </w:t>
      </w:r>
      <w:r w:rsidRPr="00164EC2">
        <w:t>Table 1. Barriers to the adoption of Industry 5.0 in Indian manufacturing industry</w:t>
      </w:r>
    </w:p>
    <w:tbl>
      <w:tblPr>
        <w:tblW w:w="10655" w:type="dxa"/>
        <w:jc w:val="center"/>
        <w:tblLook w:val="04A0" w:firstRow="1" w:lastRow="0" w:firstColumn="1" w:lastColumn="0" w:noHBand="0" w:noVBand="1"/>
      </w:tblPr>
      <w:tblGrid>
        <w:gridCol w:w="1394"/>
        <w:gridCol w:w="1512"/>
        <w:gridCol w:w="6269"/>
        <w:gridCol w:w="1480"/>
      </w:tblGrid>
      <w:tr w:rsidR="00CF1112" w:rsidRPr="00164EC2" w:rsidTr="006630E7">
        <w:trPr>
          <w:trHeight w:val="300"/>
          <w:jc w:val="center"/>
        </w:trPr>
        <w:tc>
          <w:tcPr>
            <w:tcW w:w="1394" w:type="dxa"/>
            <w:tcBorders>
              <w:top w:val="single" w:sz="4" w:space="0" w:color="auto"/>
              <w:left w:val="single" w:sz="4" w:space="0" w:color="auto"/>
              <w:bottom w:val="single" w:sz="4" w:space="0" w:color="auto"/>
              <w:right w:val="single" w:sz="4" w:space="0" w:color="auto"/>
            </w:tcBorders>
          </w:tcPr>
          <w:p w:rsidR="00CF1112" w:rsidRPr="00164EC2" w:rsidRDefault="00CF1112" w:rsidP="006630E7">
            <w:pPr>
              <w:rPr>
                <w:b/>
                <w:bCs/>
                <w:color w:val="000000"/>
                <w:sz w:val="20"/>
                <w:szCs w:val="20"/>
              </w:rPr>
            </w:pPr>
            <w:r w:rsidRPr="00164EC2">
              <w:rPr>
                <w:b/>
                <w:bCs/>
                <w:color w:val="000000"/>
                <w:sz w:val="20"/>
                <w:szCs w:val="20"/>
              </w:rPr>
              <w:t>Barriers to I5.0</w:t>
            </w:r>
          </w:p>
        </w:tc>
        <w:tc>
          <w:tcPr>
            <w:tcW w:w="1512" w:type="dxa"/>
            <w:tcBorders>
              <w:top w:val="single" w:sz="4" w:space="0" w:color="auto"/>
              <w:left w:val="single" w:sz="4" w:space="0" w:color="auto"/>
              <w:bottom w:val="single" w:sz="4" w:space="0" w:color="auto"/>
              <w:right w:val="single" w:sz="4" w:space="0" w:color="auto"/>
            </w:tcBorders>
            <w:shd w:val="clear" w:color="auto" w:fill="auto"/>
            <w:noWrap/>
          </w:tcPr>
          <w:p w:rsidR="00CF1112" w:rsidRPr="00164EC2" w:rsidRDefault="00CF1112" w:rsidP="006630E7">
            <w:pPr>
              <w:rPr>
                <w:b/>
                <w:bCs/>
                <w:color w:val="000000"/>
                <w:sz w:val="20"/>
                <w:szCs w:val="20"/>
              </w:rPr>
            </w:pPr>
            <w:r w:rsidRPr="00164EC2">
              <w:rPr>
                <w:b/>
                <w:bCs/>
                <w:color w:val="000000"/>
                <w:sz w:val="20"/>
                <w:szCs w:val="20"/>
              </w:rPr>
              <w:t>Label</w:t>
            </w:r>
          </w:p>
        </w:tc>
        <w:tc>
          <w:tcPr>
            <w:tcW w:w="6269" w:type="dxa"/>
            <w:tcBorders>
              <w:top w:val="single" w:sz="4" w:space="0" w:color="auto"/>
              <w:left w:val="nil"/>
              <w:bottom w:val="single" w:sz="4" w:space="0" w:color="auto"/>
              <w:right w:val="single" w:sz="4" w:space="0" w:color="auto"/>
            </w:tcBorders>
            <w:shd w:val="clear" w:color="auto" w:fill="auto"/>
            <w:noWrap/>
            <w:hideMark/>
          </w:tcPr>
          <w:p w:rsidR="00CF1112" w:rsidRPr="00164EC2" w:rsidRDefault="00CF1112" w:rsidP="006630E7">
            <w:pPr>
              <w:rPr>
                <w:b/>
                <w:bCs/>
                <w:color w:val="000000"/>
                <w:sz w:val="20"/>
                <w:szCs w:val="20"/>
              </w:rPr>
            </w:pPr>
            <w:r w:rsidRPr="00164EC2">
              <w:rPr>
                <w:b/>
                <w:bCs/>
                <w:color w:val="000000"/>
                <w:sz w:val="20"/>
                <w:szCs w:val="20"/>
              </w:rPr>
              <w:t>Description</w:t>
            </w:r>
          </w:p>
        </w:tc>
        <w:tc>
          <w:tcPr>
            <w:tcW w:w="1480" w:type="dxa"/>
            <w:tcBorders>
              <w:top w:val="single" w:sz="4" w:space="0" w:color="auto"/>
              <w:left w:val="nil"/>
              <w:bottom w:val="single" w:sz="4" w:space="0" w:color="auto"/>
              <w:right w:val="single" w:sz="4" w:space="0" w:color="auto"/>
            </w:tcBorders>
            <w:shd w:val="clear" w:color="auto" w:fill="auto"/>
            <w:noWrap/>
            <w:hideMark/>
          </w:tcPr>
          <w:p w:rsidR="00CF1112" w:rsidRPr="00164EC2" w:rsidRDefault="00CF1112" w:rsidP="006630E7">
            <w:pPr>
              <w:rPr>
                <w:b/>
                <w:bCs/>
                <w:color w:val="000000"/>
                <w:sz w:val="20"/>
                <w:szCs w:val="20"/>
              </w:rPr>
            </w:pPr>
            <w:r w:rsidRPr="00164EC2">
              <w:rPr>
                <w:b/>
                <w:bCs/>
                <w:color w:val="000000"/>
                <w:sz w:val="20"/>
                <w:szCs w:val="20"/>
              </w:rPr>
              <w:t>Reference</w:t>
            </w:r>
          </w:p>
        </w:tc>
      </w:tr>
      <w:tr w:rsidR="00CF1112" w:rsidRPr="00164EC2" w:rsidTr="006630E7">
        <w:trPr>
          <w:trHeight w:val="1592"/>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Resistive culture</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BA1</w:t>
            </w:r>
          </w:p>
        </w:tc>
        <w:tc>
          <w:tcPr>
            <w:tcW w:w="6269" w:type="dxa"/>
            <w:tcBorders>
              <w:top w:val="nil"/>
              <w:left w:val="nil"/>
              <w:bottom w:val="single" w:sz="4" w:space="0" w:color="auto"/>
              <w:right w:val="single" w:sz="4" w:space="0" w:color="auto"/>
            </w:tcBorders>
            <w:shd w:val="clear" w:color="auto" w:fill="auto"/>
            <w:hideMark/>
          </w:tcPr>
          <w:p w:rsidR="00CF1112" w:rsidRPr="00164EC2" w:rsidRDefault="00CF1112" w:rsidP="006630E7">
            <w:pPr>
              <w:jc w:val="both"/>
              <w:rPr>
                <w:color w:val="000000"/>
                <w:sz w:val="20"/>
                <w:szCs w:val="20"/>
              </w:rPr>
            </w:pPr>
            <w:r w:rsidRPr="00164EC2">
              <w:rPr>
                <w:color w:val="000000"/>
                <w:sz w:val="20"/>
                <w:szCs w:val="20"/>
              </w:rPr>
              <w:t>Adoptions of advanced technologies coupled with I5.0 are resisted by organizational personnel due to their limited knowledge base towards new facets of manufacturing.  As organizational members are adept at traditional methods of working and new technology adoption is resisted due to a lack of change management, continuous learning, and a march towards excellence culture within the industrial setting.</w:t>
            </w:r>
          </w:p>
        </w:tc>
        <w:tc>
          <w:tcPr>
            <w:tcW w:w="1480" w:type="dxa"/>
            <w:tcBorders>
              <w:top w:val="nil"/>
              <w:left w:val="nil"/>
              <w:bottom w:val="single" w:sz="4" w:space="0" w:color="auto"/>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{"citationItems":[{"id":"ITEM-1","itemData":{"abstract":"This paper examines barriers to the implementation of Industry 4.0 technologies in the manufacturing sector in the context of both developed and developing economies. A comprehensive literature review, followed by discussions with industry experts, identifies 15 barriers, which are analyzed by means of a Grey Decision-Making Trial and Evaluation Laboratory (DEMATEL) approach. The 'lack of a digital strategy alongside resource scarcity' emerges as the most prominent barrier in both developed and developing economies. The influencing barriers identified suggest that improvements in standards and government regulation could facilitate the adoption of Industry 4.0 technologies in developing country case, whereas technological infrastructure is needed to promote the adoption of these technologies in developed country case. This study is one of the first to examine the implementation of Industry 4.0 in both developing and developed economies. This article highlights the difficulties in the diffusion of technological innovation resulting from a lack of coordinated national policies on Industry 4.0 in developing countries, which may prevent firms from fully experiencing the Industry 4.0 revolution. The results of this study may help decision makers and practitioners to address the barriers highlighted, paving the way for successful implementation of Industry 4.0 across the manufacturing sector.","author":[{"dropping-particle":"","family":"Raj","given":"Alok","non-dropping-particle":"","parse-names":false,"suffix":""},{"dropping-particle":"","family":"Dwivedi","given":"Gourav","non-dropping-particle":"","parse-names":false,"suffix":""},{"dropping-particle":"","family":"Sharma","given":"Ankit","non-dropping-particle":"","parse-names":false,"suffix":""},{"dropping-particle":"","family":"Area","given":"Operations Management","non-dropping-particle":"","parse-names":false,"suffix":""},{"dropping-particle":"","family":"Lopes De Sousa Jabbour","given":"Ana Beatriz","non-dropping-particle":"","parse-names":false,"suffix":""},{"dropping-particle":"","family":"Rajak","given":"Sonu","non-dropping-particle":"","parse-names":false,"suffix":""}],"container-title":"International Journal of Production Economics,","id":"ITEM-1","issued":{"date-parts":[["2019"]]},"title":"Barriers to the Adoption of Industry 4.0 Technologies in the Manufacturing Sector: An Inter-Country Comparative Perspective","type":"article-journal"},"uris":["http://www.mendeley.com/documents/?uuid=1cf467c8-2e94-4f3a-bd8e-022bb605a182"]}],"mendeley":{"formattedCitation":"(Raj et al., 2019)","plainTextFormattedCitation":"(Raj et al., 2019)","previouslyFormattedCitation":"(Raj et al., 2019)"},"properties":{"noteIndex":0},"schema":"https://github.com/citation-style-language/schema/raw/master/csl-citation.json"}</w:instrText>
            </w:r>
            <w:r w:rsidRPr="00164EC2">
              <w:rPr>
                <w:color w:val="000000"/>
                <w:sz w:val="20"/>
              </w:rPr>
              <w:fldChar w:fldCharType="separate"/>
            </w:r>
            <w:r w:rsidRPr="00164EC2">
              <w:rPr>
                <w:noProof/>
                <w:color w:val="000000"/>
                <w:sz w:val="20"/>
              </w:rPr>
              <w:t>(Raj et al.,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{"citationItems":[{"id":"ITEM-1","itemData":{"DOI":"10.1016/j.techfore.2019.05.021","ISSN":"00401625","abstract":"The Fourth Industrial Revolution poses significant challenges to manufacturing companies from the technological, organizational and management points of view. This paper aims to explore how top executives interpret the concept of Industry 4.0, the driving forces for introducing new technologies and the main barriers to Industry 4.0. The authors applied a qualitative case study design involving 26 semi-structured interviews with leading members of firms, including chief digital officers and chief executive officers. Company websites and annual reports were also examined to increase the reliability and validity of the results. The authors found that management desire to increase control and enable real-time performance measurement is a significant driving force behind Industry 4.0, alongside production factors. Organizational resistance at both employee and middle management levels can significantly hinder the introduction of Industry 4.0 technologies, though these technologies can also transform management functions. Multinational enterprises have higher driving forces and lower barriers to industry 4.0 than small and medium-sized companies, but these smaller companies have good opportunities, too.","author":[{"dropping-particle":"","family":"Horváth","given":"Dóra","non-dropping-particle":"","parse-names":false,"suffix":""},{"dropping-particle":"","family":"Szabó","given":"Roland Zs","non-dropping-particle":"","parse-names":false,"suffix":""}],"container-title":"Technological Forecasting and Social Change","id":"ITEM-1","issue":"March","issued":{"date-parts":[["2019"]]},"page":"119-132","publisher":"Elsevier","title":"Driving forces and barriers of Industry 4.0: Do multinational and small and medium-sized companies have equal opportunities?","type":"article-journal","volume":"146"},"uris":["http://www.mendeley.com/documents/?uuid=f4a8400c-7f69-419d-8256-203214653c81"]}],"mendeley":{"formattedCitation":"(Horváth &amp; Szabó, 2019)","plainTextFormattedCitation":"(Horváth &amp; Szabó, 2019)"},"properties":{"noteIndex":0},"schema":"https://github.com/citation-style-language/schema/raw/master/csl-citation.json"}</w:instrText>
            </w:r>
            <w:r w:rsidRPr="00164EC2">
              <w:rPr>
                <w:color w:val="000000"/>
                <w:sz w:val="20"/>
              </w:rPr>
              <w:fldChar w:fldCharType="separate"/>
            </w:r>
            <w:r w:rsidRPr="00164EC2">
              <w:rPr>
                <w:noProof/>
                <w:color w:val="000000"/>
                <w:sz w:val="20"/>
              </w:rPr>
              <w:t>(Horváth &amp; Szabó, 2019)</w:t>
            </w:r>
            <w:r w:rsidRPr="00164EC2">
              <w:rPr>
                <w:color w:val="000000"/>
                <w:sz w:val="20"/>
              </w:rPr>
              <w:fldChar w:fldCharType="end"/>
            </w:r>
          </w:p>
        </w:tc>
      </w:tr>
      <w:tr w:rsidR="00CF1112" w:rsidRPr="00164EC2" w:rsidTr="006630E7">
        <w:trPr>
          <w:trHeight w:val="1880"/>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Digitization and automation of the process</w:t>
            </w:r>
          </w:p>
        </w:tc>
        <w:tc>
          <w:tcPr>
            <w:tcW w:w="1512" w:type="dxa"/>
            <w:tcBorders>
              <w:top w:val="nil"/>
              <w:left w:val="single" w:sz="4" w:space="0" w:color="auto"/>
              <w:bottom w:val="single" w:sz="4" w:space="0" w:color="auto"/>
              <w:right w:val="single" w:sz="4" w:space="0" w:color="auto"/>
            </w:tcBorders>
            <w:shd w:val="clear" w:color="auto" w:fill="auto"/>
          </w:tcPr>
          <w:p w:rsidR="00CF1112" w:rsidRPr="00164EC2" w:rsidRDefault="00CF1112" w:rsidP="006630E7">
            <w:pPr>
              <w:rPr>
                <w:color w:val="000000"/>
                <w:sz w:val="20"/>
                <w:szCs w:val="20"/>
              </w:rPr>
            </w:pPr>
            <w:r w:rsidRPr="00164EC2">
              <w:rPr>
                <w:color w:val="000000"/>
                <w:sz w:val="20"/>
                <w:szCs w:val="20"/>
              </w:rPr>
              <w:t>BA2</w:t>
            </w:r>
          </w:p>
        </w:tc>
        <w:tc>
          <w:tcPr>
            <w:tcW w:w="6269" w:type="dxa"/>
            <w:tcBorders>
              <w:top w:val="nil"/>
              <w:left w:val="nil"/>
              <w:bottom w:val="nil"/>
              <w:right w:val="nil"/>
            </w:tcBorders>
            <w:shd w:val="clear" w:color="auto" w:fill="auto"/>
            <w:noWrap/>
            <w:hideMark/>
          </w:tcPr>
          <w:p w:rsidR="00CF1112" w:rsidRPr="00164EC2" w:rsidRDefault="00CF1112" w:rsidP="006630E7">
            <w:pPr>
              <w:jc w:val="both"/>
              <w:rPr>
                <w:color w:val="000000"/>
                <w:sz w:val="20"/>
                <w:szCs w:val="20"/>
              </w:rPr>
            </w:pPr>
            <w:r w:rsidRPr="00164EC2">
              <w:rPr>
                <w:color w:val="000000"/>
                <w:sz w:val="20"/>
                <w:szCs w:val="20"/>
              </w:rPr>
              <w:t xml:space="preserve">Entwining physical processes and digital technologies adds to better management of operations in the transformation process of the realization of a product or service. This integration supports better management of transportation, and inventory, and promotes resource sharing, mutual collaboration, and trustworthiness among partners of SC. However, entwining technologies of I5.0 with traditional methods of work is also challenging due to non-availability standards and established benchmarks for comparison standards. </w:t>
            </w:r>
          </w:p>
        </w:tc>
        <w:tc>
          <w:tcPr>
            <w:tcW w:w="1480" w:type="dxa"/>
            <w:tcBorders>
              <w:top w:val="nil"/>
              <w:left w:val="single" w:sz="4" w:space="0" w:color="auto"/>
              <w:bottom w:val="single" w:sz="4" w:space="0" w:color="auto"/>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p>
        </w:tc>
      </w:tr>
      <w:tr w:rsidR="00CF1112" w:rsidRPr="00164EC2" w:rsidTr="006630E7">
        <w:trPr>
          <w:trHeight w:val="1430"/>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Integration challenges in the value chain</w:t>
            </w:r>
          </w:p>
        </w:tc>
        <w:tc>
          <w:tcPr>
            <w:tcW w:w="1512" w:type="dxa"/>
            <w:tcBorders>
              <w:top w:val="nil"/>
              <w:left w:val="single" w:sz="4" w:space="0" w:color="auto"/>
              <w:bottom w:val="single" w:sz="4" w:space="0" w:color="auto"/>
              <w:right w:val="single" w:sz="4" w:space="0" w:color="auto"/>
            </w:tcBorders>
            <w:shd w:val="clear" w:color="auto" w:fill="auto"/>
          </w:tcPr>
          <w:p w:rsidR="00CF1112" w:rsidRPr="00164EC2" w:rsidRDefault="00CF1112" w:rsidP="006630E7">
            <w:pPr>
              <w:rPr>
                <w:color w:val="000000"/>
                <w:sz w:val="20"/>
                <w:szCs w:val="20"/>
              </w:rPr>
            </w:pPr>
            <w:r w:rsidRPr="00164EC2">
              <w:rPr>
                <w:color w:val="000000"/>
                <w:sz w:val="20"/>
                <w:szCs w:val="20"/>
              </w:rPr>
              <w:t>BA3</w:t>
            </w:r>
          </w:p>
        </w:tc>
        <w:tc>
          <w:tcPr>
            <w:tcW w:w="6269" w:type="dxa"/>
            <w:tcBorders>
              <w:top w:val="single" w:sz="4" w:space="0" w:color="auto"/>
              <w:left w:val="nil"/>
              <w:bottom w:val="single" w:sz="4" w:space="0" w:color="auto"/>
              <w:right w:val="single" w:sz="4" w:space="0" w:color="auto"/>
            </w:tcBorders>
            <w:shd w:val="clear" w:color="auto" w:fill="auto"/>
            <w:hideMark/>
          </w:tcPr>
          <w:p w:rsidR="00CF1112" w:rsidRPr="00164EC2" w:rsidRDefault="00CF1112" w:rsidP="006630E7">
            <w:pPr>
              <w:jc w:val="both"/>
              <w:rPr>
                <w:color w:val="000000"/>
                <w:sz w:val="20"/>
                <w:szCs w:val="20"/>
              </w:rPr>
            </w:pPr>
            <w:r w:rsidRPr="00164EC2">
              <w:rPr>
                <w:color w:val="000000"/>
                <w:sz w:val="20"/>
                <w:szCs w:val="20"/>
              </w:rPr>
              <w:t>Adoption of I5.0 technologies demands collaboration, information exchange, and resource sharing among different of the SC and value chain. Mutual collaboration and trustworthiness among partners must be developed so that the adoption of I5.0 technologies will bring harmony for all partners of the SC by improving productivity, and profitability, and bringing a competitive edge for all partners at the global level</w:t>
            </w:r>
          </w:p>
        </w:tc>
        <w:tc>
          <w:tcPr>
            <w:tcW w:w="1480" w:type="dxa"/>
            <w:tcBorders>
              <w:top w:val="nil"/>
              <w:left w:val="nil"/>
              <w:bottom w:val="single" w:sz="4" w:space="0" w:color="auto"/>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{"citationItems":[{"id":"ITEM-1","itemData":{"abstract":"This paper examines barriers to the implementation of Industry 4.0 technologies in the manufacturing sector in the context of both developed and developing economies. A comprehensive literature review, followed by discussions with industry experts, identifies 15 barriers, which are analyzed by means of a Grey Decision-Making Trial and Evaluation Laboratory (DEMATEL) approach. The 'lack of a digital strategy alongside resource scarcity' emerges as the most prominent barrier in both developed and developing economies. The influencing barriers identified suggest that improvements in standards and government regulation could facilitate the adoption of Industry 4.0 technologies in developing country case, whereas technological infrastructure is needed to promote the adoption of these technologies in developed country case. This study is one of the first to examine the implementation of Industry 4.0 in both developing and developed economies. This article highlights the difficulties in the diffusion of technological innovation resulting from a lack of coordinated national policies on Industry 4.0 in developing countries, which may prevent firms from fully experiencing the Industry 4.0 revolution. The results of this study may help decision makers and practitioners to address the barriers highlighted, paving the way for successful implementation of Industry 4.0 across the manufacturing sector.","author":[{"dropping-particle":"","family":"Raj","given":"Alok","non-dropping-particle":"","parse-names":false,"suffix":""},{"dropping-particle":"","family":"Dwivedi","given":"Gourav","non-dropping-particle":"","parse-names":false,"suffix":""},{"dropping-particle":"","family":"Sharma","given":"Ankit","non-dropping-particle":"","parse-names":false,"suffix":""},{"dropping-particle":"","family":"Area","given":"Operations Management","non-dropping-particle":"","parse-names":false,"suffix":""},{"dropping-particle":"","family":"Lopes De Sousa Jabbour","given":"Ana Beatriz","non-dropping-particle":"","parse-names":false,"suffix":""},{"dropping-particle":"","family":"Rajak","given":"Sonu","non-dropping-particle":"","parse-names":false,"suffix":""}],"container-title":"International Journal of Production Economics,","id":"ITEM-1","issued":{"date-parts":[["2019"]]},"title":"Barriers to the Adoption of Industry 4.0 Technologies in the Manufacturing Sector: An Inter-Country Comparative Perspective","type":"article-journal"},"uris":["http://www.mendeley.com/documents/?uuid=1cf467c8-2e94-4f3a-bd8e-022bb605a182"]}],"mendeley":{"formattedCitation":"(Raj et al., 2019)","plainTextFormattedCitation":"(Raj et al., 2019)","previouslyFormattedCitation":"(Raj et al., 2019)"},"properties":{"noteIndex":0},"schema":"https://github.com/citation-style-language/schema/raw/master/csl-citation.json"}</w:instrText>
            </w:r>
            <w:r w:rsidRPr="00164EC2">
              <w:rPr>
                <w:color w:val="000000"/>
                <w:sz w:val="20"/>
              </w:rPr>
              <w:fldChar w:fldCharType="separate"/>
            </w:r>
            <w:r w:rsidRPr="00164EC2">
              <w:rPr>
                <w:noProof/>
                <w:color w:val="000000"/>
                <w:sz w:val="20"/>
              </w:rPr>
              <w:t>(Raj et al.,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CF1112" w:rsidRPr="00164EC2" w:rsidTr="006630E7">
        <w:trPr>
          <w:trHeight w:val="1160"/>
          <w:jc w:val="center"/>
        </w:trPr>
        <w:tc>
          <w:tcPr>
            <w:tcW w:w="1394" w:type="dxa"/>
            <w:tcBorders>
              <w:top w:val="nil"/>
              <w:left w:val="single" w:sz="4" w:space="0" w:color="auto"/>
              <w:bottom w:val="single" w:sz="4" w:space="0" w:color="auto"/>
              <w:right w:val="single" w:sz="4" w:space="0" w:color="auto"/>
            </w:tcBorders>
          </w:tcPr>
          <w:p w:rsidR="00CF1112" w:rsidRPr="00164EC2" w:rsidRDefault="004F70C1" w:rsidP="006630E7">
            <w:pPr>
              <w:rPr>
                <w:color w:val="000000"/>
                <w:sz w:val="20"/>
                <w:szCs w:val="20"/>
              </w:rPr>
            </w:pPr>
            <w:r w:rsidRPr="004F70C1">
              <w:rPr>
                <w:color w:val="000000"/>
                <w:sz w:val="20"/>
                <w:szCs w:val="20"/>
              </w:rPr>
              <w:t>Lack of connection between physical and virtual systems</w:t>
            </w:r>
          </w:p>
        </w:tc>
        <w:tc>
          <w:tcPr>
            <w:tcW w:w="1512" w:type="dxa"/>
            <w:tcBorders>
              <w:top w:val="nil"/>
              <w:left w:val="single" w:sz="4" w:space="0" w:color="auto"/>
              <w:bottom w:val="single" w:sz="4" w:space="0" w:color="auto"/>
              <w:right w:val="single" w:sz="4" w:space="0" w:color="auto"/>
            </w:tcBorders>
            <w:shd w:val="clear" w:color="auto" w:fill="auto"/>
          </w:tcPr>
          <w:p w:rsidR="00CF1112" w:rsidRPr="00164EC2" w:rsidRDefault="00CF1112" w:rsidP="006630E7">
            <w:pPr>
              <w:rPr>
                <w:color w:val="000000"/>
                <w:sz w:val="20"/>
                <w:szCs w:val="20"/>
              </w:rPr>
            </w:pPr>
            <w:r w:rsidRPr="00164EC2">
              <w:rPr>
                <w:color w:val="000000"/>
                <w:sz w:val="20"/>
                <w:szCs w:val="20"/>
              </w:rPr>
              <w:t>BA4</w:t>
            </w:r>
          </w:p>
        </w:tc>
        <w:tc>
          <w:tcPr>
            <w:tcW w:w="6269" w:type="dxa"/>
            <w:tcBorders>
              <w:top w:val="nil"/>
              <w:left w:val="nil"/>
              <w:bottom w:val="single" w:sz="4" w:space="0" w:color="auto"/>
              <w:right w:val="single" w:sz="4" w:space="0" w:color="auto"/>
            </w:tcBorders>
            <w:shd w:val="clear" w:color="auto" w:fill="auto"/>
            <w:hideMark/>
          </w:tcPr>
          <w:p w:rsidR="00CF1112" w:rsidRPr="00164EC2" w:rsidRDefault="00CF1112" w:rsidP="006630E7">
            <w:pPr>
              <w:jc w:val="both"/>
              <w:rPr>
                <w:color w:val="000000"/>
                <w:sz w:val="20"/>
                <w:szCs w:val="20"/>
              </w:rPr>
            </w:pPr>
            <w:r w:rsidRPr="00164EC2">
              <w:rPr>
                <w:color w:val="000000"/>
                <w:sz w:val="20"/>
                <w:szCs w:val="20"/>
              </w:rPr>
              <w:t xml:space="preserve">It is imperative to integrate all the aspects of virtual engineering, virtual factories, and virtual objects using a systematized CPS to have a virtual production system. A good set of technologies, security, and standards are demanded to exchange information between virtual and real production. </w:t>
            </w:r>
          </w:p>
        </w:tc>
        <w:tc>
          <w:tcPr>
            <w:tcW w:w="1480" w:type="dxa"/>
            <w:tcBorders>
              <w:top w:val="nil"/>
              <w:left w:val="nil"/>
              <w:bottom w:val="single" w:sz="4" w:space="0" w:color="auto"/>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{"citationItems":[{"id":"ITEM-1","itemData":{"DOI":"10.1016/j.ijinfomgt.2019.03.002","ISSN":"02684012","abstract":"The purpose of this paper is to understand the hidden connection between Circular Economy (CE) and Industry 4.0 in the context of supply chain. The factors responsible for linking CE and Industry 4.0 are studied from two angles viz. from the enablers’ side and barriers’ side. In the paper, twenty-six significant enabling and fifteen challenging factors are identified which are further factorized using Principal Component Analysis (PCA). DEMATEL approach is applied on the factors constructed from PCA. Here, the DEMATEL is applied for three different sets of data termed as Optimistic, Pessimistic and Most Likely. The paper identified Artificial Intelligence, Service and Policy Framework, and Circular Economy are significant enablers connecting CE and Industry 4.0. Similarly, paper reports Interface Designing and Automated Synergy Model as the most significant challenges to link CE and Industry 4.0 in a supply chain.","author":[{"dropping-particle":"","family":"Rajput","given":"Shubhangini","non-dropping-particle":"","parse-names":false,"suffix":""},{"dropping-particle":"","family":"Singh","given":"Surya Prakash","non-dropping-particle":"","parse-names":false,"suffix":""}],"container-title":"International Journal of Information Management","id":"ITEM-1","issue":"March","issued":{"date-parts":[["2019"]]},"page":"98-113","publisher":"Elsevier","title":"Connecting circular economy and industry 4.0","type":"article-journal","volume":"49"},"uris":["http://www.mendeley.com/documents/?uuid=72cb0444-0cbe-412e-92a0-127e94384100"]}],"mendeley":{"formattedCitation":"(Rajput &amp; Singh, 2019)","plainTextFormattedCitation":"(Rajput &amp; Singh, 2019)","previouslyFormattedCitation":"(Rajput &amp; Singh, 2019)"},"properties":{"noteIndex":0},"schema":"https://github.com/citation-style-language/schema/raw/master/csl-citation.json"}</w:instrText>
            </w:r>
            <w:r w:rsidRPr="00164EC2">
              <w:rPr>
                <w:color w:val="000000"/>
                <w:sz w:val="20"/>
              </w:rPr>
              <w:fldChar w:fldCharType="separate"/>
            </w:r>
            <w:r w:rsidRPr="00164EC2">
              <w:rPr>
                <w:noProof/>
                <w:color w:val="000000"/>
                <w:sz w:val="20"/>
              </w:rPr>
              <w:t>(Rajput &amp; Singh,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CF1112" w:rsidRPr="00164EC2" w:rsidTr="006630E7">
        <w:trPr>
          <w:trHeight w:val="1673"/>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lastRenderedPageBreak/>
              <w:t>Concerted paradigm</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BA5</w:t>
            </w:r>
          </w:p>
        </w:tc>
        <w:tc>
          <w:tcPr>
            <w:tcW w:w="6269" w:type="dxa"/>
            <w:tcBorders>
              <w:top w:val="nil"/>
              <w:left w:val="nil"/>
              <w:bottom w:val="single" w:sz="4" w:space="0" w:color="auto"/>
              <w:right w:val="single" w:sz="4" w:space="0" w:color="auto"/>
            </w:tcBorders>
            <w:shd w:val="clear" w:color="auto" w:fill="auto"/>
            <w:hideMark/>
          </w:tcPr>
          <w:p w:rsidR="00CF1112" w:rsidRPr="00164EC2" w:rsidRDefault="00CF1112" w:rsidP="006630E7">
            <w:pPr>
              <w:jc w:val="both"/>
              <w:rPr>
                <w:color w:val="000000"/>
                <w:sz w:val="20"/>
                <w:szCs w:val="20"/>
              </w:rPr>
            </w:pPr>
            <w:r w:rsidRPr="00164EC2">
              <w:rPr>
                <w:color w:val="000000"/>
                <w:sz w:val="20"/>
                <w:szCs w:val="20"/>
              </w:rPr>
              <w:t>I5.0 demands effective collaboration between robots and human actions to make an intelligent and accident-free workspace where robots can mimic, sense and analyze human intention. The collaborative model of the robot and human intelligence boosts research and development actions, creates smart devices coupled with the human touch, and ensures the development of a human-machine safety system that will reduce accidents and induce enhanced work satisfaction.</w:t>
            </w:r>
          </w:p>
        </w:tc>
        <w:tc>
          <w:tcPr>
            <w:tcW w:w="1480" w:type="dxa"/>
            <w:tcBorders>
              <w:top w:val="nil"/>
              <w:left w:val="nil"/>
              <w:bottom w:val="single" w:sz="4" w:space="0" w:color="auto"/>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CF1112" w:rsidRPr="00164EC2" w:rsidTr="006630E7">
        <w:trPr>
          <w:trHeight w:val="800"/>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Regularization of infrastructure</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BA6</w:t>
            </w:r>
          </w:p>
        </w:tc>
        <w:tc>
          <w:tcPr>
            <w:tcW w:w="6269" w:type="dxa"/>
            <w:tcBorders>
              <w:top w:val="nil"/>
              <w:left w:val="nil"/>
              <w:bottom w:val="single" w:sz="4" w:space="0" w:color="auto"/>
              <w:right w:val="single" w:sz="4" w:space="0" w:color="auto"/>
            </w:tcBorders>
            <w:shd w:val="clear" w:color="auto" w:fill="auto"/>
          </w:tcPr>
          <w:p w:rsidR="00CF1112" w:rsidRPr="00164EC2" w:rsidRDefault="00CF1112" w:rsidP="006630E7">
            <w:pPr>
              <w:jc w:val="both"/>
              <w:rPr>
                <w:color w:val="000000"/>
                <w:sz w:val="20"/>
                <w:szCs w:val="20"/>
              </w:rPr>
            </w:pPr>
            <w:r w:rsidRPr="00164EC2">
              <w:rPr>
                <w:color w:val="000000"/>
                <w:sz w:val="20"/>
                <w:szCs w:val="20"/>
              </w:rPr>
              <w:t>Preparing the industrial setting for the adoption of I5.0 demands considerable changes in the existing infrastructure for introducing automation and integration among numerous components.</w:t>
            </w:r>
          </w:p>
        </w:tc>
        <w:tc>
          <w:tcPr>
            <w:tcW w:w="1480" w:type="dxa"/>
            <w:tcBorders>
              <w:top w:val="nil"/>
              <w:left w:val="nil"/>
              <w:bottom w:val="single" w:sz="4" w:space="0" w:color="auto"/>
              <w:right w:val="single" w:sz="4" w:space="0" w:color="auto"/>
            </w:tcBorders>
            <w:shd w:val="clear" w:color="auto" w:fill="auto"/>
            <w:noWrap/>
          </w:tcPr>
          <w:p w:rsidR="00CF1112" w:rsidRPr="00164EC2" w:rsidRDefault="00CF1112" w:rsidP="006630E7">
            <w:pPr>
              <w:rPr>
                <w:color w:val="000000"/>
                <w:sz w:val="20"/>
              </w:rPr>
            </w:pP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p>
        </w:tc>
      </w:tr>
      <w:tr w:rsidR="00CF1112" w:rsidRPr="00164EC2" w:rsidTr="006630E7">
        <w:trPr>
          <w:trHeight w:val="1007"/>
          <w:jc w:val="center"/>
        </w:trPr>
        <w:tc>
          <w:tcPr>
            <w:tcW w:w="1394" w:type="dxa"/>
            <w:tcBorders>
              <w:top w:val="nil"/>
              <w:left w:val="single" w:sz="4" w:space="0" w:color="auto"/>
              <w:bottom w:val="single" w:sz="4" w:space="0" w:color="auto"/>
              <w:right w:val="single" w:sz="4" w:space="0" w:color="auto"/>
            </w:tcBorders>
          </w:tcPr>
          <w:p w:rsidR="00CF1112" w:rsidRPr="00164EC2" w:rsidRDefault="003D1903" w:rsidP="003D1903">
            <w:pPr>
              <w:rPr>
                <w:color w:val="000000"/>
                <w:sz w:val="20"/>
                <w:szCs w:val="20"/>
              </w:rPr>
            </w:pPr>
            <w:r>
              <w:rPr>
                <w:color w:val="000000"/>
                <w:sz w:val="20"/>
                <w:szCs w:val="20"/>
              </w:rPr>
              <w:t>Lack of well-defined standards</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BA7</w:t>
            </w:r>
          </w:p>
        </w:tc>
        <w:tc>
          <w:tcPr>
            <w:tcW w:w="6269" w:type="dxa"/>
            <w:tcBorders>
              <w:top w:val="nil"/>
              <w:left w:val="nil"/>
              <w:bottom w:val="single" w:sz="4" w:space="0" w:color="auto"/>
              <w:right w:val="single" w:sz="4" w:space="0" w:color="auto"/>
            </w:tcBorders>
            <w:shd w:val="clear" w:color="auto" w:fill="auto"/>
          </w:tcPr>
          <w:p w:rsidR="00CF1112" w:rsidRPr="00164EC2" w:rsidRDefault="00CF1112" w:rsidP="006630E7">
            <w:pPr>
              <w:jc w:val="both"/>
              <w:rPr>
                <w:color w:val="000000"/>
                <w:sz w:val="20"/>
                <w:szCs w:val="20"/>
              </w:rPr>
            </w:pPr>
            <w:r w:rsidRPr="00164EC2">
              <w:rPr>
                <w:color w:val="000000"/>
                <w:sz w:val="20"/>
                <w:szCs w:val="20"/>
              </w:rPr>
              <w:t>As CPS built integration of the physical facilities with the virtual world, it becomes imperative to validate the framework of CPS with well-known established standards so that the product manufacturing system comprehends the required specified constraints.</w:t>
            </w:r>
          </w:p>
        </w:tc>
        <w:tc>
          <w:tcPr>
            <w:tcW w:w="1480" w:type="dxa"/>
            <w:tcBorders>
              <w:top w:val="nil"/>
              <w:left w:val="nil"/>
              <w:bottom w:val="single" w:sz="4" w:space="0" w:color="auto"/>
              <w:right w:val="single" w:sz="4" w:space="0" w:color="auto"/>
            </w:tcBorders>
            <w:shd w:val="clear" w:color="auto" w:fill="auto"/>
            <w:noWrap/>
          </w:tcPr>
          <w:p w:rsidR="00CF1112" w:rsidRPr="00164EC2" w:rsidRDefault="00CF1112" w:rsidP="006630E7">
            <w:pPr>
              <w:rPr>
                <w:color w:val="000000"/>
                <w:sz w:val="20"/>
              </w:rPr>
            </w:pPr>
            <w:r w:rsidRPr="00164EC2">
              <w:rPr>
                <w:color w:val="000000"/>
                <w:sz w:val="20"/>
              </w:rPr>
              <w:fldChar w:fldCharType="begin" w:fldLock="1"/>
            </w:r>
            <w:r w:rsidRPr="00164EC2">
              <w:rPr>
                <w:color w:val="000000"/>
                <w:sz w:val="20"/>
              </w:rPr>
              <w:instrText>ADDIN CSL_CITATION {"citationItems":[{"id":"ITEM-1","itemData":{"DOI":"10.1016/j.ijinfomgt.2019.03.002","ISSN":"02684012","abstract":"The purpose of this paper is to understand the hidden connection between Circular Economy (CE) and Industry 4.0 in the context of supply chain. The factors responsible for linking CE and Industry 4.0 are studied from two angles viz. from the enablers’ side and barriers’ side. In the paper, twenty-six significant enabling and fifteen challenging factors are identified which are further factorized using Principal Component Analysis (PCA). DEMATEL approach is applied on the factors constructed from PCA. Here, the DEMATEL is applied for three different sets of data termed as Optimistic, Pessimistic and Most Likely. The paper identified Artificial Intelligence, Service and Policy Framework, and Circular Economy are significant enablers connecting CE and Industry 4.0. Similarly, paper reports Interface Designing and Automated Synergy Model as the most significant challenges to link CE and Industry 4.0 in a supply chain.","author":[{"dropping-particle":"","family":"Rajput","given":"Shubhangini","non-dropping-particle":"","parse-names":false,"suffix":""},{"dropping-particle":"","family":"Singh","given":"Surya Prakash","non-dropping-particle":"","parse-names":false,"suffix":""}],"container-title":"International Journal of Information Management","id":"ITEM-1","issue":"March","issued":{"date-parts":[["2019"]]},"page":"98-113","publisher":"Elsevier","title":"Connecting circular economy and industry 4.0","type":"article-journal","volume":"49"},"uris":["http://www.mendeley.com/documents/?uuid=72cb0444-0cbe-412e-92a0-127e94384100"]}],"mendeley":{"formattedCitation":"(Rajput &amp; Singh, 2019)","plainTextFormattedCitation":"(Rajput &amp; Singh, 2019)","previouslyFormattedCitation":"(Rajput &amp; Singh, 2019)"},"properties":{"noteIndex":0},"schema":"https://github.com/citation-style-language/schema/raw/master/csl-citation.json"}</w:instrText>
            </w:r>
            <w:r w:rsidRPr="00164EC2">
              <w:rPr>
                <w:color w:val="000000"/>
                <w:sz w:val="20"/>
              </w:rPr>
              <w:fldChar w:fldCharType="separate"/>
            </w:r>
            <w:r w:rsidRPr="00164EC2">
              <w:rPr>
                <w:noProof/>
                <w:color w:val="000000"/>
                <w:sz w:val="20"/>
              </w:rPr>
              <w:t>(Rajput &amp; Singh, 2019)</w:t>
            </w:r>
            <w:r w:rsidRPr="00164EC2">
              <w:rPr>
                <w:color w:val="000000"/>
                <w:sz w:val="20"/>
              </w:rPr>
              <w:fldChar w:fldCharType="end"/>
            </w:r>
          </w:p>
        </w:tc>
      </w:tr>
      <w:tr w:rsidR="00CF1112" w:rsidRPr="00164EC2" w:rsidTr="006630E7">
        <w:trPr>
          <w:trHeight w:val="1007"/>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Lack of sustainability pursuits</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BA8</w:t>
            </w:r>
          </w:p>
        </w:tc>
        <w:tc>
          <w:tcPr>
            <w:tcW w:w="6269" w:type="dxa"/>
            <w:tcBorders>
              <w:top w:val="nil"/>
              <w:left w:val="nil"/>
              <w:bottom w:val="single" w:sz="4" w:space="0" w:color="auto"/>
              <w:right w:val="single" w:sz="4" w:space="0" w:color="auto"/>
            </w:tcBorders>
            <w:shd w:val="clear" w:color="auto" w:fill="auto"/>
          </w:tcPr>
          <w:p w:rsidR="00CF1112" w:rsidRPr="00164EC2" w:rsidRDefault="00CF1112" w:rsidP="006630E7">
            <w:pPr>
              <w:jc w:val="both"/>
              <w:rPr>
                <w:color w:val="000000"/>
                <w:sz w:val="20"/>
                <w:szCs w:val="20"/>
              </w:rPr>
            </w:pPr>
            <w:r w:rsidRPr="00164EC2">
              <w:rPr>
                <w:color w:val="000000"/>
                <w:sz w:val="20"/>
                <w:szCs w:val="20"/>
              </w:rPr>
              <w:t>The use of sustainable business practices and methods leads to a reduction in the cost associated with material handling and transportation. Resistive culture and lack of go-forward march culture further inhibit organizations from adopting sustainable practices like I5.0, circular economy, Green Lean Six Sigma, etc.</w:t>
            </w:r>
          </w:p>
        </w:tc>
        <w:tc>
          <w:tcPr>
            <w:tcW w:w="1480" w:type="dxa"/>
            <w:tcBorders>
              <w:top w:val="nil"/>
              <w:left w:val="nil"/>
              <w:bottom w:val="single" w:sz="4" w:space="0" w:color="auto"/>
              <w:right w:val="single" w:sz="4" w:space="0" w:color="auto"/>
            </w:tcBorders>
            <w:shd w:val="clear" w:color="auto" w:fill="auto"/>
            <w:noWrap/>
          </w:tcPr>
          <w:p w:rsidR="00CF1112" w:rsidRPr="00164EC2" w:rsidRDefault="00CF1112" w:rsidP="006630E7">
            <w:pPr>
              <w:rPr>
                <w:color w:val="000000"/>
                <w:sz w:val="20"/>
              </w:rPr>
            </w:pP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p>
        </w:tc>
      </w:tr>
      <w:tr w:rsidR="00CF1112" w:rsidRPr="00164EC2" w:rsidTr="006630E7">
        <w:trPr>
          <w:trHeight w:val="1007"/>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r w:rsidRPr="00164EC2">
              <w:rPr>
                <w:color w:val="000000"/>
                <w:sz w:val="20"/>
                <w:szCs w:val="20"/>
              </w:rPr>
              <w:t xml:space="preserve">Prone to accidents due to increased use of technologies </w:t>
            </w:r>
          </w:p>
        </w:tc>
        <w:tc>
          <w:tcPr>
            <w:tcW w:w="1512" w:type="dxa"/>
            <w:tcBorders>
              <w:top w:val="nil"/>
              <w:left w:val="single" w:sz="4" w:space="0" w:color="auto"/>
              <w:bottom w:val="single" w:sz="4" w:space="0" w:color="auto"/>
              <w:right w:val="single" w:sz="4" w:space="0" w:color="auto"/>
            </w:tcBorders>
            <w:shd w:val="clear" w:color="auto" w:fill="auto"/>
            <w:noWrap/>
          </w:tcPr>
          <w:p w:rsidR="00CF1112" w:rsidRPr="00164EC2" w:rsidRDefault="00CF1112" w:rsidP="006630E7">
            <w:pPr>
              <w:rPr>
                <w:color w:val="000000"/>
                <w:sz w:val="20"/>
                <w:szCs w:val="20"/>
              </w:rPr>
            </w:pPr>
            <w:r w:rsidRPr="00164EC2">
              <w:rPr>
                <w:color w:val="000000"/>
                <w:sz w:val="20"/>
                <w:szCs w:val="20"/>
              </w:rPr>
              <w:t>BA9</w:t>
            </w:r>
          </w:p>
        </w:tc>
        <w:tc>
          <w:tcPr>
            <w:tcW w:w="6269" w:type="dxa"/>
            <w:tcBorders>
              <w:top w:val="nil"/>
              <w:left w:val="nil"/>
              <w:bottom w:val="single" w:sz="4" w:space="0" w:color="auto"/>
              <w:right w:val="single" w:sz="4" w:space="0" w:color="auto"/>
            </w:tcBorders>
            <w:shd w:val="clear" w:color="auto" w:fill="auto"/>
          </w:tcPr>
          <w:p w:rsidR="00CF1112" w:rsidRPr="00164EC2" w:rsidRDefault="00CF1112" w:rsidP="006630E7">
            <w:pPr>
              <w:jc w:val="both"/>
              <w:rPr>
                <w:color w:val="000000"/>
                <w:sz w:val="20"/>
                <w:szCs w:val="20"/>
              </w:rPr>
            </w:pPr>
            <w:r w:rsidRPr="00164EC2">
              <w:rPr>
                <w:color w:val="000000"/>
                <w:sz w:val="20"/>
                <w:szCs w:val="20"/>
              </w:rPr>
              <w:t>Due to dissension and improper feedback, there are chances of more accidents due to the high level of automation. The use of smart robots that can comprehend human intentions and emotions is the next level of revolution that is demanded to make the workplace accident-free.</w:t>
            </w:r>
          </w:p>
        </w:tc>
        <w:tc>
          <w:tcPr>
            <w:tcW w:w="1480" w:type="dxa"/>
            <w:tcBorders>
              <w:top w:val="nil"/>
              <w:left w:val="nil"/>
              <w:bottom w:val="single" w:sz="4" w:space="0" w:color="auto"/>
              <w:right w:val="single" w:sz="4" w:space="0" w:color="auto"/>
            </w:tcBorders>
            <w:shd w:val="clear" w:color="auto" w:fill="auto"/>
            <w:noWrap/>
          </w:tcPr>
          <w:p w:rsidR="00CF1112" w:rsidRPr="00164EC2" w:rsidRDefault="00CF1112" w:rsidP="006630E7">
            <w:pPr>
              <w:rPr>
                <w:color w:val="000000"/>
                <w:sz w:val="20"/>
              </w:rPr>
            </w:pP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p>
        </w:tc>
      </w:tr>
      <w:tr w:rsidR="00CF1112" w:rsidRPr="00164EC2" w:rsidTr="006630E7">
        <w:trPr>
          <w:trHeight w:val="800"/>
          <w:jc w:val="center"/>
        </w:trPr>
        <w:tc>
          <w:tcPr>
            <w:tcW w:w="1394" w:type="dxa"/>
            <w:tcBorders>
              <w:top w:val="nil"/>
              <w:left w:val="single" w:sz="4" w:space="0" w:color="auto"/>
              <w:bottom w:val="nil"/>
              <w:right w:val="single" w:sz="4" w:space="0" w:color="auto"/>
            </w:tcBorders>
          </w:tcPr>
          <w:p w:rsidR="00CF1112" w:rsidRPr="00164EC2" w:rsidRDefault="00CF1112" w:rsidP="006630E7">
            <w:pPr>
              <w:rPr>
                <w:color w:val="000000"/>
                <w:sz w:val="20"/>
                <w:szCs w:val="20"/>
              </w:rPr>
            </w:pPr>
            <w:r w:rsidRPr="00164EC2">
              <w:rPr>
                <w:color w:val="000000"/>
                <w:sz w:val="20"/>
                <w:szCs w:val="20"/>
              </w:rPr>
              <w:t xml:space="preserve">Financial constraints </w:t>
            </w:r>
          </w:p>
        </w:tc>
        <w:tc>
          <w:tcPr>
            <w:tcW w:w="1512" w:type="dxa"/>
            <w:tcBorders>
              <w:top w:val="nil"/>
              <w:left w:val="single" w:sz="4" w:space="0" w:color="auto"/>
              <w:bottom w:val="nil"/>
              <w:right w:val="single" w:sz="4" w:space="0" w:color="auto"/>
            </w:tcBorders>
            <w:shd w:val="clear" w:color="auto" w:fill="auto"/>
          </w:tcPr>
          <w:p w:rsidR="00CF1112" w:rsidRPr="00164EC2" w:rsidRDefault="00CF1112" w:rsidP="006630E7">
            <w:pPr>
              <w:rPr>
                <w:color w:val="000000"/>
                <w:sz w:val="20"/>
                <w:szCs w:val="20"/>
              </w:rPr>
            </w:pPr>
            <w:r w:rsidRPr="00164EC2">
              <w:rPr>
                <w:color w:val="000000"/>
                <w:sz w:val="20"/>
                <w:szCs w:val="20"/>
              </w:rPr>
              <w:t>BA10</w:t>
            </w:r>
          </w:p>
        </w:tc>
        <w:tc>
          <w:tcPr>
            <w:tcW w:w="6269" w:type="dxa"/>
            <w:tcBorders>
              <w:top w:val="nil"/>
              <w:left w:val="nil"/>
              <w:bottom w:val="nil"/>
              <w:right w:val="single" w:sz="4" w:space="0" w:color="auto"/>
            </w:tcBorders>
            <w:shd w:val="clear" w:color="auto" w:fill="auto"/>
          </w:tcPr>
          <w:p w:rsidR="00CF1112" w:rsidRPr="00164EC2" w:rsidRDefault="00CF1112" w:rsidP="006630E7">
            <w:pPr>
              <w:jc w:val="both"/>
              <w:rPr>
                <w:color w:val="000000"/>
                <w:sz w:val="20"/>
                <w:szCs w:val="20"/>
              </w:rPr>
            </w:pPr>
            <w:r w:rsidRPr="00164EC2">
              <w:rPr>
                <w:color w:val="000000"/>
                <w:sz w:val="20"/>
                <w:szCs w:val="20"/>
              </w:rPr>
              <w:t>The adoption of I5.0 technologies demands considerable investment in the procurement of new technologies related to ICTs, the establishment of required infrastructure, and the research and development of collaborative robots that can interact and comprehend human interactions. The lack of funds from industrial organizations especially in developing nations like India further constrains the adoption of I5.0 incorporation methods.</w:t>
            </w:r>
          </w:p>
        </w:tc>
        <w:tc>
          <w:tcPr>
            <w:tcW w:w="1480" w:type="dxa"/>
            <w:tcBorders>
              <w:top w:val="nil"/>
              <w:left w:val="nil"/>
              <w:bottom w:val="nil"/>
              <w:right w:val="single" w:sz="4" w:space="0" w:color="auto"/>
            </w:tcBorders>
            <w:shd w:val="clear" w:color="auto" w:fill="auto"/>
            <w:noWrap/>
            <w:hideMark/>
          </w:tcPr>
          <w:p w:rsidR="00CF1112" w:rsidRPr="00164EC2" w:rsidRDefault="00CF1112" w:rsidP="006630E7">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{"citationItems":[{"id":"ITEM-1","itemData":{"DOI":"10.1016/j.techfore.2019.05.021","ISSN":"00401625","abstract":"The Fourth Industrial Revolution poses significant challenges to manufacturing companies from the technological, organizational and management points of view. This paper aims to explore how top executives interpret the concept of Industry 4.0, the driving forces for introducing new technologies and the main barriers to Industry 4.0. The authors applied a qualitative case study design involving 26 semi-structured interviews with leading members of firms, including chief digital officers and chief executive officers. Company websites and annual reports were also examined to increase the reliability and validity of the results. The authors found that management desire to increase control and enable real-time performance measurement is a significant driving force behind Industry 4.0, alongside production factors. Organizational resistance at both employee and middle management levels can significantly hinder the introduction of Industry 4.0 technologies, though these technologies can also transform management functions. Multinational enterprises have higher driving forces and lower barriers to industry 4.0 than small and medium-sized companies, but these smaller companies have good opportunities, too.","author":[{"dropping-particle":"","family":"Horváth","given":"Dóra","non-dropping-particle":"","parse-names":false,"suffix":""},{"dropping-particle":"","family":"Szabó","given":"Roland Zs","non-dropping-particle":"","parse-names":false,"suffix":""}],"container-title":"Technological Forecasting and Social Change","id":"ITEM-1","issue":"March","issued":{"date-parts":[["2019"]]},"page":"119-132","publisher":"Elsevier","title":"Driving forces and barriers of Industry 4.0: Do multinational and small and medium-sized companies have equal opportunities?","type":"article-journal","volume":"146"},"uris":["http://www.mendeley.com/documents/?uuid=f4a8400c-7f69-419d-8256-203214653c81"]}],"mendeley":{"formattedCitation":"(Horváth &amp; Szabó, 2019)","plainTextFormattedCitation":"(Horváth &amp; Szabó, 2019)","previouslyFormattedCitation":"(Horváth &amp; Szabó, 2019)"},"properties":{"noteIndex":0},"schema":"https://github.com/citation-style-language/schema/raw/master/csl-citation.json"}</w:instrText>
            </w:r>
            <w:r w:rsidRPr="00164EC2">
              <w:rPr>
                <w:color w:val="000000"/>
                <w:sz w:val="20"/>
              </w:rPr>
              <w:fldChar w:fldCharType="separate"/>
            </w:r>
            <w:r w:rsidRPr="00164EC2">
              <w:rPr>
                <w:noProof/>
                <w:color w:val="000000"/>
                <w:sz w:val="20"/>
              </w:rPr>
              <w:t>(Horváth &amp; Szabó, 2019)</w:t>
            </w:r>
            <w:r w:rsidRPr="00164EC2">
              <w:rPr>
                <w:color w:val="000000"/>
                <w:sz w:val="20"/>
              </w:rPr>
              <w:fldChar w:fldCharType="end"/>
            </w:r>
          </w:p>
        </w:tc>
      </w:tr>
      <w:tr w:rsidR="00CF1112" w:rsidRPr="00164EC2" w:rsidTr="006630E7">
        <w:trPr>
          <w:trHeight w:val="117"/>
          <w:jc w:val="center"/>
        </w:trPr>
        <w:tc>
          <w:tcPr>
            <w:tcW w:w="1394" w:type="dxa"/>
            <w:tcBorders>
              <w:top w:val="nil"/>
              <w:left w:val="single" w:sz="4" w:space="0" w:color="auto"/>
              <w:bottom w:val="single" w:sz="4" w:space="0" w:color="auto"/>
              <w:right w:val="single" w:sz="4" w:space="0" w:color="auto"/>
            </w:tcBorders>
          </w:tcPr>
          <w:p w:rsidR="00CF1112" w:rsidRPr="00164EC2" w:rsidRDefault="00CF1112" w:rsidP="006630E7">
            <w:pPr>
              <w:rPr>
                <w:color w:val="000000"/>
                <w:sz w:val="20"/>
                <w:szCs w:val="20"/>
              </w:rPr>
            </w:pPr>
          </w:p>
        </w:tc>
        <w:tc>
          <w:tcPr>
            <w:tcW w:w="1512" w:type="dxa"/>
            <w:tcBorders>
              <w:top w:val="nil"/>
              <w:left w:val="single" w:sz="4" w:space="0" w:color="auto"/>
              <w:bottom w:val="single" w:sz="4" w:space="0" w:color="auto"/>
              <w:right w:val="single" w:sz="4" w:space="0" w:color="auto"/>
            </w:tcBorders>
            <w:shd w:val="clear" w:color="auto" w:fill="auto"/>
          </w:tcPr>
          <w:p w:rsidR="00CF1112" w:rsidRPr="00164EC2" w:rsidRDefault="00CF1112" w:rsidP="006630E7">
            <w:pPr>
              <w:rPr>
                <w:color w:val="000000"/>
                <w:sz w:val="20"/>
                <w:szCs w:val="20"/>
              </w:rPr>
            </w:pPr>
          </w:p>
        </w:tc>
        <w:tc>
          <w:tcPr>
            <w:tcW w:w="6269" w:type="dxa"/>
            <w:tcBorders>
              <w:top w:val="nil"/>
              <w:left w:val="nil"/>
              <w:bottom w:val="single" w:sz="4" w:space="0" w:color="auto"/>
              <w:right w:val="single" w:sz="4" w:space="0" w:color="auto"/>
            </w:tcBorders>
            <w:shd w:val="clear" w:color="auto" w:fill="auto"/>
          </w:tcPr>
          <w:p w:rsidR="00CF1112" w:rsidRPr="00164EC2" w:rsidRDefault="00CF1112" w:rsidP="006630E7">
            <w:pPr>
              <w:rPr>
                <w:color w:val="000000"/>
                <w:sz w:val="20"/>
                <w:szCs w:val="20"/>
              </w:rPr>
            </w:pPr>
          </w:p>
        </w:tc>
        <w:tc>
          <w:tcPr>
            <w:tcW w:w="1480" w:type="dxa"/>
            <w:tcBorders>
              <w:top w:val="nil"/>
              <w:left w:val="nil"/>
              <w:bottom w:val="single" w:sz="4" w:space="0" w:color="auto"/>
              <w:right w:val="single" w:sz="4" w:space="0" w:color="auto"/>
            </w:tcBorders>
            <w:shd w:val="clear" w:color="auto" w:fill="auto"/>
            <w:noWrap/>
          </w:tcPr>
          <w:p w:rsidR="00CF1112" w:rsidRPr="00164EC2" w:rsidRDefault="00CF1112" w:rsidP="006630E7">
            <w:pPr>
              <w:rPr>
                <w:color w:val="000000"/>
              </w:rPr>
            </w:pPr>
          </w:p>
        </w:tc>
      </w:tr>
    </w:tbl>
    <w:p w:rsidR="00CF1112" w:rsidRPr="00164EC2" w:rsidRDefault="00CF1112" w:rsidP="00CF1112">
      <w:pPr>
        <w:spacing w:line="360" w:lineRule="auto"/>
        <w:jc w:val="both"/>
      </w:pPr>
    </w:p>
    <w:p w:rsidR="00CF1112" w:rsidRPr="00164EC2" w:rsidRDefault="00CF1112" w:rsidP="002B0565">
      <w:pPr>
        <w:spacing w:line="360" w:lineRule="auto"/>
        <w:jc w:val="both"/>
      </w:pPr>
    </w:p>
    <w:p w:rsidR="002B0565" w:rsidRPr="00164EC2" w:rsidRDefault="002B0565" w:rsidP="00D9627C">
      <w:pPr>
        <w:jc w:val="center"/>
        <w:rPr>
          <w:b/>
          <w:u w:val="single"/>
        </w:rPr>
      </w:pPr>
    </w:p>
    <w:p w:rsidR="002B0565" w:rsidRPr="00164EC2" w:rsidRDefault="002B0565" w:rsidP="00D9627C">
      <w:pPr>
        <w:jc w:val="center"/>
        <w:rPr>
          <w:rFonts w:eastAsiaTheme="minorHAnsi"/>
          <w:b/>
          <w:u w:val="single"/>
        </w:rPr>
      </w:pPr>
    </w:p>
    <w:p w:rsidR="000A29AD" w:rsidRPr="00164EC2" w:rsidRDefault="000A29AD" w:rsidP="00D9627C">
      <w:pPr>
        <w:autoSpaceDE w:val="0"/>
        <w:autoSpaceDN w:val="0"/>
        <w:adjustRightInd w:val="0"/>
        <w:ind w:right="144"/>
        <w:rPr>
          <w:b/>
        </w:rPr>
      </w:pPr>
    </w:p>
    <w:p w:rsidR="00BC31F6" w:rsidRPr="00164EC2" w:rsidRDefault="00A50AE0" w:rsidP="00FA1509">
      <w:pPr>
        <w:widowControl w:val="0"/>
        <w:autoSpaceDE w:val="0"/>
        <w:autoSpaceDN w:val="0"/>
        <w:adjustRightInd w:val="0"/>
        <w:spacing w:line="360" w:lineRule="auto"/>
        <w:jc w:val="both"/>
      </w:pPr>
      <w:r w:rsidRPr="00164EC2">
        <w:rPr>
          <w:color w:val="000000" w:themeColor="text1"/>
        </w:rPr>
        <w:t>The criteria</w:t>
      </w:r>
      <w:r w:rsidR="00F7584B" w:rsidRPr="00164EC2">
        <w:rPr>
          <w:color w:val="000000" w:themeColor="text1"/>
        </w:rPr>
        <w:t xml:space="preserve"> </w:t>
      </w:r>
      <w:r w:rsidR="007B72D9" w:rsidRPr="00164EC2">
        <w:rPr>
          <w:color w:val="000000" w:themeColor="text1"/>
        </w:rPr>
        <w:t xml:space="preserve">considered for the study are Productivity (PI), environmental aspects (EA), social aspects (SA), human-centered (HC), and facility-related (FR). </w:t>
      </w:r>
      <w:r w:rsidR="00F7584B" w:rsidRPr="00164EC2">
        <w:rPr>
          <w:color w:val="000000" w:themeColor="text1"/>
        </w:rPr>
        <w:t xml:space="preserve"> </w:t>
      </w:r>
      <w:r w:rsidR="00BC31F6" w:rsidRPr="00164EC2">
        <w:t>The responses provided by the manufacturing personnel</w:t>
      </w:r>
      <w:r w:rsidR="0089496E" w:rsidRPr="00164EC2">
        <w:t xml:space="preserve"> </w:t>
      </w:r>
      <w:r w:rsidR="00BC31F6" w:rsidRPr="00164EC2">
        <w:t xml:space="preserve">will facilitate </w:t>
      </w:r>
      <w:r w:rsidR="00F7584B" w:rsidRPr="00164EC2">
        <w:t xml:space="preserve">the appropriate weighting of criterion that </w:t>
      </w:r>
      <w:r w:rsidR="00596CD7" w:rsidRPr="00164EC2">
        <w:t xml:space="preserve">helps in the </w:t>
      </w:r>
      <w:r w:rsidR="007B72D9" w:rsidRPr="00164EC2">
        <w:t>ranking of I5.0 barriers</w:t>
      </w:r>
      <w:r w:rsidR="00596CD7" w:rsidRPr="00164EC2">
        <w:t>.</w:t>
      </w:r>
      <w:r w:rsidR="00FA1509" w:rsidRPr="00164EC2">
        <w:t xml:space="preserve"> This is to solicit your participation in a survey of for weighting of the criterion</w:t>
      </w:r>
      <w:r w:rsidR="00425C26" w:rsidRPr="00164EC2">
        <w:t xml:space="preserve"> and ranking of barriers</w:t>
      </w:r>
      <w:r w:rsidR="00FA1509" w:rsidRPr="00164EC2">
        <w:t xml:space="preserve"> as a part of </w:t>
      </w:r>
      <w:r w:rsidR="007B72D9" w:rsidRPr="00164EC2">
        <w:t>our research work</w:t>
      </w:r>
      <w:r w:rsidR="00FA1509" w:rsidRPr="00164EC2">
        <w:t xml:space="preserve"> under the aegis of Lovely Professional University. It is assured that the information will be kept confidential and shall be used for academic purpose only. </w:t>
      </w:r>
      <w:r w:rsidR="00BC31F6" w:rsidRPr="00164EC2">
        <w:t xml:space="preserve">Please provide your useful </w:t>
      </w:r>
      <w:r w:rsidR="00451F94" w:rsidRPr="00164EC2">
        <w:t xml:space="preserve">insight in table </w:t>
      </w:r>
      <w:r w:rsidR="00CF1112" w:rsidRPr="00164EC2">
        <w:t>2</w:t>
      </w:r>
      <w:r w:rsidR="00451F94" w:rsidRPr="00164EC2">
        <w:t xml:space="preserve"> to weight the criterion pertains</w:t>
      </w:r>
      <w:r w:rsidR="00FA1509" w:rsidRPr="00164EC2">
        <w:t xml:space="preserve"> to </w:t>
      </w:r>
      <w:r w:rsidR="007B72D9" w:rsidRPr="00164EC2">
        <w:t>I5.0 barriers</w:t>
      </w:r>
      <w:r w:rsidR="00FA1509" w:rsidRPr="00164EC2">
        <w:t xml:space="preserve"> selection in </w:t>
      </w:r>
      <w:r w:rsidR="00CF1112" w:rsidRPr="00164EC2">
        <w:t>the Indian</w:t>
      </w:r>
      <w:r w:rsidR="007B72D9" w:rsidRPr="00164EC2">
        <w:t xml:space="preserve"> </w:t>
      </w:r>
      <w:r w:rsidR="00FA1509" w:rsidRPr="00164EC2">
        <w:t>manufacturing sector.</w:t>
      </w:r>
    </w:p>
    <w:p w:rsidR="00872F47" w:rsidRPr="00164EC2" w:rsidRDefault="00872F47" w:rsidP="00FA1509">
      <w:pPr>
        <w:widowControl w:val="0"/>
        <w:autoSpaceDE w:val="0"/>
        <w:autoSpaceDN w:val="0"/>
        <w:adjustRightInd w:val="0"/>
        <w:spacing w:line="360" w:lineRule="auto"/>
        <w:jc w:val="both"/>
      </w:pPr>
    </w:p>
    <w:p w:rsidR="00584FF3" w:rsidRPr="00164EC2" w:rsidRDefault="00584FF3" w:rsidP="00451F94">
      <w:pPr>
        <w:widowControl w:val="0"/>
        <w:autoSpaceDE w:val="0"/>
        <w:autoSpaceDN w:val="0"/>
        <w:adjustRightInd w:val="0"/>
        <w:spacing w:line="360" w:lineRule="auto"/>
        <w:jc w:val="center"/>
        <w:rPr>
          <w:b/>
        </w:rPr>
      </w:pPr>
    </w:p>
    <w:p w:rsidR="00872F47" w:rsidRPr="00164EC2" w:rsidRDefault="00872F47" w:rsidP="00FA1509">
      <w:pPr>
        <w:widowControl w:val="0"/>
        <w:autoSpaceDE w:val="0"/>
        <w:autoSpaceDN w:val="0"/>
        <w:adjustRightInd w:val="0"/>
        <w:spacing w:line="360" w:lineRule="auto"/>
        <w:jc w:val="both"/>
      </w:pPr>
    </w:p>
    <w:p w:rsidR="00D9627C" w:rsidRPr="00164EC2" w:rsidRDefault="00D9627C" w:rsidP="00FA1509">
      <w:pPr>
        <w:autoSpaceDE w:val="0"/>
        <w:autoSpaceDN w:val="0"/>
        <w:adjustRightInd w:val="0"/>
        <w:spacing w:line="360" w:lineRule="auto"/>
        <w:jc w:val="both"/>
      </w:pPr>
      <w:r w:rsidRPr="00164EC2">
        <w:t xml:space="preserve">Please </w:t>
      </w:r>
      <w:r w:rsidR="00EC5F40" w:rsidRPr="00164EC2">
        <w:t>write the numeric value</w:t>
      </w:r>
      <w:r w:rsidRPr="00164EC2">
        <w:t xml:space="preserve"> at appropr</w:t>
      </w:r>
      <w:r w:rsidR="003D6DF6" w:rsidRPr="00164EC2">
        <w:t xml:space="preserve">iate place against each </w:t>
      </w:r>
      <w:r w:rsidR="00A50AE0" w:rsidRPr="00164EC2">
        <w:t>criterion</w:t>
      </w:r>
      <w:r w:rsidRPr="00164EC2">
        <w:t xml:space="preserve"> according to the </w:t>
      </w:r>
      <w:r w:rsidR="00EC5F40" w:rsidRPr="00164EC2">
        <w:t xml:space="preserve">nomenclature </w:t>
      </w:r>
      <w:r w:rsidRPr="00164EC2">
        <w:t xml:space="preserve">provided corresponding to each </w:t>
      </w:r>
      <w:r w:rsidR="00FA1509" w:rsidRPr="00164EC2">
        <w:t>criteria</w:t>
      </w:r>
      <w:r w:rsidRPr="00164EC2">
        <w:t>.</w:t>
      </w:r>
    </w:p>
    <w:p w:rsidR="003D6DF6" w:rsidRPr="00164EC2" w:rsidRDefault="003D6DF6" w:rsidP="00D9627C">
      <w:pPr>
        <w:autoSpaceDE w:val="0"/>
        <w:autoSpaceDN w:val="0"/>
        <w:adjustRightInd w:val="0"/>
        <w:jc w:val="both"/>
      </w:pPr>
    </w:p>
    <w:p w:rsidR="00BC31F6" w:rsidRPr="00164EC2" w:rsidRDefault="00EC5F40" w:rsidP="00D9627C">
      <w:pPr>
        <w:autoSpaceDE w:val="0"/>
        <w:autoSpaceDN w:val="0"/>
        <w:adjustRightInd w:val="0"/>
        <w:jc w:val="both"/>
      </w:pPr>
      <w:r w:rsidRPr="00164EC2">
        <w:t>1</w:t>
      </w:r>
      <w:r w:rsidR="00FA1509" w:rsidRPr="00164EC2">
        <w:t xml:space="preserve"> Very low</w:t>
      </w:r>
    </w:p>
    <w:p w:rsidR="00FA1509" w:rsidRPr="00164EC2" w:rsidRDefault="00EC5F40" w:rsidP="00D9627C">
      <w:pPr>
        <w:autoSpaceDE w:val="0"/>
        <w:autoSpaceDN w:val="0"/>
        <w:adjustRightInd w:val="0"/>
        <w:jc w:val="both"/>
      </w:pPr>
      <w:r w:rsidRPr="00164EC2">
        <w:t>2</w:t>
      </w:r>
      <w:r w:rsidR="00FA1509" w:rsidRPr="00164EC2">
        <w:t xml:space="preserve"> Low</w:t>
      </w:r>
    </w:p>
    <w:p w:rsidR="00FA1509" w:rsidRPr="00164EC2" w:rsidRDefault="00EC5F40" w:rsidP="00D9627C">
      <w:pPr>
        <w:autoSpaceDE w:val="0"/>
        <w:autoSpaceDN w:val="0"/>
        <w:adjustRightInd w:val="0"/>
        <w:jc w:val="both"/>
      </w:pPr>
      <w:r w:rsidRPr="00164EC2">
        <w:t>3</w:t>
      </w:r>
      <w:r w:rsidR="00FA1509" w:rsidRPr="00164EC2">
        <w:t xml:space="preserve"> Neutral</w:t>
      </w:r>
    </w:p>
    <w:p w:rsidR="00FA1509" w:rsidRPr="00164EC2" w:rsidRDefault="00EC5F40" w:rsidP="00D9627C">
      <w:pPr>
        <w:autoSpaceDE w:val="0"/>
        <w:autoSpaceDN w:val="0"/>
        <w:adjustRightInd w:val="0"/>
        <w:jc w:val="both"/>
      </w:pPr>
      <w:r w:rsidRPr="00164EC2">
        <w:t>4</w:t>
      </w:r>
      <w:r w:rsidR="00FA1509" w:rsidRPr="00164EC2">
        <w:t xml:space="preserve"> High</w:t>
      </w:r>
    </w:p>
    <w:p w:rsidR="00FA1509" w:rsidRPr="00164EC2" w:rsidRDefault="00FA1509" w:rsidP="00D9627C">
      <w:pPr>
        <w:autoSpaceDE w:val="0"/>
        <w:autoSpaceDN w:val="0"/>
        <w:adjustRightInd w:val="0"/>
        <w:jc w:val="both"/>
      </w:pPr>
      <w:r w:rsidRPr="00164EC2">
        <w:t>5 Very high</w:t>
      </w:r>
    </w:p>
    <w:p w:rsidR="007D04E1" w:rsidRPr="00164EC2" w:rsidRDefault="007D04E1" w:rsidP="00D9627C">
      <w:pPr>
        <w:autoSpaceDE w:val="0"/>
        <w:autoSpaceDN w:val="0"/>
        <w:adjustRightInd w:val="0"/>
        <w:jc w:val="both"/>
        <w:rPr>
          <w:b/>
        </w:rPr>
      </w:pPr>
    </w:p>
    <w:p w:rsidR="0011243D" w:rsidRPr="00164EC2" w:rsidRDefault="003D6DF6" w:rsidP="003D6DF6">
      <w:pPr>
        <w:ind w:right="-331"/>
        <w:jc w:val="both"/>
        <w:rPr>
          <w:b/>
          <w:szCs w:val="22"/>
        </w:rPr>
      </w:pPr>
      <w:r w:rsidRPr="00164EC2">
        <w:rPr>
          <w:b/>
          <w:szCs w:val="22"/>
        </w:rPr>
        <w:t xml:space="preserve">         </w:t>
      </w:r>
    </w:p>
    <w:p w:rsidR="00451F94" w:rsidRPr="00164EC2" w:rsidRDefault="00451F94" w:rsidP="003D6DF6">
      <w:pPr>
        <w:ind w:right="-331"/>
        <w:jc w:val="both"/>
      </w:pPr>
    </w:p>
    <w:p w:rsidR="00451F94" w:rsidRPr="00164EC2" w:rsidRDefault="00451F94" w:rsidP="00451F94">
      <w:pPr>
        <w:ind w:right="-331"/>
        <w:jc w:val="center"/>
        <w:rPr>
          <w:b/>
        </w:rPr>
      </w:pPr>
      <w:r w:rsidRPr="00164EC2">
        <w:rPr>
          <w:b/>
        </w:rPr>
        <w:t xml:space="preserve">Table 2:  Response sheet </w:t>
      </w:r>
      <w:r w:rsidR="00CF1112" w:rsidRPr="00164EC2">
        <w:rPr>
          <w:b/>
        </w:rPr>
        <w:t>to weight criteria for Industry 5.0 barriers</w:t>
      </w:r>
    </w:p>
    <w:p w:rsidR="00CF1112" w:rsidRPr="00164EC2" w:rsidRDefault="00CF1112" w:rsidP="00451F94">
      <w:pPr>
        <w:ind w:right="-331"/>
        <w:jc w:val="center"/>
        <w:rPr>
          <w:b/>
        </w:rPr>
      </w:pPr>
    </w:p>
    <w:p w:rsidR="00CF1112" w:rsidRPr="00164EC2" w:rsidRDefault="00CF1112" w:rsidP="00451F94">
      <w:pPr>
        <w:ind w:right="-331"/>
        <w:jc w:val="center"/>
        <w:rPr>
          <w:b/>
        </w:rPr>
      </w:pPr>
    </w:p>
    <w:tbl>
      <w:tblPr>
        <w:tblW w:w="5000" w:type="pct"/>
        <w:tblLook w:val="04A0" w:firstRow="1" w:lastRow="0" w:firstColumn="1" w:lastColumn="0" w:noHBand="0" w:noVBand="1"/>
      </w:tblPr>
      <w:tblGrid>
        <w:gridCol w:w="2036"/>
        <w:gridCol w:w="1463"/>
        <w:gridCol w:w="1463"/>
        <w:gridCol w:w="1463"/>
        <w:gridCol w:w="1463"/>
        <w:gridCol w:w="1462"/>
      </w:tblGrid>
      <w:tr w:rsidR="00CF1112" w:rsidRPr="00164EC2" w:rsidTr="006630E7">
        <w:trPr>
          <w:trHeight w:val="300"/>
        </w:trPr>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Barriers/criteria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PI</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SA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EA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FR</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HC</w:t>
            </w: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BA1</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BA2</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BA3</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BA4</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BA5</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BA6</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r w:rsidRPr="00164EC2">
              <w:rPr>
                <w:color w:val="000000"/>
                <w:sz w:val="20"/>
                <w:szCs w:val="20"/>
              </w:rPr>
              <w:t>-</w:t>
            </w: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BA7</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BA8</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BA9</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r w:rsidR="00CF1112"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CF1112" w:rsidRPr="00164EC2" w:rsidRDefault="00CF1112" w:rsidP="006630E7">
            <w:pPr>
              <w:rPr>
                <w:color w:val="000000"/>
                <w:sz w:val="20"/>
                <w:szCs w:val="20"/>
              </w:rPr>
            </w:pPr>
            <w:r w:rsidRPr="00164EC2">
              <w:rPr>
                <w:color w:val="000000"/>
                <w:sz w:val="20"/>
                <w:szCs w:val="20"/>
              </w:rPr>
              <w:t>BA10</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CF1112">
            <w:pPr>
              <w:jc w:val="right"/>
              <w:rPr>
                <w:color w:val="000000"/>
                <w:sz w:val="20"/>
                <w:szCs w:val="20"/>
              </w:rPr>
            </w:pPr>
            <w:r w:rsidRPr="00164EC2">
              <w:rPr>
                <w:color w:val="000000"/>
                <w:sz w:val="20"/>
                <w:szCs w:val="20"/>
              </w:rPr>
              <w:t>-</w:t>
            </w:r>
          </w:p>
        </w:tc>
        <w:tc>
          <w:tcPr>
            <w:tcW w:w="782" w:type="pct"/>
            <w:tcBorders>
              <w:top w:val="nil"/>
              <w:left w:val="nil"/>
              <w:bottom w:val="single" w:sz="4" w:space="0" w:color="auto"/>
              <w:right w:val="single" w:sz="4" w:space="0" w:color="auto"/>
            </w:tcBorders>
            <w:shd w:val="clear" w:color="auto" w:fill="auto"/>
            <w:noWrap/>
            <w:vAlign w:val="bottom"/>
            <w:hideMark/>
          </w:tcPr>
          <w:p w:rsidR="00CF1112" w:rsidRPr="00164EC2" w:rsidRDefault="00CF1112" w:rsidP="006630E7">
            <w:pPr>
              <w:jc w:val="right"/>
              <w:rPr>
                <w:color w:val="000000"/>
                <w:sz w:val="20"/>
                <w:szCs w:val="20"/>
              </w:rPr>
            </w:pPr>
          </w:p>
        </w:tc>
      </w:tr>
    </w:tbl>
    <w:p w:rsidR="00CF1112" w:rsidRPr="00164EC2" w:rsidRDefault="00CF1112" w:rsidP="00451F94">
      <w:pPr>
        <w:ind w:right="-331"/>
        <w:jc w:val="center"/>
        <w:rPr>
          <w:b/>
        </w:rPr>
      </w:pPr>
    </w:p>
    <w:p w:rsidR="00451F94" w:rsidRPr="00164EC2" w:rsidRDefault="00451F94" w:rsidP="003D6DF6">
      <w:pPr>
        <w:ind w:right="-331"/>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p>
    <w:p w:rsidR="00425C26" w:rsidRPr="00164EC2" w:rsidRDefault="00425C26" w:rsidP="00425C26">
      <w:pPr>
        <w:autoSpaceDE w:val="0"/>
        <w:autoSpaceDN w:val="0"/>
        <w:adjustRightInd w:val="0"/>
        <w:spacing w:line="360" w:lineRule="auto"/>
        <w:jc w:val="both"/>
      </w:pPr>
      <w:r w:rsidRPr="00164EC2">
        <w:lastRenderedPageBreak/>
        <w:t>Please write the numeric value at the appropriate place against each criterion according to the nomenclature provided corresponding to barriers/criterion</w:t>
      </w:r>
      <w:r w:rsidR="0002468D">
        <w:t xml:space="preserve"> in table 3.</w:t>
      </w:r>
    </w:p>
    <w:p w:rsidR="00425C26" w:rsidRPr="00164EC2" w:rsidRDefault="00425C26" w:rsidP="00425C26">
      <w:pPr>
        <w:autoSpaceDE w:val="0"/>
        <w:autoSpaceDN w:val="0"/>
        <w:adjustRightInd w:val="0"/>
        <w:jc w:val="both"/>
      </w:pPr>
    </w:p>
    <w:p w:rsidR="00425C26" w:rsidRPr="00164EC2" w:rsidRDefault="00425C26" w:rsidP="00425C26">
      <w:pPr>
        <w:autoSpaceDE w:val="0"/>
        <w:autoSpaceDN w:val="0"/>
        <w:adjustRightInd w:val="0"/>
        <w:jc w:val="both"/>
      </w:pPr>
      <w:r w:rsidRPr="00164EC2">
        <w:t>1 Very low</w:t>
      </w:r>
    </w:p>
    <w:p w:rsidR="00425C26" w:rsidRPr="00164EC2" w:rsidRDefault="00425C26" w:rsidP="00425C26">
      <w:pPr>
        <w:autoSpaceDE w:val="0"/>
        <w:autoSpaceDN w:val="0"/>
        <w:adjustRightInd w:val="0"/>
        <w:jc w:val="both"/>
      </w:pPr>
      <w:r w:rsidRPr="00164EC2">
        <w:t>2 Low</w:t>
      </w:r>
    </w:p>
    <w:p w:rsidR="00425C26" w:rsidRPr="00164EC2" w:rsidRDefault="00425C26" w:rsidP="00425C26">
      <w:pPr>
        <w:autoSpaceDE w:val="0"/>
        <w:autoSpaceDN w:val="0"/>
        <w:adjustRightInd w:val="0"/>
        <w:jc w:val="both"/>
      </w:pPr>
      <w:r w:rsidRPr="00164EC2">
        <w:t>3 Neutral</w:t>
      </w:r>
    </w:p>
    <w:p w:rsidR="00425C26" w:rsidRPr="00164EC2" w:rsidRDefault="00425C26" w:rsidP="00425C26">
      <w:pPr>
        <w:autoSpaceDE w:val="0"/>
        <w:autoSpaceDN w:val="0"/>
        <w:adjustRightInd w:val="0"/>
        <w:jc w:val="both"/>
      </w:pPr>
      <w:r w:rsidRPr="00164EC2">
        <w:t>4 High</w:t>
      </w:r>
    </w:p>
    <w:p w:rsidR="00425C26" w:rsidRPr="00164EC2" w:rsidRDefault="00425C26" w:rsidP="00425C26">
      <w:pPr>
        <w:autoSpaceDE w:val="0"/>
        <w:autoSpaceDN w:val="0"/>
        <w:adjustRightInd w:val="0"/>
        <w:jc w:val="both"/>
      </w:pPr>
      <w:r w:rsidRPr="00164EC2">
        <w:t>5 Very high</w:t>
      </w:r>
    </w:p>
    <w:p w:rsidR="00D9627C" w:rsidRPr="00164EC2" w:rsidRDefault="00D9627C" w:rsidP="003D6DF6">
      <w:pPr>
        <w:ind w:right="-331"/>
        <w:jc w:val="both"/>
      </w:pPr>
    </w:p>
    <w:p w:rsidR="00425C26" w:rsidRPr="00164EC2" w:rsidRDefault="00425C26" w:rsidP="00425C26">
      <w:pPr>
        <w:ind w:right="-331"/>
        <w:jc w:val="center"/>
        <w:rPr>
          <w:b/>
        </w:rPr>
      </w:pPr>
      <w:r w:rsidRPr="00164EC2">
        <w:rPr>
          <w:b/>
        </w:rPr>
        <w:t>Table 3:  Response sheet to rank barriers to Industry 5.0 adoption</w:t>
      </w:r>
      <w:r w:rsidR="00A034DF">
        <w:rPr>
          <w:b/>
        </w:rPr>
        <w:t xml:space="preserve"> using GRA</w:t>
      </w:r>
    </w:p>
    <w:p w:rsidR="00425C26" w:rsidRPr="00164EC2" w:rsidRDefault="00425C26" w:rsidP="00425C26">
      <w:pPr>
        <w:ind w:right="-331"/>
        <w:jc w:val="center"/>
        <w:rPr>
          <w:b/>
        </w:rPr>
      </w:pPr>
    </w:p>
    <w:tbl>
      <w:tblPr>
        <w:tblW w:w="5000" w:type="pct"/>
        <w:tblLook w:val="04A0" w:firstRow="1" w:lastRow="0" w:firstColumn="1" w:lastColumn="0" w:noHBand="0" w:noVBand="1"/>
      </w:tblPr>
      <w:tblGrid>
        <w:gridCol w:w="2036"/>
        <w:gridCol w:w="1463"/>
        <w:gridCol w:w="1463"/>
        <w:gridCol w:w="1463"/>
        <w:gridCol w:w="1463"/>
        <w:gridCol w:w="1462"/>
      </w:tblGrid>
      <w:tr w:rsidR="00425C26" w:rsidRPr="00164EC2" w:rsidTr="006630E7">
        <w:trPr>
          <w:trHeight w:val="300"/>
        </w:trPr>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Barriers/criteria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PI</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SA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EA</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FR</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HC</w:t>
            </w: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BA1</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BA2</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BA3</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BA4</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BA5</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BA6</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r w:rsidRPr="00164EC2">
              <w:rPr>
                <w:color w:val="000000"/>
                <w:sz w:val="20"/>
                <w:szCs w:val="20"/>
              </w:rPr>
              <w:t>-</w:t>
            </w: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BA7</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BA8</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164EC2"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BA9</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r>
      <w:tr w:rsidR="00425C26" w:rsidRPr="00812DCC" w:rsidTr="006630E7">
        <w:trPr>
          <w:trHeight w:val="300"/>
        </w:trPr>
        <w:tc>
          <w:tcPr>
            <w:tcW w:w="1088" w:type="pct"/>
            <w:tcBorders>
              <w:top w:val="nil"/>
              <w:left w:val="single" w:sz="4" w:space="0" w:color="auto"/>
              <w:bottom w:val="single" w:sz="4" w:space="0" w:color="auto"/>
              <w:right w:val="single" w:sz="4" w:space="0" w:color="auto"/>
            </w:tcBorders>
            <w:shd w:val="clear" w:color="auto" w:fill="auto"/>
            <w:noWrap/>
            <w:vAlign w:val="bottom"/>
            <w:hideMark/>
          </w:tcPr>
          <w:p w:rsidR="00425C26" w:rsidRPr="00164EC2" w:rsidRDefault="00425C26" w:rsidP="006630E7">
            <w:pPr>
              <w:rPr>
                <w:color w:val="000000"/>
                <w:sz w:val="20"/>
                <w:szCs w:val="20"/>
              </w:rPr>
            </w:pPr>
            <w:r w:rsidRPr="00164EC2">
              <w:rPr>
                <w:color w:val="000000"/>
                <w:sz w:val="20"/>
                <w:szCs w:val="20"/>
              </w:rPr>
              <w:t>BA10</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164EC2" w:rsidRDefault="00425C26" w:rsidP="006630E7">
            <w:pPr>
              <w:jc w:val="right"/>
              <w:rPr>
                <w:color w:val="000000"/>
                <w:sz w:val="20"/>
                <w:szCs w:val="20"/>
              </w:rPr>
            </w:pP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812DCC" w:rsidRDefault="00425C26" w:rsidP="006630E7">
            <w:pPr>
              <w:jc w:val="right"/>
              <w:rPr>
                <w:color w:val="000000"/>
                <w:sz w:val="20"/>
                <w:szCs w:val="20"/>
              </w:rPr>
            </w:pPr>
            <w:r w:rsidRPr="00164EC2">
              <w:rPr>
                <w:color w:val="000000"/>
                <w:sz w:val="20"/>
                <w:szCs w:val="20"/>
              </w:rPr>
              <w:t>-</w:t>
            </w:r>
          </w:p>
        </w:tc>
        <w:tc>
          <w:tcPr>
            <w:tcW w:w="782" w:type="pct"/>
            <w:tcBorders>
              <w:top w:val="nil"/>
              <w:left w:val="nil"/>
              <w:bottom w:val="single" w:sz="4" w:space="0" w:color="auto"/>
              <w:right w:val="single" w:sz="4" w:space="0" w:color="auto"/>
            </w:tcBorders>
            <w:shd w:val="clear" w:color="auto" w:fill="auto"/>
            <w:noWrap/>
            <w:vAlign w:val="bottom"/>
            <w:hideMark/>
          </w:tcPr>
          <w:p w:rsidR="00425C26" w:rsidRPr="00812DCC" w:rsidRDefault="00425C26" w:rsidP="006630E7">
            <w:pPr>
              <w:jc w:val="right"/>
              <w:rPr>
                <w:color w:val="000000"/>
                <w:sz w:val="20"/>
                <w:szCs w:val="20"/>
              </w:rPr>
            </w:pPr>
          </w:p>
        </w:tc>
      </w:tr>
    </w:tbl>
    <w:p w:rsidR="00425C26" w:rsidRDefault="00425C26" w:rsidP="003D6DF6">
      <w:pPr>
        <w:ind w:right="-331"/>
        <w:jc w:val="both"/>
      </w:pPr>
    </w:p>
    <w:p w:rsidR="00A034DF" w:rsidRDefault="00A034DF" w:rsidP="003D6DF6">
      <w:pPr>
        <w:ind w:right="-331"/>
        <w:jc w:val="both"/>
      </w:pPr>
    </w:p>
    <w:p w:rsidR="00A034DF" w:rsidRPr="00A034DF" w:rsidRDefault="00A034DF" w:rsidP="00A034DF">
      <w:pPr>
        <w:spacing w:line="360" w:lineRule="auto"/>
        <w:jc w:val="both"/>
        <w:rPr>
          <w:b/>
        </w:rPr>
      </w:pPr>
      <w:r w:rsidRPr="00A034DF">
        <w:rPr>
          <w:b/>
        </w:rPr>
        <w:t xml:space="preserve">Ranks Validation using </w:t>
      </w:r>
      <w:r>
        <w:rPr>
          <w:b/>
        </w:rPr>
        <w:t>best-worst</w:t>
      </w:r>
      <w:r w:rsidRPr="00A034DF">
        <w:rPr>
          <w:b/>
        </w:rPr>
        <w:t xml:space="preserve"> method</w:t>
      </w:r>
      <w:r>
        <w:rPr>
          <w:b/>
        </w:rPr>
        <w:t xml:space="preserve"> (BWM)</w:t>
      </w:r>
    </w:p>
    <w:p w:rsidR="00A034DF" w:rsidRDefault="00A034DF" w:rsidP="00A034DF">
      <w:pPr>
        <w:spacing w:line="360" w:lineRule="auto"/>
        <w:jc w:val="both"/>
      </w:pPr>
      <w:r>
        <w:t>Mark at the appropriate place with tick to find the best and worst barriers among the screened prominent barriers for Indian manufacturing industries in table</w:t>
      </w:r>
      <w:r w:rsidR="0002468D">
        <w:t xml:space="preserve"> 4</w:t>
      </w:r>
      <w:r>
        <w:t>.</w:t>
      </w:r>
    </w:p>
    <w:p w:rsidR="00A034DF" w:rsidRPr="00220204" w:rsidRDefault="00A034DF" w:rsidP="00A034DF">
      <w:pPr>
        <w:spacing w:line="360" w:lineRule="auto"/>
        <w:jc w:val="center"/>
        <w:rPr>
          <w:b/>
        </w:rPr>
      </w:pPr>
      <w:r w:rsidRPr="00220204">
        <w:rPr>
          <w:b/>
        </w:rPr>
        <w:t xml:space="preserve">Table </w:t>
      </w:r>
      <w:r>
        <w:rPr>
          <w:b/>
        </w:rPr>
        <w:t>4</w:t>
      </w:r>
      <w:r w:rsidRPr="00220204">
        <w:rPr>
          <w:b/>
        </w:rPr>
        <w:t xml:space="preserve">: </w:t>
      </w:r>
      <w:r>
        <w:rPr>
          <w:b/>
        </w:rPr>
        <w:t>Barriers to Industry 5.0</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5580"/>
        <w:gridCol w:w="900"/>
        <w:gridCol w:w="1170"/>
      </w:tblGrid>
      <w:tr w:rsidR="00A034DF" w:rsidRPr="00FB6DB0" w:rsidTr="006630E7">
        <w:trPr>
          <w:trHeight w:val="300"/>
          <w:jc w:val="center"/>
        </w:trPr>
        <w:tc>
          <w:tcPr>
            <w:tcW w:w="985"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Caption</w:t>
            </w:r>
          </w:p>
        </w:tc>
        <w:tc>
          <w:tcPr>
            <w:tcW w:w="5580" w:type="dxa"/>
          </w:tcPr>
          <w:p w:rsidR="00A034DF" w:rsidRPr="00FB6DB0" w:rsidRDefault="00A034DF" w:rsidP="006630E7">
            <w:pPr>
              <w:jc w:val="center"/>
              <w:rPr>
                <w:b/>
                <w:bCs/>
                <w:color w:val="000000"/>
                <w:sz w:val="20"/>
                <w:szCs w:val="20"/>
              </w:rPr>
            </w:pPr>
            <w:r>
              <w:rPr>
                <w:b/>
                <w:bCs/>
                <w:color w:val="000000"/>
                <w:sz w:val="20"/>
                <w:szCs w:val="20"/>
              </w:rPr>
              <w:t>Barriers</w:t>
            </w:r>
          </w:p>
        </w:tc>
        <w:tc>
          <w:tcPr>
            <w:tcW w:w="900"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 xml:space="preserve">Best  </w:t>
            </w:r>
            <w:r>
              <w:rPr>
                <w:b/>
                <w:bCs/>
                <w:color w:val="000000"/>
                <w:sz w:val="20"/>
                <w:szCs w:val="20"/>
              </w:rPr>
              <w:t>Barrier</w:t>
            </w:r>
          </w:p>
        </w:tc>
        <w:tc>
          <w:tcPr>
            <w:tcW w:w="1170"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 xml:space="preserve">Worst </w:t>
            </w:r>
            <w:r>
              <w:rPr>
                <w:b/>
                <w:bCs/>
                <w:color w:val="000000"/>
                <w:sz w:val="20"/>
                <w:szCs w:val="20"/>
              </w:rPr>
              <w:t>Barrier</w:t>
            </w:r>
          </w:p>
        </w:tc>
      </w:tr>
      <w:tr w:rsidR="00A034DF" w:rsidRPr="00FB6DB0" w:rsidTr="006630E7">
        <w:trPr>
          <w:trHeight w:val="345"/>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BA1</w:t>
            </w:r>
          </w:p>
        </w:tc>
        <w:tc>
          <w:tcPr>
            <w:tcW w:w="5580" w:type="dxa"/>
          </w:tcPr>
          <w:p w:rsidR="00A034DF" w:rsidRPr="00164EC2" w:rsidRDefault="00A034DF" w:rsidP="006630E7">
            <w:pPr>
              <w:rPr>
                <w:color w:val="000000"/>
                <w:sz w:val="20"/>
                <w:szCs w:val="20"/>
              </w:rPr>
            </w:pPr>
            <w:r w:rsidRPr="00164EC2">
              <w:rPr>
                <w:color w:val="000000"/>
                <w:sz w:val="20"/>
                <w:szCs w:val="20"/>
              </w:rPr>
              <w:t>Resistive culture</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BA2</w:t>
            </w:r>
          </w:p>
        </w:tc>
        <w:tc>
          <w:tcPr>
            <w:tcW w:w="5580" w:type="dxa"/>
          </w:tcPr>
          <w:p w:rsidR="00A034DF" w:rsidRPr="00164EC2" w:rsidRDefault="00A034DF" w:rsidP="006630E7">
            <w:pPr>
              <w:rPr>
                <w:color w:val="000000"/>
                <w:sz w:val="20"/>
                <w:szCs w:val="20"/>
              </w:rPr>
            </w:pPr>
            <w:r w:rsidRPr="00164EC2">
              <w:rPr>
                <w:color w:val="000000"/>
                <w:sz w:val="20"/>
                <w:szCs w:val="20"/>
              </w:rPr>
              <w:t>Digitization and automation of the process</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BA3</w:t>
            </w:r>
          </w:p>
        </w:tc>
        <w:tc>
          <w:tcPr>
            <w:tcW w:w="5580" w:type="dxa"/>
          </w:tcPr>
          <w:p w:rsidR="00A034DF" w:rsidRPr="00164EC2" w:rsidRDefault="00A034DF" w:rsidP="006630E7">
            <w:pPr>
              <w:rPr>
                <w:color w:val="000000"/>
                <w:sz w:val="20"/>
                <w:szCs w:val="20"/>
              </w:rPr>
            </w:pPr>
            <w:r w:rsidRPr="00164EC2">
              <w:rPr>
                <w:color w:val="000000"/>
                <w:sz w:val="20"/>
                <w:szCs w:val="20"/>
              </w:rPr>
              <w:t>Integration challenges in the value chain</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BA4</w:t>
            </w:r>
          </w:p>
        </w:tc>
        <w:tc>
          <w:tcPr>
            <w:tcW w:w="5580" w:type="dxa"/>
          </w:tcPr>
          <w:p w:rsidR="00A034DF" w:rsidRPr="00164EC2" w:rsidRDefault="00A034DF" w:rsidP="006630E7">
            <w:pPr>
              <w:rPr>
                <w:color w:val="000000"/>
                <w:sz w:val="20"/>
                <w:szCs w:val="20"/>
              </w:rPr>
            </w:pPr>
            <w:r w:rsidRPr="00164EC2">
              <w:rPr>
                <w:color w:val="000000"/>
                <w:sz w:val="20"/>
                <w:szCs w:val="20"/>
              </w:rPr>
              <w:t>Establish a linkage between reality and computer-generated reality</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BA5</w:t>
            </w:r>
          </w:p>
        </w:tc>
        <w:tc>
          <w:tcPr>
            <w:tcW w:w="5580" w:type="dxa"/>
          </w:tcPr>
          <w:p w:rsidR="00A034DF" w:rsidRPr="00164EC2" w:rsidRDefault="00A034DF" w:rsidP="006630E7">
            <w:pPr>
              <w:rPr>
                <w:color w:val="000000"/>
                <w:sz w:val="20"/>
                <w:szCs w:val="20"/>
              </w:rPr>
            </w:pPr>
            <w:r w:rsidRPr="00164EC2">
              <w:rPr>
                <w:color w:val="000000"/>
                <w:sz w:val="20"/>
                <w:szCs w:val="20"/>
              </w:rPr>
              <w:t>Concerted paradigm</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BA6</w:t>
            </w:r>
          </w:p>
        </w:tc>
        <w:tc>
          <w:tcPr>
            <w:tcW w:w="5580" w:type="dxa"/>
          </w:tcPr>
          <w:p w:rsidR="00A034DF" w:rsidRPr="00164EC2" w:rsidRDefault="00A034DF" w:rsidP="006630E7">
            <w:pPr>
              <w:rPr>
                <w:color w:val="000000"/>
                <w:sz w:val="20"/>
                <w:szCs w:val="20"/>
              </w:rPr>
            </w:pPr>
            <w:r w:rsidRPr="00164EC2">
              <w:rPr>
                <w:color w:val="000000"/>
                <w:sz w:val="20"/>
                <w:szCs w:val="20"/>
              </w:rPr>
              <w:t>Regularization of infrastructure</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BA7</w:t>
            </w:r>
          </w:p>
        </w:tc>
        <w:tc>
          <w:tcPr>
            <w:tcW w:w="5580" w:type="dxa"/>
          </w:tcPr>
          <w:p w:rsidR="00A034DF" w:rsidRPr="00164EC2" w:rsidRDefault="00A034DF" w:rsidP="006630E7">
            <w:pPr>
              <w:rPr>
                <w:color w:val="000000"/>
                <w:sz w:val="20"/>
                <w:szCs w:val="20"/>
              </w:rPr>
            </w:pPr>
            <w:r w:rsidRPr="00164EC2">
              <w:rPr>
                <w:color w:val="000000"/>
                <w:sz w:val="20"/>
                <w:szCs w:val="20"/>
              </w:rPr>
              <w:t>Well-defined standards for CPS</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BA8</w:t>
            </w:r>
          </w:p>
        </w:tc>
        <w:tc>
          <w:tcPr>
            <w:tcW w:w="5580" w:type="dxa"/>
          </w:tcPr>
          <w:p w:rsidR="00A034DF" w:rsidRPr="00164EC2" w:rsidRDefault="00A034DF" w:rsidP="006630E7">
            <w:pPr>
              <w:rPr>
                <w:color w:val="000000"/>
                <w:sz w:val="20"/>
                <w:szCs w:val="20"/>
              </w:rPr>
            </w:pPr>
            <w:r w:rsidRPr="00164EC2">
              <w:rPr>
                <w:color w:val="000000"/>
                <w:sz w:val="20"/>
                <w:szCs w:val="20"/>
              </w:rPr>
              <w:t>Lack of sustainability pursuits</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BA9</w:t>
            </w:r>
          </w:p>
        </w:tc>
        <w:tc>
          <w:tcPr>
            <w:tcW w:w="5580" w:type="dxa"/>
          </w:tcPr>
          <w:p w:rsidR="00A034DF" w:rsidRPr="00164EC2" w:rsidRDefault="00A034DF" w:rsidP="006630E7">
            <w:pPr>
              <w:rPr>
                <w:color w:val="000000"/>
                <w:sz w:val="20"/>
                <w:szCs w:val="20"/>
              </w:rPr>
            </w:pPr>
            <w:r w:rsidRPr="00164EC2">
              <w:rPr>
                <w:color w:val="000000"/>
                <w:sz w:val="20"/>
                <w:szCs w:val="20"/>
              </w:rPr>
              <w:t xml:space="preserve">Prone to accidents due to increased use of technologies </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BA10</w:t>
            </w:r>
          </w:p>
        </w:tc>
        <w:tc>
          <w:tcPr>
            <w:tcW w:w="5580" w:type="dxa"/>
          </w:tcPr>
          <w:p w:rsidR="00A034DF" w:rsidRPr="00164EC2" w:rsidRDefault="00A034DF" w:rsidP="006630E7">
            <w:pPr>
              <w:rPr>
                <w:color w:val="000000"/>
                <w:sz w:val="20"/>
                <w:szCs w:val="20"/>
              </w:rPr>
            </w:pPr>
            <w:r w:rsidRPr="00164EC2">
              <w:rPr>
                <w:color w:val="000000"/>
                <w:sz w:val="20"/>
                <w:szCs w:val="20"/>
              </w:rPr>
              <w:t xml:space="preserve">Financial constraints </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bl>
    <w:p w:rsidR="00A034DF" w:rsidRDefault="00A034DF" w:rsidP="00A034DF">
      <w:pPr>
        <w:spacing w:line="360" w:lineRule="auto"/>
        <w:jc w:val="both"/>
      </w:pPr>
    </w:p>
    <w:p w:rsidR="00A034DF" w:rsidRDefault="00A034DF" w:rsidP="00A034DF">
      <w:pPr>
        <w:rPr>
          <w:b/>
        </w:rPr>
      </w:pPr>
    </w:p>
    <w:p w:rsidR="00A034DF" w:rsidRPr="00220204" w:rsidRDefault="00A034DF" w:rsidP="00A034DF">
      <w:pPr>
        <w:spacing w:line="360" w:lineRule="auto"/>
        <w:jc w:val="both"/>
      </w:pPr>
      <w:r>
        <w:t>To implement the best worst method for the prioritization of barriers for Indian manufacturing industries there is the need for best to others and others to worst vector. Please provide your valuable responses in table 6 for the preparation of the corresponding vectors using the scale provided in the below table</w:t>
      </w:r>
      <w:r w:rsidR="0002468D">
        <w:t xml:space="preserve"> 5</w:t>
      </w:r>
      <w:r>
        <w:t>.</w:t>
      </w:r>
    </w:p>
    <w:p w:rsidR="00A034DF" w:rsidRPr="00B05D0B" w:rsidRDefault="00A034DF" w:rsidP="00A034DF">
      <w:pPr>
        <w:autoSpaceDE w:val="0"/>
        <w:autoSpaceDN w:val="0"/>
        <w:adjustRightInd w:val="0"/>
        <w:spacing w:line="360" w:lineRule="auto"/>
        <w:jc w:val="center"/>
        <w:rPr>
          <w:b/>
          <w:szCs w:val="20"/>
        </w:rPr>
      </w:pPr>
      <w:r w:rsidRPr="00B05D0B">
        <w:rPr>
          <w:b/>
          <w:szCs w:val="20"/>
        </w:rPr>
        <w:t xml:space="preserve">Table </w:t>
      </w:r>
      <w:r>
        <w:rPr>
          <w:b/>
          <w:szCs w:val="20"/>
        </w:rPr>
        <w:t>5</w:t>
      </w:r>
      <w:r w:rsidRPr="00B05D0B">
        <w:rPr>
          <w:b/>
          <w:szCs w:val="20"/>
        </w:rPr>
        <w:t>: Comparative scale for the preference of barrier over another barrier</w:t>
      </w:r>
    </w:p>
    <w:p w:rsidR="00A034DF" w:rsidRDefault="00A034DF" w:rsidP="00A034DF">
      <w:pPr>
        <w:rPr>
          <w: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91"/>
        <w:gridCol w:w="1739"/>
        <w:gridCol w:w="5914"/>
      </w:tblGrid>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b/>
                <w:bCs/>
                <w:color w:val="000000"/>
                <w:sz w:val="20"/>
                <w:szCs w:val="20"/>
              </w:rPr>
            </w:pPr>
            <w:r w:rsidRPr="00220204">
              <w:rPr>
                <w:b/>
                <w:bCs/>
                <w:color w:val="000000"/>
                <w:sz w:val="20"/>
                <w:szCs w:val="20"/>
              </w:rPr>
              <w:t>S. No.</w:t>
            </w:r>
          </w:p>
        </w:tc>
        <w:tc>
          <w:tcPr>
            <w:tcW w:w="902" w:type="dxa"/>
            <w:shd w:val="clear" w:color="auto" w:fill="auto"/>
            <w:noWrap/>
            <w:vAlign w:val="bottom"/>
            <w:hideMark/>
          </w:tcPr>
          <w:p w:rsidR="00A034DF" w:rsidRPr="00220204" w:rsidRDefault="00A034DF" w:rsidP="006630E7">
            <w:pPr>
              <w:jc w:val="center"/>
              <w:rPr>
                <w:b/>
                <w:bCs/>
                <w:color w:val="000000"/>
                <w:sz w:val="20"/>
                <w:szCs w:val="20"/>
              </w:rPr>
            </w:pPr>
            <w:r w:rsidRPr="00220204">
              <w:rPr>
                <w:b/>
                <w:bCs/>
                <w:color w:val="000000"/>
                <w:sz w:val="20"/>
                <w:szCs w:val="20"/>
              </w:rPr>
              <w:t xml:space="preserve">Scale </w:t>
            </w:r>
          </w:p>
        </w:tc>
        <w:tc>
          <w:tcPr>
            <w:tcW w:w="1764" w:type="dxa"/>
            <w:shd w:val="clear" w:color="auto" w:fill="auto"/>
            <w:noWrap/>
            <w:vAlign w:val="bottom"/>
            <w:hideMark/>
          </w:tcPr>
          <w:p w:rsidR="00A034DF" w:rsidRPr="00220204" w:rsidRDefault="00A034DF" w:rsidP="006630E7">
            <w:pPr>
              <w:rPr>
                <w:b/>
                <w:bCs/>
                <w:color w:val="000000"/>
                <w:sz w:val="20"/>
                <w:szCs w:val="20"/>
              </w:rPr>
            </w:pPr>
            <w:r w:rsidRPr="00220204">
              <w:rPr>
                <w:b/>
                <w:bCs/>
                <w:color w:val="000000"/>
                <w:sz w:val="20"/>
                <w:szCs w:val="20"/>
              </w:rPr>
              <w:t xml:space="preserve">    Definition</w:t>
            </w:r>
          </w:p>
        </w:tc>
        <w:tc>
          <w:tcPr>
            <w:tcW w:w="0" w:type="auto"/>
            <w:shd w:val="clear" w:color="auto" w:fill="auto"/>
            <w:noWrap/>
            <w:vAlign w:val="bottom"/>
            <w:hideMark/>
          </w:tcPr>
          <w:p w:rsidR="00A034DF" w:rsidRPr="00220204" w:rsidRDefault="00A034DF" w:rsidP="006630E7">
            <w:pPr>
              <w:rPr>
                <w:b/>
                <w:bCs/>
                <w:color w:val="000000"/>
                <w:sz w:val="20"/>
                <w:szCs w:val="20"/>
              </w:rPr>
            </w:pPr>
            <w:r w:rsidRPr="00220204">
              <w:rPr>
                <w:b/>
                <w:bCs/>
                <w:color w:val="000000"/>
                <w:sz w:val="20"/>
                <w:szCs w:val="20"/>
              </w:rPr>
              <w:t xml:space="preserve">                                      Description</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1</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1</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same important</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w:t>
            </w:r>
            <w:proofErr w:type="spellStart"/>
            <w:r w:rsidRPr="00220204">
              <w:rPr>
                <w:color w:val="000000"/>
                <w:sz w:val="20"/>
                <w:szCs w:val="20"/>
              </w:rPr>
              <w:t>i</w:t>
            </w:r>
            <w:proofErr w:type="spellEnd"/>
            <w:r w:rsidRPr="00220204">
              <w:rPr>
                <w:color w:val="000000"/>
                <w:sz w:val="20"/>
                <w:szCs w:val="20"/>
              </w:rPr>
              <w:t xml:space="preserve"> is equally important to j</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2</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3</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moderate important</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w:t>
            </w:r>
            <w:proofErr w:type="spellStart"/>
            <w:r w:rsidRPr="00220204">
              <w:rPr>
                <w:color w:val="000000"/>
                <w:sz w:val="20"/>
                <w:szCs w:val="20"/>
              </w:rPr>
              <w:t>i</w:t>
            </w:r>
            <w:proofErr w:type="spellEnd"/>
            <w:r w:rsidRPr="00220204">
              <w:rPr>
                <w:color w:val="000000"/>
                <w:sz w:val="20"/>
                <w:szCs w:val="20"/>
              </w:rPr>
              <w:t xml:space="preserve"> is moderate  important to j</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3</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5</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essentially important</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w:t>
            </w:r>
            <w:proofErr w:type="spellStart"/>
            <w:r w:rsidRPr="00220204">
              <w:rPr>
                <w:color w:val="000000"/>
                <w:sz w:val="20"/>
                <w:szCs w:val="20"/>
              </w:rPr>
              <w:t>i</w:t>
            </w:r>
            <w:proofErr w:type="spellEnd"/>
            <w:r w:rsidRPr="00220204">
              <w:rPr>
                <w:color w:val="000000"/>
                <w:sz w:val="20"/>
                <w:szCs w:val="20"/>
              </w:rPr>
              <w:t xml:space="preserve"> is essentially important to j</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4</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7</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very strong important</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w:t>
            </w:r>
            <w:proofErr w:type="spellStart"/>
            <w:r w:rsidRPr="00220204">
              <w:rPr>
                <w:color w:val="000000"/>
                <w:sz w:val="20"/>
                <w:szCs w:val="20"/>
              </w:rPr>
              <w:t>i</w:t>
            </w:r>
            <w:proofErr w:type="spellEnd"/>
            <w:r w:rsidRPr="00220204">
              <w:rPr>
                <w:color w:val="000000"/>
                <w:sz w:val="20"/>
                <w:szCs w:val="20"/>
              </w:rPr>
              <w:t xml:space="preserve">  is very strong important to j</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5</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9</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absolute important</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w:t>
            </w:r>
            <w:proofErr w:type="spellStart"/>
            <w:r w:rsidRPr="00220204">
              <w:rPr>
                <w:color w:val="000000"/>
                <w:sz w:val="20"/>
                <w:szCs w:val="20"/>
              </w:rPr>
              <w:t>i</w:t>
            </w:r>
            <w:proofErr w:type="spellEnd"/>
            <w:r w:rsidRPr="00220204">
              <w:rPr>
                <w:color w:val="000000"/>
                <w:sz w:val="20"/>
                <w:szCs w:val="20"/>
              </w:rPr>
              <w:t xml:space="preserve"> is absolute important to j</w:t>
            </w:r>
          </w:p>
        </w:tc>
      </w:tr>
      <w:tr w:rsidR="00A034DF" w:rsidRPr="00220204" w:rsidTr="006630E7">
        <w:trPr>
          <w:trHeight w:val="300"/>
        </w:trPr>
        <w:tc>
          <w:tcPr>
            <w:tcW w:w="0" w:type="auto"/>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6</w:t>
            </w:r>
          </w:p>
        </w:tc>
        <w:tc>
          <w:tcPr>
            <w:tcW w:w="902" w:type="dxa"/>
            <w:shd w:val="clear" w:color="auto" w:fill="auto"/>
            <w:noWrap/>
            <w:vAlign w:val="bottom"/>
            <w:hideMark/>
          </w:tcPr>
          <w:p w:rsidR="00A034DF" w:rsidRPr="00220204" w:rsidRDefault="00A034DF" w:rsidP="006630E7">
            <w:pPr>
              <w:jc w:val="center"/>
              <w:rPr>
                <w:color w:val="000000"/>
                <w:sz w:val="20"/>
                <w:szCs w:val="20"/>
              </w:rPr>
            </w:pPr>
            <w:r w:rsidRPr="00220204">
              <w:rPr>
                <w:color w:val="000000"/>
                <w:sz w:val="20"/>
                <w:szCs w:val="20"/>
              </w:rPr>
              <w:t>2,4,6,8</w:t>
            </w:r>
          </w:p>
        </w:tc>
        <w:tc>
          <w:tcPr>
            <w:tcW w:w="1764" w:type="dxa"/>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intermediate value</w:t>
            </w:r>
          </w:p>
        </w:tc>
        <w:tc>
          <w:tcPr>
            <w:tcW w:w="0" w:type="auto"/>
            <w:shd w:val="clear" w:color="auto" w:fill="auto"/>
            <w:noWrap/>
            <w:vAlign w:val="bottom"/>
            <w:hideMark/>
          </w:tcPr>
          <w:p w:rsidR="00A034DF" w:rsidRPr="00220204" w:rsidRDefault="00A034DF" w:rsidP="006630E7">
            <w:pPr>
              <w:rPr>
                <w:color w:val="000000"/>
                <w:sz w:val="20"/>
                <w:szCs w:val="20"/>
              </w:rPr>
            </w:pPr>
            <w:r w:rsidRPr="00220204">
              <w:rPr>
                <w:color w:val="000000"/>
                <w:sz w:val="20"/>
                <w:szCs w:val="20"/>
              </w:rPr>
              <w:t xml:space="preserve">          the relative importance e of  </w:t>
            </w:r>
            <w:proofErr w:type="spellStart"/>
            <w:r w:rsidRPr="00220204">
              <w:rPr>
                <w:color w:val="000000"/>
                <w:sz w:val="20"/>
                <w:szCs w:val="20"/>
              </w:rPr>
              <w:t>i</w:t>
            </w:r>
            <w:proofErr w:type="spellEnd"/>
            <w:r w:rsidRPr="00220204">
              <w:rPr>
                <w:color w:val="000000"/>
                <w:sz w:val="20"/>
                <w:szCs w:val="20"/>
              </w:rPr>
              <w:t xml:space="preserve"> to j is between </w:t>
            </w:r>
            <w:proofErr w:type="spellStart"/>
            <w:r w:rsidRPr="00220204">
              <w:rPr>
                <w:color w:val="000000"/>
                <w:sz w:val="20"/>
                <w:szCs w:val="20"/>
              </w:rPr>
              <w:t>to</w:t>
            </w:r>
            <w:proofErr w:type="spellEnd"/>
            <w:r w:rsidRPr="00220204">
              <w:rPr>
                <w:color w:val="000000"/>
                <w:sz w:val="20"/>
                <w:szCs w:val="20"/>
              </w:rPr>
              <w:t xml:space="preserve"> adjacent judgment</w:t>
            </w:r>
          </w:p>
        </w:tc>
      </w:tr>
    </w:tbl>
    <w:p w:rsidR="00A034DF" w:rsidRPr="00220204" w:rsidRDefault="00A034DF" w:rsidP="00A034DF">
      <w:pPr>
        <w:rPr>
          <w:b/>
        </w:rPr>
      </w:pPr>
    </w:p>
    <w:p w:rsidR="00A034DF" w:rsidRDefault="00A034DF" w:rsidP="00A034DF">
      <w:pPr>
        <w:autoSpaceDE w:val="0"/>
        <w:autoSpaceDN w:val="0"/>
        <w:adjustRightInd w:val="0"/>
        <w:spacing w:line="360" w:lineRule="auto"/>
        <w:rPr>
          <w:b/>
          <w:szCs w:val="20"/>
        </w:rPr>
      </w:pPr>
    </w:p>
    <w:p w:rsidR="00A034DF" w:rsidRDefault="00A034DF" w:rsidP="00A034DF">
      <w:pPr>
        <w:autoSpaceDE w:val="0"/>
        <w:autoSpaceDN w:val="0"/>
        <w:adjustRightInd w:val="0"/>
        <w:spacing w:line="360" w:lineRule="auto"/>
        <w:jc w:val="center"/>
        <w:rPr>
          <w:b/>
          <w:szCs w:val="20"/>
        </w:rPr>
      </w:pPr>
      <w:r w:rsidRPr="00220204">
        <w:rPr>
          <w:b/>
          <w:szCs w:val="20"/>
        </w:rPr>
        <w:t xml:space="preserve">Table </w:t>
      </w:r>
      <w:r>
        <w:rPr>
          <w:b/>
          <w:szCs w:val="20"/>
        </w:rPr>
        <w:t>6</w:t>
      </w:r>
      <w:r w:rsidRPr="00220204">
        <w:rPr>
          <w:b/>
          <w:szCs w:val="20"/>
        </w:rPr>
        <w:t>: Response Table</w:t>
      </w:r>
      <w:r>
        <w:rPr>
          <w:b/>
          <w:szCs w:val="20"/>
        </w:rPr>
        <w:t xml:space="preserve"> BWM</w:t>
      </w:r>
    </w:p>
    <w:p w:rsidR="00A034DF" w:rsidRDefault="00A034DF" w:rsidP="00A034DF">
      <w:pPr>
        <w:autoSpaceDE w:val="0"/>
        <w:autoSpaceDN w:val="0"/>
        <w:adjustRightInd w:val="0"/>
        <w:spacing w:line="360" w:lineRule="auto"/>
        <w:jc w:val="center"/>
        <w:rPr>
          <w:b/>
          <w:szCs w:val="20"/>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5580"/>
        <w:gridCol w:w="900"/>
        <w:gridCol w:w="1170"/>
      </w:tblGrid>
      <w:tr w:rsidR="00A034DF" w:rsidRPr="00FB6DB0" w:rsidTr="006630E7">
        <w:trPr>
          <w:trHeight w:val="300"/>
          <w:jc w:val="center"/>
        </w:trPr>
        <w:tc>
          <w:tcPr>
            <w:tcW w:w="985"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Caption</w:t>
            </w:r>
          </w:p>
        </w:tc>
        <w:tc>
          <w:tcPr>
            <w:tcW w:w="5580" w:type="dxa"/>
          </w:tcPr>
          <w:p w:rsidR="00A034DF" w:rsidRPr="00FB6DB0" w:rsidRDefault="00A034DF" w:rsidP="006630E7">
            <w:pPr>
              <w:jc w:val="center"/>
              <w:rPr>
                <w:b/>
                <w:bCs/>
                <w:color w:val="000000"/>
                <w:sz w:val="20"/>
                <w:szCs w:val="20"/>
              </w:rPr>
            </w:pPr>
            <w:r>
              <w:rPr>
                <w:b/>
                <w:bCs/>
                <w:color w:val="000000"/>
                <w:sz w:val="20"/>
                <w:szCs w:val="20"/>
              </w:rPr>
              <w:t>Barriers</w:t>
            </w:r>
          </w:p>
        </w:tc>
        <w:tc>
          <w:tcPr>
            <w:tcW w:w="900"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 xml:space="preserve">Best  </w:t>
            </w:r>
            <w:r>
              <w:rPr>
                <w:b/>
                <w:bCs/>
                <w:color w:val="000000"/>
                <w:sz w:val="20"/>
                <w:szCs w:val="20"/>
              </w:rPr>
              <w:t>Barrier</w:t>
            </w:r>
          </w:p>
        </w:tc>
        <w:tc>
          <w:tcPr>
            <w:tcW w:w="1170" w:type="dxa"/>
            <w:shd w:val="clear" w:color="auto" w:fill="auto"/>
            <w:noWrap/>
            <w:vAlign w:val="center"/>
            <w:hideMark/>
          </w:tcPr>
          <w:p w:rsidR="00A034DF" w:rsidRPr="00FB6DB0" w:rsidRDefault="00A034DF" w:rsidP="006630E7">
            <w:pPr>
              <w:jc w:val="center"/>
              <w:rPr>
                <w:b/>
                <w:bCs/>
                <w:color w:val="000000"/>
                <w:sz w:val="20"/>
                <w:szCs w:val="20"/>
              </w:rPr>
            </w:pPr>
            <w:r w:rsidRPr="00FB6DB0">
              <w:rPr>
                <w:b/>
                <w:bCs/>
                <w:color w:val="000000"/>
                <w:sz w:val="20"/>
                <w:szCs w:val="20"/>
              </w:rPr>
              <w:t xml:space="preserve">Worst </w:t>
            </w:r>
            <w:r>
              <w:rPr>
                <w:b/>
                <w:bCs/>
                <w:color w:val="000000"/>
                <w:sz w:val="20"/>
                <w:szCs w:val="20"/>
              </w:rPr>
              <w:t>Barrier</w:t>
            </w:r>
          </w:p>
        </w:tc>
      </w:tr>
      <w:tr w:rsidR="00A034DF" w:rsidRPr="00FB6DB0" w:rsidTr="006630E7">
        <w:trPr>
          <w:trHeight w:val="345"/>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BA1</w:t>
            </w:r>
          </w:p>
        </w:tc>
        <w:tc>
          <w:tcPr>
            <w:tcW w:w="5580" w:type="dxa"/>
          </w:tcPr>
          <w:p w:rsidR="00A034DF" w:rsidRPr="00164EC2" w:rsidRDefault="00A034DF" w:rsidP="006630E7">
            <w:pPr>
              <w:rPr>
                <w:color w:val="000000"/>
                <w:sz w:val="20"/>
                <w:szCs w:val="20"/>
              </w:rPr>
            </w:pPr>
            <w:r w:rsidRPr="00164EC2">
              <w:rPr>
                <w:color w:val="000000"/>
                <w:sz w:val="20"/>
                <w:szCs w:val="20"/>
              </w:rPr>
              <w:t>Resistive culture</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BA2</w:t>
            </w:r>
          </w:p>
        </w:tc>
        <w:tc>
          <w:tcPr>
            <w:tcW w:w="5580" w:type="dxa"/>
          </w:tcPr>
          <w:p w:rsidR="00A034DF" w:rsidRPr="00164EC2" w:rsidRDefault="00A034DF" w:rsidP="006630E7">
            <w:pPr>
              <w:rPr>
                <w:color w:val="000000"/>
                <w:sz w:val="20"/>
                <w:szCs w:val="20"/>
              </w:rPr>
            </w:pPr>
            <w:r w:rsidRPr="00164EC2">
              <w:rPr>
                <w:color w:val="000000"/>
                <w:sz w:val="20"/>
                <w:szCs w:val="20"/>
              </w:rPr>
              <w:t>Digitization and automation of the process</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BA3</w:t>
            </w:r>
          </w:p>
        </w:tc>
        <w:tc>
          <w:tcPr>
            <w:tcW w:w="5580" w:type="dxa"/>
          </w:tcPr>
          <w:p w:rsidR="00A034DF" w:rsidRPr="00164EC2" w:rsidRDefault="00A034DF" w:rsidP="006630E7">
            <w:pPr>
              <w:rPr>
                <w:color w:val="000000"/>
                <w:sz w:val="20"/>
                <w:szCs w:val="20"/>
              </w:rPr>
            </w:pPr>
            <w:r w:rsidRPr="00164EC2">
              <w:rPr>
                <w:color w:val="000000"/>
                <w:sz w:val="20"/>
                <w:szCs w:val="20"/>
              </w:rPr>
              <w:t>Integration challenges in the value chain</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BA4</w:t>
            </w:r>
          </w:p>
        </w:tc>
        <w:tc>
          <w:tcPr>
            <w:tcW w:w="5580" w:type="dxa"/>
          </w:tcPr>
          <w:p w:rsidR="00A034DF" w:rsidRPr="00164EC2" w:rsidRDefault="00A034DF" w:rsidP="006630E7">
            <w:pPr>
              <w:rPr>
                <w:color w:val="000000"/>
                <w:sz w:val="20"/>
                <w:szCs w:val="20"/>
              </w:rPr>
            </w:pPr>
            <w:r w:rsidRPr="00164EC2">
              <w:rPr>
                <w:color w:val="000000"/>
                <w:sz w:val="20"/>
                <w:szCs w:val="20"/>
              </w:rPr>
              <w:t>Establish a linkage between reality and computer-generated reality</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BA5</w:t>
            </w:r>
          </w:p>
        </w:tc>
        <w:tc>
          <w:tcPr>
            <w:tcW w:w="5580" w:type="dxa"/>
          </w:tcPr>
          <w:p w:rsidR="00A034DF" w:rsidRPr="00164EC2" w:rsidRDefault="00A034DF" w:rsidP="006630E7">
            <w:pPr>
              <w:rPr>
                <w:color w:val="000000"/>
                <w:sz w:val="20"/>
                <w:szCs w:val="20"/>
              </w:rPr>
            </w:pPr>
            <w:r w:rsidRPr="00164EC2">
              <w:rPr>
                <w:color w:val="000000"/>
                <w:sz w:val="20"/>
                <w:szCs w:val="20"/>
              </w:rPr>
              <w:t>Concerted paradigm</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hideMark/>
          </w:tcPr>
          <w:p w:rsidR="00A034DF" w:rsidRPr="00164EC2" w:rsidRDefault="00A034DF" w:rsidP="006630E7">
            <w:pPr>
              <w:rPr>
                <w:color w:val="000000"/>
                <w:sz w:val="20"/>
                <w:szCs w:val="20"/>
              </w:rPr>
            </w:pPr>
            <w:r w:rsidRPr="00164EC2">
              <w:rPr>
                <w:color w:val="000000"/>
                <w:sz w:val="20"/>
                <w:szCs w:val="20"/>
              </w:rPr>
              <w:t>BA6</w:t>
            </w:r>
          </w:p>
        </w:tc>
        <w:tc>
          <w:tcPr>
            <w:tcW w:w="5580" w:type="dxa"/>
          </w:tcPr>
          <w:p w:rsidR="00A034DF" w:rsidRPr="00164EC2" w:rsidRDefault="00A034DF" w:rsidP="006630E7">
            <w:pPr>
              <w:rPr>
                <w:color w:val="000000"/>
                <w:sz w:val="20"/>
                <w:szCs w:val="20"/>
              </w:rPr>
            </w:pPr>
            <w:r w:rsidRPr="00164EC2">
              <w:rPr>
                <w:color w:val="000000"/>
                <w:sz w:val="20"/>
                <w:szCs w:val="20"/>
              </w:rPr>
              <w:t>Regularization of infrastructure</w:t>
            </w:r>
          </w:p>
        </w:tc>
        <w:tc>
          <w:tcPr>
            <w:tcW w:w="90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c>
          <w:tcPr>
            <w:tcW w:w="1170" w:type="dxa"/>
            <w:shd w:val="clear" w:color="auto" w:fill="auto"/>
            <w:noWrap/>
            <w:vAlign w:val="bottom"/>
            <w:hideMark/>
          </w:tcPr>
          <w:p w:rsidR="00A034DF" w:rsidRPr="00FB6DB0" w:rsidRDefault="00A034DF" w:rsidP="006630E7">
            <w:pPr>
              <w:rPr>
                <w:rFonts w:ascii="Calibri" w:hAnsi="Calibri"/>
                <w:color w:val="000000"/>
                <w:sz w:val="20"/>
                <w:szCs w:val="22"/>
              </w:rPr>
            </w:pPr>
            <w:r w:rsidRPr="00FB6DB0">
              <w:rPr>
                <w:rFonts w:ascii="Calibri" w:hAnsi="Calibri"/>
                <w:color w:val="000000"/>
                <w:sz w:val="20"/>
                <w:szCs w:val="22"/>
              </w:rPr>
              <w:t> </w:t>
            </w: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BA7</w:t>
            </w:r>
          </w:p>
        </w:tc>
        <w:tc>
          <w:tcPr>
            <w:tcW w:w="5580" w:type="dxa"/>
          </w:tcPr>
          <w:p w:rsidR="00A034DF" w:rsidRPr="00164EC2" w:rsidRDefault="00A034DF" w:rsidP="006630E7">
            <w:pPr>
              <w:rPr>
                <w:color w:val="000000"/>
                <w:sz w:val="20"/>
                <w:szCs w:val="20"/>
              </w:rPr>
            </w:pPr>
            <w:r w:rsidRPr="00164EC2">
              <w:rPr>
                <w:color w:val="000000"/>
                <w:sz w:val="20"/>
                <w:szCs w:val="20"/>
              </w:rPr>
              <w:t>Well-defined standards for CPS</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BA8</w:t>
            </w:r>
          </w:p>
        </w:tc>
        <w:tc>
          <w:tcPr>
            <w:tcW w:w="5580" w:type="dxa"/>
          </w:tcPr>
          <w:p w:rsidR="00A034DF" w:rsidRPr="00164EC2" w:rsidRDefault="00A034DF" w:rsidP="006630E7">
            <w:pPr>
              <w:rPr>
                <w:color w:val="000000"/>
                <w:sz w:val="20"/>
                <w:szCs w:val="20"/>
              </w:rPr>
            </w:pPr>
            <w:r w:rsidRPr="00164EC2">
              <w:rPr>
                <w:color w:val="000000"/>
                <w:sz w:val="20"/>
                <w:szCs w:val="20"/>
              </w:rPr>
              <w:t>Lack of sustainability pursuits</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BA9</w:t>
            </w:r>
          </w:p>
        </w:tc>
        <w:tc>
          <w:tcPr>
            <w:tcW w:w="5580" w:type="dxa"/>
          </w:tcPr>
          <w:p w:rsidR="00A034DF" w:rsidRPr="00164EC2" w:rsidRDefault="00A034DF" w:rsidP="006630E7">
            <w:pPr>
              <w:rPr>
                <w:color w:val="000000"/>
                <w:sz w:val="20"/>
                <w:szCs w:val="20"/>
              </w:rPr>
            </w:pPr>
            <w:r w:rsidRPr="00164EC2">
              <w:rPr>
                <w:color w:val="000000"/>
                <w:sz w:val="20"/>
                <w:szCs w:val="20"/>
              </w:rPr>
              <w:t xml:space="preserve">Prone to accidents due to increased use of technologies </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r w:rsidR="00A034DF" w:rsidRPr="00FB6DB0" w:rsidTr="006630E7">
        <w:trPr>
          <w:trHeight w:val="300"/>
          <w:jc w:val="center"/>
        </w:trPr>
        <w:tc>
          <w:tcPr>
            <w:tcW w:w="985" w:type="dxa"/>
            <w:shd w:val="clear" w:color="auto" w:fill="auto"/>
            <w:noWrap/>
          </w:tcPr>
          <w:p w:rsidR="00A034DF" w:rsidRPr="00164EC2" w:rsidRDefault="00A034DF" w:rsidP="006630E7">
            <w:pPr>
              <w:rPr>
                <w:color w:val="000000"/>
                <w:sz w:val="20"/>
                <w:szCs w:val="20"/>
              </w:rPr>
            </w:pPr>
            <w:r w:rsidRPr="00164EC2">
              <w:rPr>
                <w:color w:val="000000"/>
                <w:sz w:val="20"/>
                <w:szCs w:val="20"/>
              </w:rPr>
              <w:t>BA10</w:t>
            </w:r>
          </w:p>
        </w:tc>
        <w:tc>
          <w:tcPr>
            <w:tcW w:w="5580" w:type="dxa"/>
          </w:tcPr>
          <w:p w:rsidR="00A034DF" w:rsidRPr="00164EC2" w:rsidRDefault="00A034DF" w:rsidP="006630E7">
            <w:pPr>
              <w:rPr>
                <w:color w:val="000000"/>
                <w:sz w:val="20"/>
                <w:szCs w:val="20"/>
              </w:rPr>
            </w:pPr>
            <w:r w:rsidRPr="00164EC2">
              <w:rPr>
                <w:color w:val="000000"/>
                <w:sz w:val="20"/>
                <w:szCs w:val="20"/>
              </w:rPr>
              <w:t xml:space="preserve">Financial constraints </w:t>
            </w:r>
          </w:p>
        </w:tc>
        <w:tc>
          <w:tcPr>
            <w:tcW w:w="900" w:type="dxa"/>
            <w:shd w:val="clear" w:color="auto" w:fill="auto"/>
            <w:noWrap/>
            <w:vAlign w:val="bottom"/>
          </w:tcPr>
          <w:p w:rsidR="00A034DF" w:rsidRPr="00FB6DB0" w:rsidRDefault="00A034DF" w:rsidP="006630E7">
            <w:pPr>
              <w:rPr>
                <w:rFonts w:ascii="Calibri" w:hAnsi="Calibri"/>
                <w:color w:val="000000"/>
                <w:sz w:val="20"/>
                <w:szCs w:val="22"/>
              </w:rPr>
            </w:pPr>
          </w:p>
        </w:tc>
        <w:tc>
          <w:tcPr>
            <w:tcW w:w="1170" w:type="dxa"/>
            <w:shd w:val="clear" w:color="auto" w:fill="auto"/>
            <w:noWrap/>
            <w:vAlign w:val="bottom"/>
          </w:tcPr>
          <w:p w:rsidR="00A034DF" w:rsidRPr="00FB6DB0" w:rsidRDefault="00A034DF" w:rsidP="006630E7">
            <w:pPr>
              <w:rPr>
                <w:rFonts w:ascii="Calibri" w:hAnsi="Calibri"/>
                <w:color w:val="000000"/>
                <w:sz w:val="20"/>
                <w:szCs w:val="22"/>
              </w:rPr>
            </w:pPr>
          </w:p>
        </w:tc>
      </w:tr>
    </w:tbl>
    <w:p w:rsidR="00A034DF" w:rsidRPr="00220204" w:rsidRDefault="00A034DF" w:rsidP="00A034DF">
      <w:pPr>
        <w:autoSpaceDE w:val="0"/>
        <w:autoSpaceDN w:val="0"/>
        <w:adjustRightInd w:val="0"/>
        <w:spacing w:line="360" w:lineRule="auto"/>
        <w:jc w:val="center"/>
        <w:rPr>
          <w:b/>
          <w:szCs w:val="20"/>
        </w:rPr>
      </w:pPr>
    </w:p>
    <w:p w:rsidR="00A034DF" w:rsidRPr="00220204" w:rsidRDefault="00A034DF" w:rsidP="00A034DF">
      <w:pPr>
        <w:rPr>
          <w:b/>
        </w:rPr>
      </w:pPr>
    </w:p>
    <w:p w:rsidR="00A034DF" w:rsidRDefault="00A034DF" w:rsidP="00A034DF">
      <w:pPr>
        <w:rPr>
          <w:b/>
        </w:rPr>
      </w:pPr>
    </w:p>
    <w:p w:rsidR="00A034DF" w:rsidRPr="003D6DF6" w:rsidRDefault="00A034DF" w:rsidP="003D6DF6">
      <w:pPr>
        <w:ind w:right="-331"/>
        <w:jc w:val="both"/>
      </w:pPr>
    </w:p>
    <w:sectPr w:rsidR="00A034DF" w:rsidRPr="003D6D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AC4" w:rsidRDefault="00F44AC4" w:rsidP="008C5F01">
      <w:r>
        <w:separator/>
      </w:r>
    </w:p>
  </w:endnote>
  <w:endnote w:type="continuationSeparator" w:id="0">
    <w:p w:rsidR="00F44AC4" w:rsidRDefault="00F44AC4" w:rsidP="008C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AC4" w:rsidRDefault="00F44AC4" w:rsidP="008C5F01">
      <w:r>
        <w:separator/>
      </w:r>
    </w:p>
  </w:footnote>
  <w:footnote w:type="continuationSeparator" w:id="0">
    <w:p w:rsidR="00F44AC4" w:rsidRDefault="00F44AC4" w:rsidP="008C5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rsidP="008C5F01">
    <w:pPr>
      <w:pStyle w:val="Header"/>
      <w:jc w:val="center"/>
    </w:pPr>
    <w:bookmarkStart w:id="0" w:name="_GoBack"/>
    <w:r>
      <w:t>Supplementary File 1</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1" w:rsidRDefault="008C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D093C"/>
    <w:multiLevelType w:val="multilevel"/>
    <w:tmpl w:val="9ADC76A0"/>
    <w:lvl w:ilvl="0">
      <w:start w:val="1"/>
      <w:numFmt w:val="decimal"/>
      <w:lvlText w:val="%1."/>
      <w:lvlJc w:val="left"/>
      <w:pPr>
        <w:ind w:left="360"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7C"/>
    <w:rsid w:val="0002468D"/>
    <w:rsid w:val="000A29AD"/>
    <w:rsid w:val="000C6424"/>
    <w:rsid w:val="0011243D"/>
    <w:rsid w:val="00164EC2"/>
    <w:rsid w:val="002703D8"/>
    <w:rsid w:val="002B0565"/>
    <w:rsid w:val="003D1903"/>
    <w:rsid w:val="003D6DF6"/>
    <w:rsid w:val="00425C26"/>
    <w:rsid w:val="00451F94"/>
    <w:rsid w:val="004D625D"/>
    <w:rsid w:val="004F70C1"/>
    <w:rsid w:val="00584FF3"/>
    <w:rsid w:val="00594C69"/>
    <w:rsid w:val="00596CD7"/>
    <w:rsid w:val="007B72D9"/>
    <w:rsid w:val="007D04E1"/>
    <w:rsid w:val="00872F47"/>
    <w:rsid w:val="008775CE"/>
    <w:rsid w:val="0089496E"/>
    <w:rsid w:val="008C5F01"/>
    <w:rsid w:val="00992D38"/>
    <w:rsid w:val="00A034DF"/>
    <w:rsid w:val="00A475EC"/>
    <w:rsid w:val="00A50AE0"/>
    <w:rsid w:val="00BC31F6"/>
    <w:rsid w:val="00CF1112"/>
    <w:rsid w:val="00D9627C"/>
    <w:rsid w:val="00EC5F40"/>
    <w:rsid w:val="00ED74B9"/>
    <w:rsid w:val="00F44AC4"/>
    <w:rsid w:val="00F7584B"/>
    <w:rsid w:val="00FA1509"/>
    <w:rsid w:val="00FD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D13B84-C457-4BC1-BC6C-A364FB66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27C"/>
    <w:pPr>
      <w:ind w:left="720"/>
      <w:contextualSpacing/>
    </w:pPr>
  </w:style>
  <w:style w:type="table" w:styleId="TableGrid">
    <w:name w:val="Table Grid"/>
    <w:basedOn w:val="TableNormal"/>
    <w:uiPriority w:val="59"/>
    <w:rsid w:val="00D962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9627C"/>
  </w:style>
  <w:style w:type="paragraph" w:styleId="NoSpacing">
    <w:name w:val="No Spacing"/>
    <w:uiPriority w:val="1"/>
    <w:qFormat/>
    <w:rsid w:val="00D9627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C5F01"/>
    <w:pPr>
      <w:tabs>
        <w:tab w:val="center" w:pos="4513"/>
        <w:tab w:val="right" w:pos="9026"/>
      </w:tabs>
    </w:pPr>
  </w:style>
  <w:style w:type="character" w:customStyle="1" w:styleId="HeaderChar">
    <w:name w:val="Header Char"/>
    <w:basedOn w:val="DefaultParagraphFont"/>
    <w:link w:val="Header"/>
    <w:uiPriority w:val="99"/>
    <w:rsid w:val="008C5F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F01"/>
    <w:pPr>
      <w:tabs>
        <w:tab w:val="center" w:pos="4513"/>
        <w:tab w:val="right" w:pos="9026"/>
      </w:tabs>
    </w:pPr>
  </w:style>
  <w:style w:type="character" w:customStyle="1" w:styleId="FooterChar">
    <w:name w:val="Footer Char"/>
    <w:basedOn w:val="DefaultParagraphFont"/>
    <w:link w:val="Footer"/>
    <w:uiPriority w:val="99"/>
    <w:rsid w:val="008C5F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72391">
      <w:bodyDiv w:val="1"/>
      <w:marLeft w:val="0"/>
      <w:marRight w:val="0"/>
      <w:marTop w:val="0"/>
      <w:marBottom w:val="0"/>
      <w:divBdr>
        <w:top w:val="none" w:sz="0" w:space="0" w:color="auto"/>
        <w:left w:val="none" w:sz="0" w:space="0" w:color="auto"/>
        <w:bottom w:val="none" w:sz="0" w:space="0" w:color="auto"/>
        <w:right w:val="none" w:sz="0" w:space="0" w:color="auto"/>
      </w:divBdr>
    </w:div>
    <w:div w:id="17430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9332</Words>
  <Characters>53194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 Emerald</cp:lastModifiedBy>
  <cp:revision>8</cp:revision>
  <dcterms:created xsi:type="dcterms:W3CDTF">2024-07-05T05:39:00Z</dcterms:created>
  <dcterms:modified xsi:type="dcterms:W3CDTF">2026-01-19T14:07:00Z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2f571f9d88390fd85d07e8711ff6b26edef9735c8f36be9ba84af38378aa120d</vt:lpwstr>
  </property>
</Properties>
</file>