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E88" w:rsidRDefault="000242ED">
      <w:pPr>
        <w:rPr>
          <w:lang w:val="en-US"/>
        </w:rPr>
      </w:pPr>
    </w:p>
    <w:p w:rsidR="000242ED" w:rsidRDefault="000242ED">
      <w:pPr>
        <w:rPr>
          <w:lang w:val="en-US"/>
        </w:rPr>
      </w:pPr>
    </w:p>
    <w:p w:rsidR="000242ED" w:rsidRDefault="000242ED" w:rsidP="000242ED">
      <w:pPr>
        <w:spacing w:after="0" w:line="360" w:lineRule="auto"/>
        <w:jc w:val="center"/>
        <w:rPr>
          <w:rFonts w:ascii="Times New Roman" w:eastAsia="Times New Roman" w:hAnsi="Times New Roman" w:cs="Times New Roman"/>
          <w:b/>
          <w:bCs/>
          <w:sz w:val="24"/>
          <w:szCs w:val="24"/>
          <w:lang w:eastAsia="en-IN"/>
        </w:rPr>
      </w:pPr>
      <w:proofErr w:type="spellStart"/>
      <w:r>
        <w:rPr>
          <w:rFonts w:ascii="Times New Roman" w:eastAsia="Times New Roman" w:hAnsi="Times New Roman" w:cs="Times New Roman"/>
          <w:b/>
          <w:bCs/>
          <w:sz w:val="24"/>
          <w:szCs w:val="24"/>
          <w:lang w:eastAsia="en-IN"/>
        </w:rPr>
        <w:t>Appendix</w:t>
      </w:r>
      <w:proofErr w:type="gramStart"/>
      <w:r>
        <w:rPr>
          <w:rFonts w:ascii="Times New Roman" w:eastAsia="Times New Roman" w:hAnsi="Times New Roman" w:cs="Times New Roman"/>
          <w:b/>
          <w:bCs/>
          <w:sz w:val="24"/>
          <w:szCs w:val="24"/>
          <w:lang w:eastAsia="en-IN"/>
        </w:rPr>
        <w:t>:A</w:t>
      </w:r>
      <w:proofErr w:type="spellEnd"/>
      <w:proofErr w:type="gramEnd"/>
      <w:r>
        <w:rPr>
          <w:rFonts w:ascii="Times New Roman" w:eastAsia="Times New Roman" w:hAnsi="Times New Roman" w:cs="Times New Roman"/>
          <w:b/>
          <w:bCs/>
          <w:sz w:val="24"/>
          <w:szCs w:val="24"/>
          <w:lang w:eastAsia="en-IN"/>
        </w:rPr>
        <w:t xml:space="preserve"> </w:t>
      </w:r>
    </w:p>
    <w:p w:rsidR="000242ED" w:rsidRDefault="000242ED" w:rsidP="000242ED">
      <w:pPr>
        <w:spacing w:after="0" w:line="360" w:lineRule="auto"/>
        <w:jc w:val="center"/>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Comprehensive Audit Trial for Systematic Literature Review</w:t>
      </w:r>
    </w:p>
    <w:p w:rsidR="000242ED" w:rsidRDefault="000242ED" w:rsidP="000242ED">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The studies were selected from well-reputed, peer-reviewed journals and were identified using keywords such as Green Lean Six Sigma, Industry 4.0, Critical Success Factors, sustainability, and the integration of GLSS and Industry 4.0 in the manufacturing contexts. Relevant articles were retrieved from major academic databases, including Springer, Elsevier, Emerald, Science Direct, Scopus, and Web of Science. The search was limited to peer-reviewed journal articles published in English between 2000 and 2024. </w:t>
      </w:r>
      <w:r>
        <w:rPr>
          <w:rFonts w:ascii="Times New Roman" w:hAnsi="Times New Roman" w:cs="Times New Roman"/>
          <w:sz w:val="24"/>
          <w:szCs w:val="24"/>
          <w:lang w:val="en-US"/>
        </w:rPr>
        <w:t xml:space="preserve">The initial database search resulted in 600 articles. Following preliminary screening, 250 articles were excluded as they did not directly address CSFs within the scope of the review. Consequently, 350 articles proceeded to the screening stage, where 80 were excluded based on their titles and abstracts. Full-text versions of the remaining 270 articles were sought; however, 90 full-text articles could not be retrieved. The full texts of 180articles were subsequently assessed for eligibility. At this stage, 110 articles were excluded because they were conference papers or primarily focused on the theoretical dimensions of GLSS and I4.0. Ultimately, 70 articles met the inclusion criteria and were selected for the final review.  </w:t>
      </w:r>
    </w:p>
    <w:p w:rsidR="000242ED" w:rsidRPr="00815275" w:rsidRDefault="000242ED" w:rsidP="000242ED">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Based on the selected studies, twenty-seven CSFs were identified and subsequently validated through consultations with industry professionals. Prior to the application of analytical techniques such as GRA and BWM, a reliability analysis was conducted using SPSS version 25.0. After entering the survey responses into SPSS, Cronbach’s alpha (α) and corrected item, total correlations (CITC) were computed. These values were compared against established threshold criteria to evaluate the internal consistency and reliability of the survey instrument. </w:t>
      </w:r>
      <w:r w:rsidRPr="00AB2349">
        <w:rPr>
          <w:rFonts w:ascii="Times New Roman" w:hAnsi="Times New Roman" w:cs="Times New Roman"/>
          <w:sz w:val="24"/>
          <w:szCs w:val="24"/>
          <w:lang w:val="en-US"/>
        </w:rPr>
        <w:t xml:space="preserve"> As per </w:t>
      </w:r>
      <w:r w:rsidRPr="00AB2349">
        <w:rPr>
          <w:rFonts w:ascii="Times New Roman" w:hAnsi="Times New Roman" w:cs="Times New Roman"/>
          <w:sz w:val="24"/>
          <w:szCs w:val="24"/>
          <w:lang w:val="en-US"/>
        </w:rPr>
        <w:fldChar w:fldCharType="begin" w:fldLock="1"/>
      </w:r>
      <w:r w:rsidRPr="00AB2349">
        <w:rPr>
          <w:rFonts w:ascii="Times New Roman" w:hAnsi="Times New Roman" w:cs="Times New Roman"/>
          <w:sz w:val="24"/>
          <w:szCs w:val="24"/>
          <w:lang w:val="en-US"/>
        </w:rPr>
        <w:instrText>ADDIN CSL_CITATION {"citationItems":[{"id":"ITEM-1","itemData":{"DOI":"10.1016/j.clinph.2008.07.219","ISSN":"13882457","PMID":"18768347","abstract":"Objective: Multiple point stimulation (MPS) is a widely used technique to estimate the number of motor units in a muscle. Test-retest reliability must be high for the motor unit number estimates to be clinically useful. We hypothesized that the reliability of MPS can be improved by using a long stimulus pulse width (1 ms), in addition to the standard 0.05 ms pulse width. Methods: Median nerve innervated thenar muscles were examined in 11 young subjects, 27 ± 3 (mean ±SD) years old and in 5 elderly subjects, 71 ± 11 years old. The experimenter conducted the studies twice on each subject. Results: Test-retest reliability, using the modified MPS technique, was substantially higher (Cronbach's α of 0.88) than using the standard method (Cronbach's α of 0.80) in the young subjects. In contrast, for the elderly subjects the test-retest reliability of MUNE was high for both the modified technique (Cronbach's α of 0.96) and the standard technique (Cronbach's α of 0.99). Conclusions: Test-retest reliability of MPS can be significantly improved by using a long stimulus pulse width and the standard stimulus pulse width in younger subjects. However, this is not necessary in elderly subjects. Significance: The greater reliability of this modified MPS method should enhance its clinical utility. © 2008 International Federation of Clinical Neurophysiology.","author":[{"dropping-particle":"","family":"Porter","given":"Cheryl L.","non-dropping-particle":"","parse-names":false,"suffix":""},{"dropping-particle":"","family":"Alvarez","given":"Arodi","non-dropping-particle":"","parse-names":false,"suffix":""},{"dropping-particle":"","family":"Jones","given":"Kelvin E.","non-dropping-particle":"","parse-names":false,"suffix":""},{"dropping-particle":"","family":"Ming Chan","given":"K.","non-dropping-particle":"","parse-names":false,"suffix":""}],"container-title":"Clinical Neurophysiology","id":"ITEM-1","issue":"10","issued":{"date-parts":[["2008"]]},"page":"2287-2290","title":"Test-retest reliability of a modified multiple point stimulation technique for motor unit number estimation","type":"article-journal","volume":"119"},"uris":["http://www.mendeley.com/documents/?uuid=1e1daaf1-6151-4e97-befd-3b696c94b802"]}],"mendeley":{"formattedCitation":"(Porter et al., 2008)","manualFormatting":"Porter et al. (2008)","plainTextFormattedCitation":"(Porter et al., 2008)","previouslyFormattedCitation":"(Porter et al., 2008)"},"properties":{"noteIndex":0},"schema":"https://github.com/citation-style-language/schema/raw/master/csl-citation.json"}</w:instrText>
      </w:r>
      <w:r w:rsidRPr="00AB2349">
        <w:rPr>
          <w:rFonts w:ascii="Times New Roman" w:hAnsi="Times New Roman" w:cs="Times New Roman"/>
          <w:sz w:val="24"/>
          <w:szCs w:val="24"/>
          <w:lang w:val="en-US"/>
        </w:rPr>
        <w:fldChar w:fldCharType="separate"/>
      </w:r>
      <w:r w:rsidRPr="00AB2349">
        <w:rPr>
          <w:rFonts w:ascii="Times New Roman" w:hAnsi="Times New Roman" w:cs="Times New Roman"/>
          <w:noProof/>
          <w:sz w:val="24"/>
          <w:szCs w:val="24"/>
          <w:lang w:val="en-US"/>
        </w:rPr>
        <w:t>Porter et al. (2008)</w:t>
      </w:r>
      <w:r w:rsidRPr="00AB2349">
        <w:rPr>
          <w:rFonts w:ascii="Times New Roman" w:hAnsi="Times New Roman" w:cs="Times New Roman"/>
          <w:sz w:val="24"/>
          <w:szCs w:val="24"/>
          <w:lang w:val="en-US"/>
        </w:rPr>
        <w:fldChar w:fldCharType="end"/>
      </w:r>
      <w:r w:rsidRPr="00AB2349">
        <w:rPr>
          <w:rFonts w:ascii="Times New Roman" w:hAnsi="Times New Roman" w:cs="Times New Roman"/>
          <w:sz w:val="24"/>
          <w:szCs w:val="24"/>
          <w:lang w:val="en-US"/>
        </w:rPr>
        <w:t>, items with an α value greater than 0.7 are considered consistent and reliable. Additionally, a CITC value exceeding 0.3 indicates that an item is associated with a composite score of all items within the same set. In this reliability test, 4 Critical Success Factors had CITC values below 0.3, meaning these</w:t>
      </w:r>
      <w:r>
        <w:rPr>
          <w:rFonts w:ascii="Times New Roman" w:hAnsi="Times New Roman" w:cs="Times New Roman"/>
          <w:sz w:val="24"/>
          <w:szCs w:val="24"/>
          <w:lang w:val="en-US"/>
        </w:rPr>
        <w:t xml:space="preserve"> </w:t>
      </w:r>
      <w:r w:rsidRPr="00AB2349">
        <w:rPr>
          <w:rFonts w:ascii="Times New Roman" w:eastAsia="Times New Roman" w:hAnsi="Times New Roman" w:cs="Times New Roman"/>
          <w:color w:val="000000"/>
          <w:kern w:val="0"/>
          <w:sz w:val="24"/>
          <w:szCs w:val="24"/>
          <w:lang w:eastAsia="en-IN" w:bidi="hi-IN"/>
          <w14:ligatures w14:val="none"/>
        </w:rPr>
        <w:t>did not exhibit a similar construct with the other 23 items. As a result, 4 CSFs were excluded from the previously identified CSFs. Ultimately, a total of 23 CSFs were selected for further study and analysis.</w:t>
      </w:r>
    </w:p>
    <w:p w:rsidR="000242ED" w:rsidRDefault="000242ED" w:rsidP="000242ED">
      <w:pPr>
        <w:spacing w:after="0" w:line="360" w:lineRule="auto"/>
        <w:jc w:val="both"/>
        <w:rPr>
          <w:rFonts w:ascii="Times New Roman" w:eastAsia="Times New Roman" w:hAnsi="Times New Roman"/>
          <w:b/>
          <w:bCs/>
          <w:sz w:val="24"/>
          <w:szCs w:val="24"/>
          <w:lang w:eastAsia="en-IN"/>
        </w:rPr>
      </w:pPr>
    </w:p>
    <w:p w:rsidR="000242ED" w:rsidRDefault="000242ED" w:rsidP="000242ED">
      <w:pPr>
        <w:spacing w:after="0" w:line="360" w:lineRule="auto"/>
        <w:jc w:val="both"/>
        <w:rPr>
          <w:rFonts w:ascii="Times New Roman" w:eastAsia="Times New Roman" w:hAnsi="Times New Roman"/>
          <w:b/>
          <w:bCs/>
          <w:sz w:val="24"/>
          <w:szCs w:val="24"/>
          <w:lang w:eastAsia="en-IN"/>
        </w:rPr>
      </w:pPr>
    </w:p>
    <w:p w:rsidR="000242ED" w:rsidRDefault="000242ED" w:rsidP="000242ED">
      <w:pPr>
        <w:spacing w:after="0" w:line="360" w:lineRule="auto"/>
        <w:jc w:val="both"/>
        <w:rPr>
          <w:rFonts w:ascii="Times New Roman" w:eastAsia="Times New Roman" w:hAnsi="Times New Roman"/>
          <w:b/>
          <w:bCs/>
          <w:sz w:val="24"/>
          <w:szCs w:val="24"/>
          <w:lang w:eastAsia="en-IN"/>
        </w:rPr>
      </w:pPr>
    </w:p>
    <w:p w:rsidR="000242ED" w:rsidRDefault="000242ED" w:rsidP="000242ED">
      <w:pPr>
        <w:spacing w:after="0" w:line="360" w:lineRule="auto"/>
        <w:jc w:val="both"/>
        <w:rPr>
          <w:rFonts w:ascii="Times New Roman" w:eastAsia="Times New Roman" w:hAnsi="Times New Roman"/>
          <w:b/>
          <w:bCs/>
          <w:sz w:val="24"/>
          <w:szCs w:val="24"/>
          <w:lang w:eastAsia="en-IN"/>
        </w:rPr>
      </w:pPr>
    </w:p>
    <w:p w:rsidR="000242ED" w:rsidRDefault="000242ED" w:rsidP="000242ED">
      <w:pPr>
        <w:spacing w:after="0" w:line="360" w:lineRule="auto"/>
        <w:jc w:val="both"/>
        <w:rPr>
          <w:rFonts w:ascii="Times New Roman" w:eastAsia="Times New Roman" w:hAnsi="Times New Roman"/>
          <w:b/>
          <w:bCs/>
          <w:sz w:val="24"/>
          <w:szCs w:val="24"/>
          <w:lang w:eastAsia="en-IN"/>
        </w:rPr>
      </w:pPr>
    </w:p>
    <w:p w:rsidR="000242ED" w:rsidRDefault="000242ED" w:rsidP="000242ED">
      <w:pPr>
        <w:spacing w:after="0" w:line="360" w:lineRule="auto"/>
        <w:jc w:val="both"/>
        <w:rPr>
          <w:rFonts w:ascii="Times New Roman" w:eastAsia="Times New Roman" w:hAnsi="Times New Roman"/>
          <w:b/>
          <w:bCs/>
          <w:sz w:val="24"/>
          <w:szCs w:val="24"/>
          <w:lang w:eastAsia="en-IN"/>
        </w:rPr>
      </w:pPr>
    </w:p>
    <w:p w:rsidR="000242ED" w:rsidRDefault="000242ED" w:rsidP="000242ED">
      <w:pPr>
        <w:spacing w:after="0" w:line="360" w:lineRule="auto"/>
        <w:jc w:val="center"/>
        <w:rPr>
          <w:rFonts w:ascii="Times New Roman" w:eastAsia="Times New Roman" w:hAnsi="Times New Roman" w:cs="Times New Roman"/>
          <w:b/>
          <w:bCs/>
          <w:sz w:val="24"/>
          <w:szCs w:val="24"/>
          <w:lang w:eastAsia="en-IN"/>
        </w:rPr>
      </w:pPr>
      <w:proofErr w:type="spellStart"/>
      <w:r>
        <w:rPr>
          <w:rFonts w:ascii="Times New Roman" w:eastAsia="Times New Roman" w:hAnsi="Times New Roman" w:cs="Times New Roman"/>
          <w:b/>
          <w:bCs/>
          <w:sz w:val="24"/>
          <w:szCs w:val="24"/>
          <w:lang w:eastAsia="en-IN"/>
        </w:rPr>
        <w:t>Appendix</w:t>
      </w:r>
      <w:proofErr w:type="gramStart"/>
      <w:r>
        <w:rPr>
          <w:rFonts w:ascii="Times New Roman" w:eastAsia="Times New Roman" w:hAnsi="Times New Roman" w:cs="Times New Roman"/>
          <w:b/>
          <w:bCs/>
          <w:sz w:val="24"/>
          <w:szCs w:val="24"/>
          <w:lang w:eastAsia="en-IN"/>
        </w:rPr>
        <w:t>:B</w:t>
      </w:r>
      <w:proofErr w:type="spellEnd"/>
      <w:proofErr w:type="gramEnd"/>
    </w:p>
    <w:p w:rsidR="000242ED" w:rsidRDefault="000242ED" w:rsidP="000242ED">
      <w:pPr>
        <w:spacing w:after="0" w:line="360" w:lineRule="auto"/>
        <w:jc w:val="both"/>
        <w:rPr>
          <w:rFonts w:ascii="Times New Roman" w:hAnsi="Times New Roman" w:cs="Times New Roman"/>
          <w:b/>
          <w:bCs/>
          <w:sz w:val="24"/>
          <w:szCs w:val="24"/>
        </w:rPr>
      </w:pPr>
      <w:r w:rsidRPr="003205BC">
        <w:rPr>
          <w:rFonts w:ascii="Times New Roman" w:hAnsi="Times New Roman" w:cs="Times New Roman"/>
          <w:b/>
          <w:bCs/>
          <w:sz w:val="24"/>
          <w:szCs w:val="24"/>
        </w:rPr>
        <w:t xml:space="preserve">Questionnaire google form link and responses received in online mode and offline mode </w:t>
      </w:r>
    </w:p>
    <w:p w:rsidR="000242ED" w:rsidRDefault="000242ED" w:rsidP="000242ED">
      <w:pPr>
        <w:spacing w:after="0" w:line="360" w:lineRule="auto"/>
        <w:jc w:val="both"/>
        <w:rPr>
          <w:rFonts w:ascii="Times New Roman" w:hAnsi="Times New Roman"/>
          <w:color w:val="000000" w:themeColor="text1"/>
          <w:sz w:val="24"/>
          <w:szCs w:val="24"/>
        </w:rPr>
      </w:pPr>
      <w:bookmarkStart w:id="0" w:name="_Hlk220417584"/>
      <w:r w:rsidRPr="00DE5995">
        <w:rPr>
          <w:rFonts w:ascii="Times New Roman" w:hAnsi="Times New Roman"/>
          <w:sz w:val="24"/>
          <w:szCs w:val="24"/>
        </w:rPr>
        <w:t xml:space="preserve">During the initial phase of our study, we examined a range of papers and research conducted by various scholars in the field to identify the </w:t>
      </w:r>
      <w:r>
        <w:rPr>
          <w:rFonts w:ascii="Times New Roman" w:hAnsi="Times New Roman"/>
          <w:sz w:val="24"/>
          <w:szCs w:val="24"/>
        </w:rPr>
        <w:t>CSFs</w:t>
      </w:r>
      <w:r w:rsidRPr="00DE5995">
        <w:rPr>
          <w:rFonts w:ascii="Times New Roman" w:hAnsi="Times New Roman"/>
          <w:sz w:val="24"/>
          <w:szCs w:val="24"/>
        </w:rPr>
        <w:t xml:space="preserve"> facing</w:t>
      </w:r>
      <w:r>
        <w:rPr>
          <w:rFonts w:ascii="Times New Roman" w:hAnsi="Times New Roman"/>
          <w:sz w:val="24"/>
          <w:szCs w:val="24"/>
        </w:rPr>
        <w:t xml:space="preserve"> manufacturing industries</w:t>
      </w:r>
      <w:r w:rsidRPr="00DE5995">
        <w:rPr>
          <w:rFonts w:ascii="Times New Roman" w:hAnsi="Times New Roman"/>
          <w:sz w:val="24"/>
          <w:szCs w:val="24"/>
        </w:rPr>
        <w:t xml:space="preserve"> within the Indian sector. Through this analysis, we identified</w:t>
      </w:r>
      <w:r>
        <w:rPr>
          <w:rFonts w:ascii="Times New Roman" w:hAnsi="Times New Roman"/>
          <w:sz w:val="24"/>
          <w:szCs w:val="24"/>
        </w:rPr>
        <w:t xml:space="preserve"> Twenty-three CSFs</w:t>
      </w:r>
      <w:r w:rsidRPr="00DE5995">
        <w:rPr>
          <w:rFonts w:ascii="Times New Roman" w:hAnsi="Times New Roman"/>
          <w:sz w:val="24"/>
          <w:szCs w:val="24"/>
        </w:rPr>
        <w:t xml:space="preserve">. </w:t>
      </w:r>
      <w:r w:rsidRPr="00AB2349">
        <w:rPr>
          <w:rFonts w:ascii="Times New Roman" w:hAnsi="Times New Roman"/>
          <w:sz w:val="24"/>
          <w:szCs w:val="24"/>
        </w:rPr>
        <w:t xml:space="preserve">Following this, we created a questionnaire and distributed it to industry experts, scholars, academics, and mid to high-level professionals across different manufacturing sectors in India. </w:t>
      </w:r>
      <w:r w:rsidRPr="00AB2349">
        <w:rPr>
          <w:rFonts w:ascii="Times New Roman" w:hAnsi="Times New Roman"/>
          <w:color w:val="000000" w:themeColor="text1"/>
          <w:sz w:val="24"/>
          <w:szCs w:val="24"/>
        </w:rPr>
        <w:t>The survey utilized a rating scale from 1 to 5, where 5 indicated the most significant CSFs to be prioritized first, and 1 indicated the least significant CSFs. Initially, approximately 240 manufacturing experts from Indian industries were contacted through email, phone, and in-person visits to explain the integration of GLSS and the I4.0 concept within an organization. After extensive discussions with the</w:t>
      </w:r>
      <w:r>
        <w:rPr>
          <w:rFonts w:ascii="Times New Roman" w:hAnsi="Times New Roman"/>
          <w:color w:val="000000" w:themeColor="text1"/>
          <w:sz w:val="24"/>
          <w:szCs w:val="24"/>
        </w:rPr>
        <w:t xml:space="preserve"> industrial experts</w:t>
      </w:r>
      <w:r w:rsidRPr="00AB2349">
        <w:rPr>
          <w:rFonts w:ascii="Times New Roman" w:hAnsi="Times New Roman"/>
          <w:color w:val="000000" w:themeColor="text1"/>
          <w:sz w:val="24"/>
          <w:szCs w:val="24"/>
        </w:rPr>
        <w:t>, 130 of 240 industrial experts expressed interest in participating in the study. A total of 130 questionnaires were collected, and 115 of them were chosen for analysis.</w:t>
      </w:r>
      <w:r>
        <w:rPr>
          <w:rFonts w:ascii="Times New Roman" w:hAnsi="Times New Roman" w:cs="Times New Roman"/>
          <w:sz w:val="24"/>
          <w:szCs w:val="24"/>
          <w:lang w:val="en-US"/>
        </w:rPr>
        <w:t xml:space="preserve"> </w:t>
      </w:r>
      <w:r w:rsidRPr="001A0A07">
        <w:rPr>
          <w:rFonts w:ascii="Times New Roman" w:hAnsi="Times New Roman"/>
          <w:color w:val="000000" w:themeColor="text1"/>
          <w:sz w:val="24"/>
          <w:szCs w:val="24"/>
        </w:rPr>
        <w:t>The professionals selected all had over 1</w:t>
      </w:r>
      <w:r>
        <w:rPr>
          <w:rFonts w:ascii="Times New Roman" w:hAnsi="Times New Roman"/>
          <w:color w:val="000000" w:themeColor="text1"/>
          <w:sz w:val="24"/>
          <w:szCs w:val="24"/>
        </w:rPr>
        <w:t>8</w:t>
      </w:r>
      <w:r w:rsidRPr="001A0A07">
        <w:rPr>
          <w:rFonts w:ascii="Times New Roman" w:hAnsi="Times New Roman"/>
          <w:color w:val="000000" w:themeColor="text1"/>
          <w:sz w:val="24"/>
          <w:szCs w:val="24"/>
        </w:rPr>
        <w:t xml:space="preserve"> years of experience in their field.</w:t>
      </w:r>
    </w:p>
    <w:p w:rsidR="000242ED" w:rsidRPr="00840BA6" w:rsidRDefault="000242ED" w:rsidP="000242ED">
      <w:pPr>
        <w:spacing w:after="0" w:line="360" w:lineRule="auto"/>
        <w:jc w:val="both"/>
        <w:rPr>
          <w:rFonts w:ascii="Times New Roman" w:hAnsi="Times New Roman"/>
          <w:b/>
          <w:bCs/>
          <w:color w:val="000000" w:themeColor="text1"/>
          <w:sz w:val="24"/>
          <w:szCs w:val="24"/>
        </w:rPr>
      </w:pPr>
      <w:r w:rsidRPr="00840BA6">
        <w:rPr>
          <w:rFonts w:ascii="Times New Roman" w:hAnsi="Times New Roman"/>
          <w:b/>
          <w:bCs/>
          <w:color w:val="000000" w:themeColor="text1"/>
          <w:sz w:val="24"/>
          <w:szCs w:val="24"/>
        </w:rPr>
        <w:t>(1</w:t>
      </w:r>
      <w:r>
        <w:rPr>
          <w:rFonts w:ascii="Times New Roman" w:hAnsi="Times New Roman"/>
          <w:b/>
          <w:bCs/>
          <w:color w:val="000000" w:themeColor="text1"/>
          <w:sz w:val="24"/>
          <w:szCs w:val="24"/>
        </w:rPr>
        <w:t xml:space="preserve">) </w:t>
      </w:r>
      <w:r w:rsidRPr="00840BA6">
        <w:rPr>
          <w:rFonts w:ascii="Times New Roman" w:hAnsi="Times New Roman"/>
          <w:b/>
          <w:bCs/>
          <w:color w:val="000000" w:themeColor="text1"/>
          <w:sz w:val="24"/>
          <w:szCs w:val="24"/>
        </w:rPr>
        <w:t xml:space="preserve">Questionnaire google form link: </w:t>
      </w:r>
    </w:p>
    <w:p w:rsidR="000242ED" w:rsidRDefault="000242ED" w:rsidP="000242ED">
      <w:pPr>
        <w:spacing w:after="0" w:line="360" w:lineRule="auto"/>
        <w:jc w:val="both"/>
        <w:rPr>
          <w:rFonts w:ascii="Times New Roman" w:hAnsi="Times New Roman"/>
          <w:color w:val="000000" w:themeColor="text1"/>
          <w:sz w:val="24"/>
          <w:szCs w:val="24"/>
        </w:rPr>
      </w:pPr>
      <w:hyperlink r:id="rId5" w:history="1">
        <w:r w:rsidRPr="00DD7D2C">
          <w:rPr>
            <w:rStyle w:val="Hyperlink"/>
            <w:rFonts w:ascii="Times New Roman" w:hAnsi="Times New Roman"/>
            <w:sz w:val="24"/>
            <w:szCs w:val="24"/>
          </w:rPr>
          <w:t>https://docs.google.com/forms/d/e/1FAIpQLSdzAYthars9Re94wpCInuXztZQskiUt-aJYrHCytUXeEIgTcA/viewform?usp=preview</w:t>
        </w:r>
      </w:hyperlink>
    </w:p>
    <w:p w:rsidR="000242ED" w:rsidRPr="003B2C94" w:rsidRDefault="000242ED" w:rsidP="000242ED">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Pr="00840BA6">
        <w:rPr>
          <w:rFonts w:ascii="Times New Roman" w:hAnsi="Times New Roman" w:cs="Times New Roman"/>
          <w:b/>
          <w:bCs/>
          <w:sz w:val="24"/>
          <w:szCs w:val="24"/>
        </w:rPr>
        <w:t>Responses received through questionnaire google form link</w:t>
      </w:r>
      <w:r>
        <w:rPr>
          <w:rFonts w:ascii="Times New Roman" w:hAnsi="Times New Roman" w:cs="Times New Roman"/>
          <w:b/>
          <w:bCs/>
          <w:sz w:val="24"/>
          <w:szCs w:val="24"/>
        </w:rPr>
        <w:t xml:space="preserve"> (Excel Sheet Link):</w:t>
      </w:r>
    </w:p>
    <w:p w:rsidR="000242ED" w:rsidRPr="00840BA6" w:rsidRDefault="000242ED" w:rsidP="000242ED">
      <w:pPr>
        <w:spacing w:after="0" w:line="360" w:lineRule="auto"/>
        <w:jc w:val="center"/>
        <w:rPr>
          <w:rFonts w:ascii="Times New Roman" w:hAnsi="Times New Roman" w:cs="Times New Roman"/>
          <w:b/>
          <w:bCs/>
          <w:sz w:val="24"/>
          <w:szCs w:val="24"/>
        </w:rPr>
      </w:pPr>
      <w:r w:rsidRPr="00840BA6">
        <w:rPr>
          <w:rFonts w:ascii="Times New Roman" w:hAnsi="Times New Roman" w:cs="Times New Roman"/>
          <w:sz w:val="24"/>
          <w:szCs w:val="24"/>
        </w:rPr>
        <w:object w:dxaOrig="1520" w:dyaOrig="9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48.75pt" o:ole="">
            <v:imagedata r:id="rId6" o:title=""/>
          </v:shape>
          <o:OLEObject Type="Embed" ProgID="Excel.Sheet.12" ShapeID="_x0000_i1025" DrawAspect="Icon" ObjectID="_1835176214" r:id="rId7"/>
        </w:object>
      </w:r>
    </w:p>
    <w:p w:rsidR="000242ED" w:rsidRDefault="000242ED" w:rsidP="000242ED">
      <w:pPr>
        <w:spacing w:after="0" w:line="360" w:lineRule="auto"/>
        <w:jc w:val="both"/>
        <w:rPr>
          <w:rFonts w:ascii="Times New Roman" w:hAnsi="Times New Roman"/>
          <w:b/>
          <w:bCs/>
          <w:color w:val="000000" w:themeColor="text1"/>
          <w:sz w:val="24"/>
          <w:szCs w:val="24"/>
        </w:rPr>
      </w:pPr>
      <w:r w:rsidRPr="001F540F">
        <w:rPr>
          <w:rFonts w:ascii="Times New Roman" w:hAnsi="Times New Roman"/>
          <w:b/>
          <w:bCs/>
          <w:color w:val="000000" w:themeColor="text1"/>
          <w:sz w:val="24"/>
          <w:szCs w:val="24"/>
        </w:rPr>
        <w:t>(3) Responses received through Offline mode:</w:t>
      </w:r>
    </w:p>
    <w:p w:rsidR="000242ED" w:rsidRPr="001F540F" w:rsidRDefault="000242ED" w:rsidP="000242ED">
      <w:pPr>
        <w:spacing w:after="0" w:line="360" w:lineRule="auto"/>
        <w:jc w:val="center"/>
        <w:rPr>
          <w:rFonts w:ascii="Times New Roman" w:hAnsi="Times New Roman"/>
          <w:b/>
          <w:bCs/>
          <w:color w:val="000000" w:themeColor="text1"/>
          <w:sz w:val="24"/>
          <w:szCs w:val="24"/>
        </w:rPr>
      </w:pPr>
      <w:r w:rsidRPr="00301770">
        <w:rPr>
          <w:rFonts w:ascii="Times New Roman" w:hAnsi="Times New Roman" w:cs="Times New Roman"/>
          <w:sz w:val="24"/>
          <w:szCs w:val="24"/>
        </w:rPr>
        <w:object w:dxaOrig="1520" w:dyaOrig="987">
          <v:shape id="_x0000_i1026" type="#_x0000_t75" style="width:75.75pt;height:48.75pt" o:ole="">
            <v:imagedata r:id="rId8" o:title=""/>
          </v:shape>
          <o:OLEObject Type="Embed" ProgID="Package" ShapeID="_x0000_i1026" DrawAspect="Icon" ObjectID="_1835176215" r:id="rId9"/>
        </w:object>
      </w:r>
    </w:p>
    <w:bookmarkEnd w:id="0"/>
    <w:p w:rsidR="000242ED" w:rsidRPr="00827926" w:rsidRDefault="000242ED" w:rsidP="000242ED">
      <w:pPr>
        <w:spacing w:after="0" w:line="360" w:lineRule="auto"/>
        <w:jc w:val="both"/>
        <w:rPr>
          <w:rFonts w:ascii="Times New Roman" w:hAnsi="Times New Roman" w:cs="Times New Roman"/>
          <w:sz w:val="24"/>
          <w:szCs w:val="24"/>
        </w:rPr>
      </w:pPr>
    </w:p>
    <w:p w:rsidR="000242ED" w:rsidRDefault="000242ED" w:rsidP="000242ED">
      <w:pPr>
        <w:spacing w:after="0" w:line="360" w:lineRule="auto"/>
        <w:jc w:val="center"/>
        <w:rPr>
          <w:rFonts w:ascii="Times New Roman" w:eastAsia="Times New Roman" w:hAnsi="Times New Roman" w:cs="Times New Roman"/>
          <w:b/>
          <w:bCs/>
          <w:sz w:val="24"/>
          <w:szCs w:val="24"/>
          <w:lang w:eastAsia="en-IN"/>
        </w:rPr>
      </w:pPr>
    </w:p>
    <w:p w:rsidR="000242ED" w:rsidRPr="00403376" w:rsidRDefault="000242ED" w:rsidP="000242ED">
      <w:pPr>
        <w:spacing w:after="0" w:line="360" w:lineRule="auto"/>
        <w:jc w:val="both"/>
        <w:rPr>
          <w:rFonts w:ascii="Times New Roman" w:eastAsia="Times New Roman" w:hAnsi="Times New Roman"/>
          <w:b/>
          <w:bCs/>
          <w:sz w:val="24"/>
          <w:szCs w:val="24"/>
          <w:lang w:eastAsia="en-IN"/>
        </w:rPr>
      </w:pPr>
    </w:p>
    <w:p w:rsidR="000242ED" w:rsidRPr="000242ED" w:rsidRDefault="000242ED">
      <w:pPr>
        <w:rPr>
          <w:lang w:val="en-US"/>
        </w:rPr>
      </w:pPr>
      <w:bookmarkStart w:id="1" w:name="_GoBack"/>
      <w:bookmarkEnd w:id="1"/>
    </w:p>
    <w:sectPr w:rsidR="000242ED" w:rsidRPr="000242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2ED"/>
    <w:rsid w:val="000242ED"/>
    <w:rsid w:val="002E0ABC"/>
    <w:rsid w:val="00D8168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2ED"/>
    <w:pPr>
      <w:spacing w:after="160" w:line="259"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42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2ED"/>
    <w:pPr>
      <w:spacing w:after="160" w:line="259"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42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package" Target="embeddings/Microsoft_Excel_Worksheet1.xlsx"/><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hyperlink" Target="https://docs.google.com/forms/d/e/1FAIpQLSdzAYthars9Re94wpCInuXztZQskiUt-aJYrHCytUXeEIgTcA/viewform?usp=preview"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1016</Words>
  <Characters>5794</Characters>
  <Application>Microsoft Office Word</Application>
  <DocSecurity>0</DocSecurity>
  <Lines>48</Lines>
  <Paragraphs>13</Paragraphs>
  <ScaleCrop>false</ScaleCrop>
  <Company/>
  <LinksUpToDate>false</LinksUpToDate>
  <CharactersWithSpaces>6797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Subha K M.</dc:creator>
  <cp:lastModifiedBy>Subha K M.</cp:lastModifiedBy>
  <cp:revision>1</cp:revision>
  <dcterms:created xsi:type="dcterms:W3CDTF">2026-03-16T08:54:00Z</dcterms:created>
  <dcterms:modified xsi:type="dcterms:W3CDTF">2026-03-16T08:54:00Z</dcterms:modified>
</cp:coreProperties>
</file>