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FDC" w:rsidRPr="000476E3" w:rsidRDefault="00002FDC" w:rsidP="00002FDC">
      <w:pPr>
        <w:pStyle w:val="NormalWeb"/>
        <w:spacing w:line="360" w:lineRule="auto"/>
        <w:jc w:val="both"/>
        <w:rPr>
          <w:sz w:val="22"/>
          <w:szCs w:val="22"/>
        </w:rPr>
      </w:pPr>
      <w:r>
        <w:t>Appendix I: Measurement Items</w:t>
      </w:r>
    </w:p>
    <w:tbl>
      <w:tblPr>
        <w:tblW w:w="9350" w:type="dxa"/>
        <w:tblBorders>
          <w:top w:val="single" w:sz="4" w:space="0" w:color="AAAAAA"/>
          <w:left w:val="single" w:sz="4" w:space="0" w:color="AAAAAA"/>
          <w:bottom w:val="single" w:sz="4" w:space="0" w:color="AAAAAA"/>
          <w:right w:val="single" w:sz="4" w:space="0" w:color="AAAAAA"/>
          <w:insideH w:val="single" w:sz="4" w:space="0" w:color="AAAAAA"/>
          <w:insideV w:val="single" w:sz="4" w:space="0" w:color="AAAAAA"/>
        </w:tblBorders>
        <w:tblLook w:val="04A0" w:firstRow="1" w:lastRow="0" w:firstColumn="1" w:lastColumn="0" w:noHBand="0" w:noVBand="1"/>
      </w:tblPr>
      <w:tblGrid>
        <w:gridCol w:w="900"/>
        <w:gridCol w:w="8450"/>
      </w:tblGrid>
      <w:tr w:rsidR="00002FDC" w:rsidRPr="000476E3" w:rsidTr="0076279E">
        <w:trPr>
          <w:tblHeader/>
        </w:trPr>
        <w:tc>
          <w:tcPr>
            <w:tcW w:w="900" w:type="dxa"/>
            <w:shd w:val="clear" w:color="auto" w:fill="D9E2F3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Code</w:t>
            </w:r>
          </w:p>
        </w:tc>
        <w:tc>
          <w:tcPr>
            <w:tcW w:w="8450" w:type="dxa"/>
            <w:shd w:val="clear" w:color="auto" w:fill="D9E2F3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Item statement (all items: 1 = Strongly Disagree to 5 = Strongly Agree)</w:t>
            </w:r>
          </w:p>
        </w:tc>
      </w:tr>
      <w:tr w:rsidR="00002FDC" w:rsidRPr="000476E3" w:rsidTr="0076279E">
        <w:tc>
          <w:tcPr>
            <w:tcW w:w="9350" w:type="dxa"/>
            <w:gridSpan w:val="2"/>
            <w:shd w:val="clear" w:color="auto" w:fill="F5F5F5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Employee Safety (EMPS): Time 2 · Frontline respondents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EMPS1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Our modular operations effectively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minimise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workers' exposure to hazards.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EMPS2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frequency of safety incidents in our facility has declined over time.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EMPS3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Clear safety procedures are consistently followed during fabrication and installation.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EMPS4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On-site and factory conditions are actively controlled to prevent accidents.</w:t>
            </w:r>
          </w:p>
        </w:tc>
      </w:tr>
      <w:tr w:rsidR="00002FDC" w:rsidRPr="000476E3" w:rsidTr="0076279E">
        <w:tc>
          <w:tcPr>
            <w:tcW w:w="9350" w:type="dxa"/>
            <w:gridSpan w:val="2"/>
            <w:shd w:val="clear" w:color="auto" w:fill="F5F5F5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JIT Practices (JIT): Time 1 · Managerial respondents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JIT1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Material deliveries are consistently timed to align with our production schedule.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JIT2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 maintain minimal on-site inventory by relying on precisely timed deliveries.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JIT3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Delivery timing across all supply stages is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synchronised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to prevent sequencing disruptions.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JIT4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Module installation proceeds without delays attributable to material flow interruptions.</w:t>
            </w:r>
          </w:p>
        </w:tc>
      </w:tr>
      <w:tr w:rsidR="00002FDC" w:rsidRPr="000476E3" w:rsidTr="0076279E">
        <w:tc>
          <w:tcPr>
            <w:tcW w:w="9350" w:type="dxa"/>
            <w:gridSpan w:val="2"/>
            <w:shd w:val="clear" w:color="auto" w:fill="F5F5F5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Operational Strain (OPESTR): Time 2 · Frontline respondents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OS1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Workers regularly operate under tight time constraints driven by JIT scheduling.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OS2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Our production schedule frequently requires workers to accelerate their work pace.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OS3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level of coordination between teams creates sustained cognitive demand on workers.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OS4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Delivery disruptions routinely generate significant additional workload for our team.</w:t>
            </w:r>
          </w:p>
        </w:tc>
      </w:tr>
      <w:tr w:rsidR="00002FDC" w:rsidRPr="000476E3" w:rsidTr="0076279E">
        <w:tc>
          <w:tcPr>
            <w:tcW w:w="9350" w:type="dxa"/>
            <w:gridSpan w:val="2"/>
            <w:shd w:val="clear" w:color="auto" w:fill="F5F5F5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Supply Reliability (SUPREL): Time 1 · Managerial respondents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SR1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Our suppliers consistently deliver materials on</w:t>
            </w:r>
            <w:r>
              <w:rPr>
                <w:rFonts w:ascii="Times New Roman" w:hAnsi="Times New Roman" w:cs="Times New Roman"/>
                <w:color w:val="FF000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schedule.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SR2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Delivery disruptions from upstream suppliers are rare in our operations.</w:t>
            </w:r>
          </w:p>
        </w:tc>
      </w:tr>
      <w:tr w:rsidR="00002FDC" w:rsidRPr="000476E3" w:rsidTr="0076279E">
        <w:tc>
          <w:tcPr>
            <w:tcW w:w="90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SR3</w:t>
            </w:r>
          </w:p>
        </w:tc>
        <w:tc>
          <w:tcPr>
            <w:tcW w:w="8450" w:type="dxa"/>
            <w:shd w:val="clear" w:color="auto" w:fill="FFFFFF"/>
          </w:tcPr>
          <w:p w:rsidR="00002FDC" w:rsidRPr="000476E3" w:rsidRDefault="00002FDC" w:rsidP="0076279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Our key suppliers reliably adhere to agreed delivery timetables.</w:t>
            </w:r>
          </w:p>
        </w:tc>
      </w:tr>
    </w:tbl>
    <w:p w:rsidR="00002FDC" w:rsidRPr="000476E3" w:rsidRDefault="00002FDC" w:rsidP="00002FD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</w:rPr>
        <w:t>Source(s):</w:t>
      </w:r>
      <w:r>
        <w:rPr>
          <w:rFonts w:ascii="Times New Roman" w:hAnsi="Times New Roman" w:cs="Times New Roman"/>
          <w:i/>
        </w:rPr>
        <w:t xml:space="preserve"> Authors' own work. Items adapted from lean operations (</w:t>
      </w:r>
      <w:proofErr w:type="spellStart"/>
      <w:r>
        <w:rPr>
          <w:rFonts w:ascii="Times New Roman" w:hAnsi="Times New Roman" w:cs="Times New Roman"/>
          <w:i/>
        </w:rPr>
        <w:t>Bortolotti</w:t>
      </w:r>
      <w:proofErr w:type="spellEnd"/>
      <w:r>
        <w:rPr>
          <w:rFonts w:ascii="Times New Roman" w:hAnsi="Times New Roman" w:cs="Times New Roman"/>
          <w:i/>
        </w:rPr>
        <w:t xml:space="preserve"> et al., 2013), safety (</w:t>
      </w:r>
      <w:proofErr w:type="spellStart"/>
      <w:r>
        <w:rPr>
          <w:rFonts w:ascii="Times New Roman" w:hAnsi="Times New Roman" w:cs="Times New Roman"/>
          <w:i/>
        </w:rPr>
        <w:t>Vithanage</w:t>
      </w:r>
      <w:proofErr w:type="spellEnd"/>
      <w:r>
        <w:rPr>
          <w:rFonts w:ascii="Times New Roman" w:hAnsi="Times New Roman" w:cs="Times New Roman"/>
          <w:i/>
        </w:rPr>
        <w:t xml:space="preserve"> et al., 2022), operational strain (</w:t>
      </w:r>
      <w:proofErr w:type="spellStart"/>
      <w:r>
        <w:rPr>
          <w:rFonts w:ascii="Times New Roman" w:hAnsi="Times New Roman" w:cs="Times New Roman"/>
          <w:i/>
        </w:rPr>
        <w:t>Prem</w:t>
      </w:r>
      <w:proofErr w:type="spellEnd"/>
      <w:r>
        <w:rPr>
          <w:rFonts w:ascii="Times New Roman" w:hAnsi="Times New Roman" w:cs="Times New Roman"/>
          <w:i/>
        </w:rPr>
        <w:t xml:space="preserve"> et al., 2017), and supply chain (Bode &amp; Wagner, 2015) scales, following </w:t>
      </w:r>
      <w:proofErr w:type="spellStart"/>
      <w:r>
        <w:rPr>
          <w:rFonts w:ascii="Times New Roman" w:hAnsi="Times New Roman" w:cs="Times New Roman"/>
          <w:i/>
        </w:rPr>
        <w:t>Podsakoff</w:t>
      </w:r>
      <w:proofErr w:type="spellEnd"/>
      <w:r>
        <w:rPr>
          <w:rFonts w:ascii="Times New Roman" w:hAnsi="Times New Roman" w:cs="Times New Roman"/>
          <w:i/>
        </w:rPr>
        <w:t xml:space="preserve"> et al. (2003).</w:t>
      </w:r>
    </w:p>
    <w:p w:rsidR="00BA7CE2" w:rsidRDefault="00002FDC">
      <w:bookmarkStart w:id="0" w:name="_GoBack"/>
      <w:bookmarkEnd w:id="0"/>
    </w:p>
    <w:sectPr w:rsidR="00BA7CE2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92963937"/>
      <w:docPartObj>
        <w:docPartGallery w:val="AutoText"/>
      </w:docPartObj>
    </w:sdtPr>
    <w:sdtEndPr/>
    <w:sdtContent>
      <w:p w:rsidR="009636EF" w:rsidRDefault="00002FD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9636EF" w:rsidRDefault="00002FD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FDC"/>
    <w:rsid w:val="00002FDC"/>
    <w:rsid w:val="0024749B"/>
    <w:rsid w:val="0059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FD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2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FDC"/>
  </w:style>
  <w:style w:type="paragraph" w:styleId="NormalWeb">
    <w:name w:val="Normal (Web)"/>
    <w:basedOn w:val="Normal"/>
    <w:uiPriority w:val="99"/>
    <w:unhideWhenUsed/>
    <w:rsid w:val="00002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FD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02FD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2FDC"/>
  </w:style>
  <w:style w:type="paragraph" w:styleId="NormalWeb">
    <w:name w:val="Normal (Web)"/>
    <w:basedOn w:val="Normal"/>
    <w:uiPriority w:val="99"/>
    <w:unhideWhenUsed/>
    <w:rsid w:val="00002F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1586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Subha K M.</dc:creator>
  <cp:lastModifiedBy>Subha K M.</cp:lastModifiedBy>
  <cp:revision>1</cp:revision>
  <dcterms:created xsi:type="dcterms:W3CDTF">2026-10-03T04:41:00Z</dcterms:created>
  <dcterms:modified xsi:type="dcterms:W3CDTF">2026-10-03T04:41:00Z</dcterms:modified>
</cp:coreProperties>
</file>