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86"/>
        <w:tblW w:w="912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00"/>
        <w:gridCol w:w="1693"/>
        <w:gridCol w:w="1865"/>
        <w:gridCol w:w="1865"/>
      </w:tblGrid>
      <w:tr w:rsidR="000946F6" w:rsidRPr="001270B7" w14:paraId="5426CC0E" w14:textId="77777777" w:rsidTr="00FB6928">
        <w:trPr>
          <w:trHeight w:val="300"/>
          <w:tblHeader/>
        </w:trPr>
        <w:tc>
          <w:tcPr>
            <w:tcW w:w="3700" w:type="dxa"/>
            <w:tcBorders>
              <w:top w:val="single" w:sz="8" w:space="0" w:color="auto"/>
              <w:left w:val="single" w:sz="8" w:space="0" w:color="auto"/>
              <w:bottom w:val="single" w:sz="8" w:space="0" w:color="auto"/>
              <w:right w:val="single" w:sz="8" w:space="0" w:color="auto"/>
            </w:tcBorders>
            <w:shd w:val="clear" w:color="auto" w:fill="A5C9EB" w:themeFill="text2" w:themeFillTint="40"/>
          </w:tcPr>
          <w:p w14:paraId="25CF3D3B" w14:textId="77777777" w:rsidR="000946F6" w:rsidRPr="001270B7" w:rsidRDefault="000946F6" w:rsidP="00E258E4">
            <w:pPr>
              <w:spacing w:before="100" w:beforeAutospacing="1" w:line="240" w:lineRule="auto"/>
              <w:rPr>
                <w:szCs w:val="24"/>
              </w:rPr>
            </w:pPr>
            <w:r w:rsidRPr="001270B7">
              <w:rPr>
                <w:rFonts w:eastAsia="Times New Roman" w:cs="Times New Roman"/>
                <w:b/>
                <w:bCs/>
                <w:i/>
                <w:iCs/>
                <w:color w:val="000000" w:themeColor="text1"/>
                <w:szCs w:val="24"/>
              </w:rPr>
              <w:t>Criteria</w:t>
            </w:r>
          </w:p>
        </w:tc>
        <w:tc>
          <w:tcPr>
            <w:tcW w:w="1693" w:type="dxa"/>
            <w:tcBorders>
              <w:top w:val="single" w:sz="8" w:space="0" w:color="auto"/>
              <w:left w:val="single" w:sz="8" w:space="0" w:color="auto"/>
              <w:bottom w:val="single" w:sz="8" w:space="0" w:color="auto"/>
              <w:right w:val="single" w:sz="8" w:space="0" w:color="auto"/>
            </w:tcBorders>
            <w:shd w:val="clear" w:color="auto" w:fill="A5C9EB" w:themeFill="text2" w:themeFillTint="40"/>
          </w:tcPr>
          <w:p w14:paraId="1A6CC18D" w14:textId="77777777" w:rsidR="000946F6" w:rsidRPr="001270B7" w:rsidRDefault="000946F6" w:rsidP="00E258E4">
            <w:pPr>
              <w:spacing w:before="100" w:beforeAutospacing="1" w:line="240" w:lineRule="auto"/>
              <w:rPr>
                <w:szCs w:val="24"/>
              </w:rPr>
            </w:pPr>
            <w:r w:rsidRPr="001270B7">
              <w:rPr>
                <w:rFonts w:eastAsia="Times New Roman" w:cs="Times New Roman"/>
                <w:b/>
                <w:bCs/>
                <w:i/>
                <w:iCs/>
                <w:color w:val="000000" w:themeColor="text1"/>
                <w:szCs w:val="24"/>
              </w:rPr>
              <w:t xml:space="preserve">Inclusion </w:t>
            </w:r>
            <w:r w:rsidRPr="001270B7">
              <w:rPr>
                <w:rFonts w:eastAsia="Times New Roman" w:cs="Times New Roman"/>
                <w:color w:val="000000" w:themeColor="text1"/>
                <w:szCs w:val="24"/>
              </w:rPr>
              <w:t xml:space="preserve"> </w:t>
            </w:r>
          </w:p>
        </w:tc>
        <w:tc>
          <w:tcPr>
            <w:tcW w:w="1865" w:type="dxa"/>
            <w:tcBorders>
              <w:top w:val="single" w:sz="8" w:space="0" w:color="auto"/>
              <w:left w:val="single" w:sz="8" w:space="0" w:color="auto"/>
              <w:bottom w:val="single" w:sz="8" w:space="0" w:color="auto"/>
              <w:right w:val="single" w:sz="8" w:space="0" w:color="auto"/>
            </w:tcBorders>
            <w:shd w:val="clear" w:color="auto" w:fill="A5C9EB" w:themeFill="text2" w:themeFillTint="40"/>
          </w:tcPr>
          <w:p w14:paraId="5949EBC7" w14:textId="77777777" w:rsidR="000946F6" w:rsidRPr="001270B7" w:rsidRDefault="000946F6" w:rsidP="00E258E4">
            <w:pPr>
              <w:spacing w:before="100" w:beforeAutospacing="1" w:line="240" w:lineRule="auto"/>
              <w:rPr>
                <w:szCs w:val="24"/>
              </w:rPr>
            </w:pPr>
            <w:r w:rsidRPr="001270B7">
              <w:rPr>
                <w:rFonts w:eastAsia="Times New Roman" w:cs="Times New Roman"/>
                <w:b/>
                <w:bCs/>
                <w:i/>
                <w:iCs/>
                <w:color w:val="000000" w:themeColor="text1"/>
                <w:szCs w:val="24"/>
              </w:rPr>
              <w:t xml:space="preserve">Exclusion </w:t>
            </w:r>
            <w:r w:rsidRPr="001270B7">
              <w:rPr>
                <w:rFonts w:eastAsia="Times New Roman" w:cs="Times New Roman"/>
                <w:color w:val="000000" w:themeColor="text1"/>
                <w:szCs w:val="24"/>
              </w:rPr>
              <w:t xml:space="preserve"> </w:t>
            </w:r>
          </w:p>
        </w:tc>
        <w:tc>
          <w:tcPr>
            <w:tcW w:w="1865" w:type="dxa"/>
            <w:tcBorders>
              <w:top w:val="single" w:sz="8" w:space="0" w:color="auto"/>
              <w:left w:val="single" w:sz="8" w:space="0" w:color="auto"/>
              <w:bottom w:val="single" w:sz="8" w:space="0" w:color="auto"/>
              <w:right w:val="single" w:sz="8" w:space="0" w:color="auto"/>
            </w:tcBorders>
            <w:shd w:val="clear" w:color="auto" w:fill="A5C9EB" w:themeFill="text2" w:themeFillTint="40"/>
          </w:tcPr>
          <w:p w14:paraId="03E71BEB" w14:textId="77777777" w:rsidR="000946F6" w:rsidRPr="001270B7" w:rsidRDefault="000946F6" w:rsidP="00E258E4">
            <w:pPr>
              <w:spacing w:before="100" w:beforeAutospacing="1" w:line="240" w:lineRule="auto"/>
              <w:rPr>
                <w:szCs w:val="24"/>
              </w:rPr>
            </w:pPr>
            <w:r w:rsidRPr="001270B7">
              <w:rPr>
                <w:rFonts w:eastAsia="Times New Roman" w:cs="Times New Roman"/>
                <w:b/>
                <w:bCs/>
                <w:i/>
                <w:iCs/>
                <w:color w:val="000000" w:themeColor="text1"/>
                <w:szCs w:val="24"/>
              </w:rPr>
              <w:t>Justification</w:t>
            </w:r>
            <w:r w:rsidRPr="001270B7">
              <w:rPr>
                <w:rFonts w:eastAsia="Times New Roman" w:cs="Times New Roman"/>
                <w:color w:val="000000" w:themeColor="text1"/>
                <w:szCs w:val="24"/>
              </w:rPr>
              <w:t xml:space="preserve"> </w:t>
            </w:r>
          </w:p>
        </w:tc>
      </w:tr>
      <w:tr w:rsidR="000946F6" w:rsidRPr="001270B7" w14:paraId="5940E12A" w14:textId="77777777" w:rsidTr="00FB6928">
        <w:trPr>
          <w:trHeight w:val="1750"/>
        </w:trPr>
        <w:tc>
          <w:tcPr>
            <w:tcW w:w="3700" w:type="dxa"/>
            <w:tcBorders>
              <w:top w:val="single" w:sz="8" w:space="0" w:color="auto"/>
              <w:left w:val="single" w:sz="8" w:space="0" w:color="auto"/>
              <w:bottom w:val="single" w:sz="8" w:space="0" w:color="auto"/>
              <w:right w:val="single" w:sz="8" w:space="0" w:color="auto"/>
            </w:tcBorders>
          </w:tcPr>
          <w:p w14:paraId="6F6F0C13"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Population  </w:t>
            </w:r>
          </w:p>
        </w:tc>
        <w:tc>
          <w:tcPr>
            <w:tcW w:w="1693" w:type="dxa"/>
            <w:tcBorders>
              <w:top w:val="single" w:sz="8" w:space="0" w:color="auto"/>
              <w:left w:val="single" w:sz="8" w:space="0" w:color="auto"/>
              <w:bottom w:val="single" w:sz="8" w:space="0" w:color="auto"/>
              <w:right w:val="single" w:sz="8" w:space="0" w:color="auto"/>
            </w:tcBorders>
          </w:tcPr>
          <w:p w14:paraId="122F30B0"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Adults the age of 18; EAM status </w:t>
            </w:r>
            <w:r w:rsidRPr="001270B7">
              <w:rPr>
                <w:rFonts w:eastAsia="Times New Roman" w:cs="Times New Roman"/>
                <w:i/>
                <w:iCs/>
                <w:szCs w:val="24"/>
              </w:rPr>
              <w:t>meaning</w:t>
            </w:r>
            <w:r w:rsidRPr="001270B7">
              <w:rPr>
                <w:rFonts w:eastAsia="Times New Roman" w:cs="Times New Roman"/>
                <w:szCs w:val="24"/>
              </w:rPr>
              <w:t xml:space="preserve"> ‘Born in East Asia</w:t>
            </w:r>
            <w:r>
              <w:rPr>
                <w:rFonts w:cs="Times New Roman"/>
                <w:szCs w:val="24"/>
                <w:lang w:eastAsia="zh-CN"/>
              </w:rPr>
              <w:t xml:space="preserve"> and</w:t>
            </w:r>
            <w:r w:rsidRPr="001270B7">
              <w:rPr>
                <w:rFonts w:eastAsia="Times New Roman" w:cs="Times New Roman"/>
                <w:szCs w:val="24"/>
              </w:rPr>
              <w:t xml:space="preserve"> currently living in a host country.</w:t>
            </w:r>
          </w:p>
        </w:tc>
        <w:tc>
          <w:tcPr>
            <w:tcW w:w="1865" w:type="dxa"/>
            <w:tcBorders>
              <w:top w:val="single" w:sz="8" w:space="0" w:color="auto"/>
              <w:left w:val="single" w:sz="8" w:space="0" w:color="auto"/>
              <w:bottom w:val="single" w:sz="8" w:space="0" w:color="auto"/>
              <w:right w:val="single" w:sz="8" w:space="0" w:color="auto"/>
            </w:tcBorders>
          </w:tcPr>
          <w:p w14:paraId="376B861D"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Young EAM caregivers under the age of 18; Professional carers; Paid carers; Refugees and asylum seekers </w:t>
            </w:r>
          </w:p>
        </w:tc>
        <w:tc>
          <w:tcPr>
            <w:tcW w:w="1865" w:type="dxa"/>
            <w:tcBorders>
              <w:top w:val="single" w:sz="8" w:space="0" w:color="auto"/>
              <w:left w:val="single" w:sz="8" w:space="0" w:color="auto"/>
              <w:bottom w:val="single" w:sz="8" w:space="0" w:color="auto"/>
              <w:right w:val="single" w:sz="8" w:space="0" w:color="auto"/>
            </w:tcBorders>
          </w:tcPr>
          <w:p w14:paraId="3304C686"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The focus on this group arises from the growing population of first-generation East Asian immigrants in contrast to subsequent generations who may undergo assimilation and acculturation. </w:t>
            </w:r>
          </w:p>
        </w:tc>
      </w:tr>
      <w:tr w:rsidR="000946F6" w:rsidRPr="001270B7" w14:paraId="72742ACF" w14:textId="77777777" w:rsidTr="00FB6928">
        <w:trPr>
          <w:trHeight w:val="300"/>
        </w:trPr>
        <w:tc>
          <w:tcPr>
            <w:tcW w:w="3700" w:type="dxa"/>
            <w:tcBorders>
              <w:top w:val="single" w:sz="8" w:space="0" w:color="auto"/>
              <w:left w:val="single" w:sz="8" w:space="0" w:color="auto"/>
              <w:bottom w:val="single" w:sz="8" w:space="0" w:color="auto"/>
              <w:right w:val="single" w:sz="8" w:space="0" w:color="auto"/>
            </w:tcBorders>
          </w:tcPr>
          <w:p w14:paraId="290AE3F9"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Study focus  </w:t>
            </w:r>
          </w:p>
        </w:tc>
        <w:tc>
          <w:tcPr>
            <w:tcW w:w="1693" w:type="dxa"/>
            <w:tcBorders>
              <w:top w:val="single" w:sz="8" w:space="0" w:color="auto"/>
              <w:left w:val="single" w:sz="8" w:space="0" w:color="auto"/>
              <w:bottom w:val="single" w:sz="8" w:space="0" w:color="auto"/>
              <w:right w:val="single" w:sz="8" w:space="0" w:color="auto"/>
            </w:tcBorders>
          </w:tcPr>
          <w:p w14:paraId="21D88786"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Focus on EAM primary family caregiver support needs in the home setting. </w:t>
            </w:r>
          </w:p>
        </w:tc>
        <w:tc>
          <w:tcPr>
            <w:tcW w:w="1865" w:type="dxa"/>
            <w:tcBorders>
              <w:top w:val="single" w:sz="8" w:space="0" w:color="auto"/>
              <w:left w:val="single" w:sz="8" w:space="0" w:color="auto"/>
              <w:bottom w:val="single" w:sz="8" w:space="0" w:color="auto"/>
              <w:right w:val="single" w:sz="8" w:space="0" w:color="auto"/>
            </w:tcBorders>
          </w:tcPr>
          <w:p w14:paraId="0AD3DEC6"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Dyadic studies  </w:t>
            </w:r>
          </w:p>
          <w:p w14:paraId="7D160327" w14:textId="77777777" w:rsidR="000946F6" w:rsidRPr="001270B7" w:rsidRDefault="000946F6" w:rsidP="00376699">
            <w:pPr>
              <w:spacing w:before="100" w:beforeAutospacing="1" w:line="240" w:lineRule="auto"/>
              <w:rPr>
                <w:szCs w:val="24"/>
                <w:lang w:eastAsia="zh-CN"/>
              </w:rPr>
            </w:pPr>
            <w:r w:rsidRPr="001270B7">
              <w:rPr>
                <w:rFonts w:eastAsia="Times New Roman" w:cs="Times New Roman"/>
                <w:szCs w:val="24"/>
              </w:rPr>
              <w:t xml:space="preserve">Secondary caregivers not in the home setting </w:t>
            </w:r>
          </w:p>
        </w:tc>
        <w:tc>
          <w:tcPr>
            <w:tcW w:w="1865" w:type="dxa"/>
            <w:tcBorders>
              <w:top w:val="single" w:sz="8" w:space="0" w:color="auto"/>
              <w:left w:val="single" w:sz="8" w:space="0" w:color="auto"/>
              <w:bottom w:val="single" w:sz="8" w:space="0" w:color="auto"/>
              <w:right w:val="single" w:sz="8" w:space="0" w:color="auto"/>
            </w:tcBorders>
          </w:tcPr>
          <w:p w14:paraId="5083FC55"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 Understanding the support needs of EAM family caregivers is critical to developing targeted interventions and support systems. </w:t>
            </w:r>
          </w:p>
        </w:tc>
      </w:tr>
      <w:tr w:rsidR="000946F6" w:rsidRPr="001270B7" w14:paraId="6D755D7C" w14:textId="77777777" w:rsidTr="00FB6928">
        <w:trPr>
          <w:trHeight w:val="300"/>
        </w:trPr>
        <w:tc>
          <w:tcPr>
            <w:tcW w:w="3700" w:type="dxa"/>
            <w:tcBorders>
              <w:top w:val="single" w:sz="8" w:space="0" w:color="auto"/>
              <w:left w:val="single" w:sz="8" w:space="0" w:color="auto"/>
              <w:bottom w:val="single" w:sz="8" w:space="0" w:color="auto"/>
              <w:right w:val="single" w:sz="8" w:space="0" w:color="auto"/>
            </w:tcBorders>
          </w:tcPr>
          <w:p w14:paraId="6D9B308C"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Type of article  </w:t>
            </w:r>
          </w:p>
        </w:tc>
        <w:tc>
          <w:tcPr>
            <w:tcW w:w="1693" w:type="dxa"/>
            <w:tcBorders>
              <w:top w:val="single" w:sz="8" w:space="0" w:color="auto"/>
              <w:left w:val="single" w:sz="8" w:space="0" w:color="auto"/>
              <w:bottom w:val="single" w:sz="8" w:space="0" w:color="auto"/>
              <w:right w:val="single" w:sz="8" w:space="0" w:color="auto"/>
            </w:tcBorders>
          </w:tcPr>
          <w:p w14:paraId="75A253AE"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Primary research studies</w:t>
            </w:r>
            <w:r w:rsidRPr="001270B7">
              <w:rPr>
                <w:rFonts w:ascii="SimSun" w:eastAsia="SimSun" w:hAnsi="SimSun" w:cs="SimSun"/>
                <w:szCs w:val="24"/>
                <w:lang w:eastAsia="zh-CN"/>
              </w:rPr>
              <w:t xml:space="preserve">， </w:t>
            </w:r>
            <w:r w:rsidRPr="001270B7">
              <w:rPr>
                <w:rFonts w:eastAsia="Times New Roman" w:cs="Times New Roman"/>
                <w:szCs w:val="24"/>
              </w:rPr>
              <w:t xml:space="preserve">qualitative, quantitative, or mixed-methods studies     </w:t>
            </w:r>
          </w:p>
        </w:tc>
        <w:tc>
          <w:tcPr>
            <w:tcW w:w="1865" w:type="dxa"/>
            <w:tcBorders>
              <w:top w:val="single" w:sz="8" w:space="0" w:color="auto"/>
              <w:left w:val="single" w:sz="8" w:space="0" w:color="auto"/>
              <w:bottom w:val="single" w:sz="8" w:space="0" w:color="auto"/>
              <w:right w:val="single" w:sz="8" w:space="0" w:color="auto"/>
            </w:tcBorders>
          </w:tcPr>
          <w:p w14:paraId="6F713EE8" w14:textId="77777777" w:rsidR="000946F6" w:rsidRPr="001270B7" w:rsidRDefault="000946F6" w:rsidP="00376699">
            <w:pPr>
              <w:spacing w:before="100" w:beforeAutospacing="1" w:line="240" w:lineRule="auto"/>
              <w:rPr>
                <w:szCs w:val="24"/>
              </w:rPr>
            </w:pPr>
            <w:r w:rsidRPr="001270B7">
              <w:rPr>
                <w:rFonts w:eastAsia="Times New Roman" w:cs="Times New Roman"/>
                <w:color w:val="000000" w:themeColor="text1"/>
                <w:szCs w:val="24"/>
              </w:rPr>
              <w:t xml:space="preserve">Non-peer-reviewed publications; Literature reviews; Conference abstracts; Protocols; </w:t>
            </w:r>
            <w:r w:rsidRPr="001270B7">
              <w:rPr>
                <w:rFonts w:eastAsia="Times New Roman" w:cs="Times New Roman"/>
                <w:szCs w:val="24"/>
              </w:rPr>
              <w:t>Editorials</w:t>
            </w:r>
            <w:r w:rsidRPr="001270B7">
              <w:rPr>
                <w:rFonts w:ascii="SimSun" w:eastAsia="SimSun" w:hAnsi="SimSun" w:cs="SimSun"/>
                <w:szCs w:val="24"/>
                <w:lang w:eastAsia="zh-CN"/>
              </w:rPr>
              <w:t>，</w:t>
            </w:r>
            <w:r w:rsidRPr="001270B7">
              <w:rPr>
                <w:rFonts w:eastAsia="Times New Roman" w:cs="Times New Roman"/>
                <w:szCs w:val="24"/>
              </w:rPr>
              <w:t xml:space="preserve"> Thesis </w:t>
            </w:r>
          </w:p>
        </w:tc>
        <w:tc>
          <w:tcPr>
            <w:tcW w:w="1865" w:type="dxa"/>
            <w:tcBorders>
              <w:top w:val="single" w:sz="8" w:space="0" w:color="auto"/>
              <w:left w:val="single" w:sz="8" w:space="0" w:color="auto"/>
              <w:bottom w:val="single" w:sz="8" w:space="0" w:color="auto"/>
              <w:right w:val="single" w:sz="8" w:space="0" w:color="auto"/>
            </w:tcBorders>
          </w:tcPr>
          <w:p w14:paraId="66873E7E" w14:textId="77777777" w:rsidR="000946F6" w:rsidRPr="001270B7" w:rsidRDefault="000946F6" w:rsidP="00376699">
            <w:pPr>
              <w:spacing w:before="100" w:beforeAutospacing="1" w:line="240" w:lineRule="auto"/>
              <w:rPr>
                <w:szCs w:val="24"/>
              </w:rPr>
            </w:pPr>
            <w:r w:rsidRPr="001270B7">
              <w:rPr>
                <w:rFonts w:eastAsia="Times New Roman" w:cs="Times New Roman"/>
                <w:color w:val="000000" w:themeColor="text1"/>
                <w:szCs w:val="24"/>
              </w:rPr>
              <w:t xml:space="preserve">As key concepts ‘Migrant’ and ‘family caregiver’ are well established in the literature, the intersectionality of these concepts is the focus of this scoping review, outlining characteristics and trends and identifying support needs of </w:t>
            </w:r>
            <w:r w:rsidRPr="001270B7">
              <w:rPr>
                <w:rFonts w:eastAsia="Times New Roman" w:cs="Times New Roman"/>
                <w:color w:val="000000" w:themeColor="text1"/>
                <w:szCs w:val="24"/>
              </w:rPr>
              <w:lastRenderedPageBreak/>
              <w:t xml:space="preserve">first-generation EAM family carers. As per previously published scoping reviews, for example, Moloney et al. </w:t>
            </w:r>
            <w:r w:rsidRPr="00481BD7">
              <w:rPr>
                <w:rFonts w:eastAsia="Times New Roman" w:cs="Times New Roman"/>
                <w:color w:val="000000" w:themeColor="text1"/>
                <w:szCs w:val="24"/>
                <w:lang w:val="fr-FR"/>
              </w:rPr>
              <w:t>(2023)</w:t>
            </w:r>
            <w:r>
              <w:rPr>
                <w:rFonts w:eastAsia="Times New Roman" w:cs="Times New Roman"/>
                <w:color w:val="000000" w:themeColor="text1"/>
                <w:szCs w:val="24"/>
              </w:rPr>
              <w:fldChar w:fldCharType="begin"/>
            </w:r>
            <w:r w:rsidRPr="00481BD7">
              <w:rPr>
                <w:rFonts w:eastAsia="Times New Roman" w:cs="Times New Roman"/>
                <w:color w:val="000000" w:themeColor="text1"/>
                <w:szCs w:val="24"/>
                <w:lang w:val="fr-FR"/>
              </w:rPr>
              <w:instrText xml:space="preserve"> ADDIN EN.CITE &lt;EndNote&gt;&lt;Cite&gt;&lt;Author&gt;Moloney&lt;/Author&gt;&lt;Year&gt;2023&lt;/Year&gt;&lt;RecNum&gt;45&lt;/RecNum&gt;&lt;DisplayText&gt;(Moloney et al., 2023)&lt;/DisplayText&gt;&lt;record&gt;&lt;rec-number&gt;45&lt;/rec-number&gt;&lt;foreign-keys&gt;&lt;key app="EN" db-id="rtsp00wstv2frgef25a5fw2cpfzxvrswzpwe" timestamp="1710509671"&gt;45&lt;/key&gt;&lt;/foreign-keys&gt;&lt;ref-type name="Journal Article"&gt;17&lt;/ref-type&gt;&lt;contributors&gt;&lt;authors&gt;&lt;author&gt;Moloney, Mairead&lt;/author&gt;&lt;author&gt;Doody, Owen&lt;/author&gt;&lt;author&gt;O’Reilly, Martina&lt;/author&gt;&lt;author&gt;Lucey, Michael&lt;/author&gt;&lt;author&gt;Callinan, Joanne&lt;/author&gt;&lt;author&gt;Exton, Chris&lt;/author&gt;&lt;author&gt;Colreavy, Simon&lt;/author&gt;&lt;author&gt;O’Mahony, Frances&lt;/author&gt;&lt;author&gt;Meskell, Pauline&lt;/author&gt;&lt;author&gt;Coffey, Alice&lt;/author&gt;&lt;/authors&gt;&lt;/contributors&gt;&lt;titles&gt;&lt;title&gt;Virtual reality use and patient outcomes in palliative care: A scoping review&lt;/title&gt;&lt;secondary-title&gt;Digital Health&lt;/secondary-title&gt;&lt;/titles&gt;&lt;periodical&gt;&lt;full-title&gt;Digital Health&lt;/full-title&gt;&lt;/periodical&gt;&lt;pages&gt;20552076231207574&lt;/pages&gt;&lt;volume&gt;9&lt;/volume&gt;&lt;dates&gt;&lt;year&gt;2023&lt;/year&gt;&lt;/dates&gt;&lt;isbn&gt;2055-2076&lt;/isbn&gt;&lt;urls&gt;&lt;/urls&gt;&lt;/record&gt;&lt;/Cite&gt;&lt;/EndNote&gt;</w:instrText>
            </w:r>
            <w:r>
              <w:rPr>
                <w:rFonts w:eastAsia="Times New Roman" w:cs="Times New Roman"/>
                <w:color w:val="000000" w:themeColor="text1"/>
                <w:szCs w:val="24"/>
              </w:rPr>
              <w:fldChar w:fldCharType="separate"/>
            </w:r>
            <w:r w:rsidRPr="00481BD7">
              <w:rPr>
                <w:rFonts w:eastAsia="Times New Roman" w:cs="Times New Roman"/>
                <w:noProof/>
                <w:color w:val="000000" w:themeColor="text1"/>
                <w:szCs w:val="24"/>
                <w:lang w:val="fr-FR"/>
              </w:rPr>
              <w:t>(Moloney et al., 2023)</w:t>
            </w:r>
            <w:r>
              <w:rPr>
                <w:rFonts w:eastAsia="Times New Roman" w:cs="Times New Roman"/>
                <w:color w:val="000000" w:themeColor="text1"/>
                <w:szCs w:val="24"/>
              </w:rPr>
              <w:fldChar w:fldCharType="end"/>
            </w:r>
            <w:r w:rsidRPr="00481BD7">
              <w:rPr>
                <w:rFonts w:eastAsia="Times New Roman" w:cs="Times New Roman"/>
                <w:color w:val="000000" w:themeColor="text1"/>
                <w:szCs w:val="24"/>
                <w:lang w:val="fr-FR"/>
              </w:rPr>
              <w:t>, Gilfoyle et al., (2023)</w:t>
            </w:r>
            <w:r>
              <w:rPr>
                <w:rFonts w:eastAsia="Times New Roman" w:cs="Times New Roman"/>
                <w:color w:val="000000" w:themeColor="text1"/>
                <w:szCs w:val="24"/>
              </w:rPr>
              <w:fldChar w:fldCharType="begin"/>
            </w:r>
            <w:r w:rsidRPr="00481BD7">
              <w:rPr>
                <w:rFonts w:eastAsia="Times New Roman" w:cs="Times New Roman"/>
                <w:color w:val="000000" w:themeColor="text1"/>
                <w:szCs w:val="24"/>
                <w:lang w:val="fr-FR"/>
              </w:rPr>
              <w:instrText xml:space="preserve"> ADDIN EN.CITE &lt;EndNote&gt;&lt;Cite&gt;&lt;Author&gt;Gilfoyle&lt;/Author&gt;&lt;Year&gt;2023&lt;/Year&gt;&lt;RecNum&gt;44&lt;/RecNum&gt;&lt;DisplayText&gt;(Gilfoyle et al., 2023)&lt;/DisplayText&gt;&lt;record&gt;&lt;rec-number&gt;44&lt;/rec-number&gt;&lt;foreign-keys&gt;&lt;key app="EN" db-id="rtsp00wstv2frgef25a5fw2cpfzxvrswzpwe" timestamp="1710509641"&gt;44&lt;/key&gt;&lt;/foreign-keys&gt;&lt;ref-type name="Journal Article"&gt;17&lt;/ref-type&gt;&lt;contributors&gt;&lt;authors&gt;&lt;author&gt;Gilfoyle, M</w:instrText>
            </w:r>
            <w:r w:rsidRPr="00EB545D">
              <w:rPr>
                <w:rFonts w:eastAsia="Times New Roman" w:cs="Times New Roman"/>
                <w:color w:val="000000" w:themeColor="text1"/>
                <w:szCs w:val="24"/>
              </w:rPr>
              <w:instrText>eghan&lt;/author&gt;&lt;author&gt;Melro, Carolyn&lt;/author&gt;&lt;author&gt;Koskinas, Elena&lt;/author&gt;&lt;author&gt;Salsberg, Jon&lt;/author&gt;&lt;/authors&gt;&lt;/contributors&gt;&lt;titles&gt;&lt;title&gt;Recruitment of patients, carers and members of the public to advisory boards, groups and panels in public and patient involved health research: a scoping review&lt;/title&gt;&lt;secondary-title&gt;BMJ open&lt;/secondary-title&gt;&lt;/titles&gt;&lt;periodical&gt;&lt;full-title&gt;BMJ open&lt;/full-title&gt;&lt;/periodical&gt;&lt;pages&gt;e072918&lt;/pages&gt;&lt;volume&gt;13&lt;/volume&gt;&lt;number&gt;10&lt;/number&gt;&lt;dates&gt;&lt;year&gt;2023&lt;/year&gt;&lt;/dates&gt;&lt;isbn&gt;2044-6055&lt;/isbn&gt;&lt;urls&gt;&lt;/urls&gt;&lt;/record&gt;&lt;/Cite&gt;&lt;/EndNote&gt;</w:instrText>
            </w:r>
            <w:r>
              <w:rPr>
                <w:rFonts w:eastAsia="Times New Roman" w:cs="Times New Roman"/>
                <w:color w:val="000000" w:themeColor="text1"/>
                <w:szCs w:val="24"/>
              </w:rPr>
              <w:fldChar w:fldCharType="separate"/>
            </w:r>
            <w:r w:rsidRPr="00EB545D">
              <w:rPr>
                <w:rFonts w:eastAsia="Times New Roman" w:cs="Times New Roman"/>
                <w:noProof/>
                <w:color w:val="000000" w:themeColor="text1"/>
                <w:szCs w:val="24"/>
              </w:rPr>
              <w:t>(Gilfoyle et al., 2023)</w:t>
            </w:r>
            <w:r>
              <w:rPr>
                <w:rFonts w:eastAsia="Times New Roman" w:cs="Times New Roman"/>
                <w:color w:val="000000" w:themeColor="text1"/>
                <w:szCs w:val="24"/>
              </w:rPr>
              <w:fldChar w:fldCharType="end"/>
            </w:r>
            <w:r w:rsidRPr="00EB545D">
              <w:rPr>
                <w:rFonts w:eastAsia="Times New Roman" w:cs="Times New Roman"/>
                <w:color w:val="000000" w:themeColor="text1"/>
                <w:szCs w:val="24"/>
              </w:rPr>
              <w:t xml:space="preserve"> and Doody et al., (2021)</w:t>
            </w:r>
            <w:r>
              <w:rPr>
                <w:rFonts w:eastAsia="Times New Roman" w:cs="Times New Roman"/>
                <w:color w:val="000000" w:themeColor="text1"/>
                <w:szCs w:val="24"/>
              </w:rPr>
              <w:fldChar w:fldCharType="begin"/>
            </w:r>
            <w:r w:rsidRPr="00EB545D">
              <w:rPr>
                <w:rFonts w:eastAsia="Times New Roman" w:cs="Times New Roman"/>
                <w:color w:val="000000" w:themeColor="text1"/>
                <w:szCs w:val="24"/>
              </w:rPr>
              <w:instrText xml:space="preserve"> ADDIN EN.CITE &lt;EndNote&gt;&lt;Cite&gt;&lt;Author&gt;Doody&lt;/Author&gt;&lt;Year&gt;2021&lt;/Year&gt;&lt;RecNum&gt;46&lt;/RecNum&gt;&lt;DisplayText&gt;(Doody and Keenan, 2021)&lt;/DisplayText&gt;&lt;record&gt;&lt;rec-number&gt;46&lt;/rec-number&gt;&lt;foreign-keys&gt;&lt;key app="EN" db-id="rtsp00wstv2frgef25a5fw2cpfzxvrswzpwe" timestamp="1710509751"&gt;46&lt;/key&gt;&lt;/foreign-keys&gt;&lt;ref-type name="Journal Article"&gt;17&lt;/ref-type&gt;&lt;contributors&gt;&lt;authors&gt;&lt;author&gt;Doody, Owen&lt;/author&gt;&lt;author&gt;Keenan, Paul M&lt;/author&gt;&lt;/authors&gt;&lt;/contributors&gt;&lt;titles&gt;&lt;title&gt;The reported effects of the COVID-19 pandemic on people </w:instrText>
            </w:r>
            <w:r>
              <w:rPr>
                <w:rFonts w:eastAsia="Times New Roman" w:cs="Times New Roman"/>
                <w:color w:val="000000" w:themeColor="text1"/>
                <w:szCs w:val="24"/>
              </w:rPr>
              <w:instrText>with intellectual disability and their carers: a scoping review&lt;/title&gt;&lt;secondary-title&gt;Annals of Medicine&lt;/secondary-title&gt;&lt;/titles&gt;&lt;periodical&gt;&lt;full-title&gt;Annals of Medicine&lt;/full-title&gt;&lt;/periodical&gt;&lt;pages&gt;786-804&lt;/pages&gt;&lt;volume&gt;53&lt;/volume&gt;&lt;number&gt;1&lt;/number&gt;&lt;dates&gt;&lt;year&gt;2021&lt;/year&gt;&lt;/dates&gt;&lt;isbn&gt;0785-3890&lt;/isbn&gt;&lt;urls&gt;&lt;/urls&gt;&lt;/record&gt;&lt;/Cite&gt;&lt;/EndNote&gt;</w:instrText>
            </w:r>
            <w:r>
              <w:rPr>
                <w:rFonts w:eastAsia="Times New Roman" w:cs="Times New Roman"/>
                <w:color w:val="000000" w:themeColor="text1"/>
                <w:szCs w:val="24"/>
              </w:rPr>
              <w:fldChar w:fldCharType="separate"/>
            </w:r>
            <w:r>
              <w:rPr>
                <w:rFonts w:eastAsia="Times New Roman" w:cs="Times New Roman"/>
                <w:noProof/>
                <w:color w:val="000000" w:themeColor="text1"/>
                <w:szCs w:val="24"/>
              </w:rPr>
              <w:t>(Doody and Keenan, 2021)</w:t>
            </w:r>
            <w:r>
              <w:rPr>
                <w:rFonts w:eastAsia="Times New Roman" w:cs="Times New Roman"/>
                <w:color w:val="000000" w:themeColor="text1"/>
                <w:szCs w:val="24"/>
              </w:rPr>
              <w:fldChar w:fldCharType="end"/>
            </w:r>
            <w:r w:rsidRPr="001270B7">
              <w:rPr>
                <w:rFonts w:eastAsia="Times New Roman" w:cs="Times New Roman"/>
                <w:color w:val="000000" w:themeColor="text1"/>
                <w:szCs w:val="24"/>
              </w:rPr>
              <w:t xml:space="preserve"> the exclusion of non-peer-reviewed publications, Literature reviews; Conference abstracts, Protocols; </w:t>
            </w:r>
            <w:r w:rsidRPr="001270B7">
              <w:rPr>
                <w:rFonts w:eastAsia="Times New Roman" w:cs="Times New Roman"/>
                <w:szCs w:val="24"/>
              </w:rPr>
              <w:t>Editorial and Theses is justified to ensure the reliability of the research synthesis.</w:t>
            </w:r>
          </w:p>
        </w:tc>
      </w:tr>
      <w:tr w:rsidR="000946F6" w:rsidRPr="001270B7" w14:paraId="0000D8F5" w14:textId="77777777" w:rsidTr="00FB6928">
        <w:trPr>
          <w:trHeight w:val="1650"/>
        </w:trPr>
        <w:tc>
          <w:tcPr>
            <w:tcW w:w="3700" w:type="dxa"/>
            <w:tcBorders>
              <w:top w:val="single" w:sz="8" w:space="0" w:color="auto"/>
              <w:left w:val="single" w:sz="8" w:space="0" w:color="auto"/>
              <w:bottom w:val="single" w:sz="8" w:space="0" w:color="auto"/>
              <w:right w:val="single" w:sz="8" w:space="0" w:color="auto"/>
            </w:tcBorders>
          </w:tcPr>
          <w:p w14:paraId="4A904599"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lastRenderedPageBreak/>
              <w:t xml:space="preserve">Time period </w:t>
            </w:r>
          </w:p>
        </w:tc>
        <w:tc>
          <w:tcPr>
            <w:tcW w:w="1693" w:type="dxa"/>
            <w:tcBorders>
              <w:top w:val="single" w:sz="8" w:space="0" w:color="auto"/>
              <w:left w:val="single" w:sz="8" w:space="0" w:color="auto"/>
              <w:bottom w:val="single" w:sz="8" w:space="0" w:color="auto"/>
              <w:right w:val="single" w:sz="8" w:space="0" w:color="auto"/>
            </w:tcBorders>
          </w:tcPr>
          <w:p w14:paraId="1BCAD99F"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Studies published from 2012 to 2023    </w:t>
            </w:r>
          </w:p>
        </w:tc>
        <w:tc>
          <w:tcPr>
            <w:tcW w:w="1865" w:type="dxa"/>
            <w:tcBorders>
              <w:top w:val="single" w:sz="8" w:space="0" w:color="auto"/>
              <w:left w:val="single" w:sz="8" w:space="0" w:color="auto"/>
              <w:bottom w:val="single" w:sz="8" w:space="0" w:color="auto"/>
              <w:right w:val="single" w:sz="8" w:space="0" w:color="auto"/>
            </w:tcBorders>
          </w:tcPr>
          <w:p w14:paraId="500B76D6"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Studies published before 2012    </w:t>
            </w:r>
          </w:p>
        </w:tc>
        <w:tc>
          <w:tcPr>
            <w:tcW w:w="1865" w:type="dxa"/>
            <w:tcBorders>
              <w:top w:val="single" w:sz="8" w:space="0" w:color="auto"/>
              <w:left w:val="single" w:sz="8" w:space="0" w:color="auto"/>
              <w:bottom w:val="single" w:sz="8" w:space="0" w:color="auto"/>
              <w:right w:val="single" w:sz="8" w:space="0" w:color="auto"/>
            </w:tcBorders>
          </w:tcPr>
          <w:p w14:paraId="62DAD3EB" w14:textId="52EBA163" w:rsidR="000946F6" w:rsidRPr="001270B7" w:rsidRDefault="00153E53" w:rsidP="00376699">
            <w:pPr>
              <w:spacing w:before="100" w:beforeAutospacing="1" w:line="240" w:lineRule="auto"/>
              <w:rPr>
                <w:rFonts w:eastAsia="Times New Roman" w:cs="Times New Roman"/>
                <w:color w:val="000000" w:themeColor="text1"/>
                <w:szCs w:val="24"/>
              </w:rPr>
            </w:pPr>
            <w:r>
              <w:rPr>
                <w:rFonts w:cs="Times New Roman"/>
                <w:color w:val="0D0D0D"/>
                <w:shd w:val="clear" w:color="auto" w:fill="FFFFFF"/>
              </w:rPr>
              <w:t>D</w:t>
            </w:r>
            <w:r w:rsidRPr="000F25A5">
              <w:rPr>
                <w:rFonts w:cs="Times New Roman"/>
                <w:color w:val="0D0D0D"/>
                <w:shd w:val="clear" w:color="auto" w:fill="FFFFFF"/>
              </w:rPr>
              <w:t>ue to the dynamic changes in support services, policies, and immigration patterns</w:t>
            </w:r>
            <w:r>
              <w:rPr>
                <w:rFonts w:cs="Times New Roman"/>
                <w:color w:val="0D0D0D"/>
                <w:shd w:val="clear" w:color="auto" w:fill="FFFFFF"/>
              </w:rPr>
              <w:t xml:space="preserve"> the review </w:t>
            </w:r>
            <w:r w:rsidRPr="000F25A5">
              <w:rPr>
                <w:rFonts w:cs="Times New Roman"/>
                <w:color w:val="0D0D0D"/>
                <w:shd w:val="clear" w:color="auto" w:fill="FFFFFF"/>
              </w:rPr>
              <w:t xml:space="preserve">was limited to the </w:t>
            </w:r>
            <w:r w:rsidRPr="000F25A5">
              <w:rPr>
                <w:rFonts w:cs="Times New Roman"/>
                <w:color w:val="0D0D0D"/>
                <w:shd w:val="clear" w:color="auto" w:fill="FFFFFF"/>
              </w:rPr>
              <w:lastRenderedPageBreak/>
              <w:t xml:space="preserve">period </w:t>
            </w:r>
            <w:r>
              <w:rPr>
                <w:rFonts w:cs="Times New Roman"/>
                <w:color w:val="0D0D0D"/>
                <w:shd w:val="clear" w:color="auto" w:fill="FFFFFF"/>
              </w:rPr>
              <w:t>of</w:t>
            </w:r>
            <w:r w:rsidRPr="000F25A5">
              <w:rPr>
                <w:rFonts w:cs="Times New Roman"/>
                <w:color w:val="0D0D0D"/>
                <w:shd w:val="clear" w:color="auto" w:fill="FFFFFF"/>
              </w:rPr>
              <w:t xml:space="preserve"> 2012 to 2023 to ensure </w:t>
            </w:r>
            <w:r>
              <w:rPr>
                <w:rFonts w:cs="Times New Roman"/>
                <w:color w:val="0D0D0D"/>
                <w:shd w:val="clear" w:color="auto" w:fill="FFFFFF"/>
              </w:rPr>
              <w:t xml:space="preserve">currency of data and </w:t>
            </w:r>
            <w:bookmarkStart w:id="0" w:name="OLE_LINK36"/>
            <w:r w:rsidRPr="00D414C2">
              <w:t>also informed by the work of Miyawaki et al’s., (2015)</w:t>
            </w:r>
            <w:bookmarkEnd w:id="0"/>
            <w:r w:rsidRPr="00D414C2">
              <w:t xml:space="preserve"> review which identified domains of care experiences among studies of Asian migrant caregivers between 2000 and 2012</w:t>
            </w:r>
            <w:r w:rsidR="00E258E4">
              <w:t>.</w:t>
            </w:r>
          </w:p>
        </w:tc>
      </w:tr>
      <w:tr w:rsidR="000946F6" w:rsidRPr="001270B7" w14:paraId="6F68F93D" w14:textId="77777777" w:rsidTr="00FB6928">
        <w:trPr>
          <w:gridAfter w:val="1"/>
          <w:wAfter w:w="1865" w:type="dxa"/>
          <w:trHeight w:val="420"/>
        </w:trPr>
        <w:tc>
          <w:tcPr>
            <w:tcW w:w="3700" w:type="dxa"/>
            <w:tcBorders>
              <w:top w:val="single" w:sz="8" w:space="0" w:color="auto"/>
              <w:left w:val="single" w:sz="8" w:space="0" w:color="auto"/>
              <w:bottom w:val="single" w:sz="8" w:space="0" w:color="auto"/>
              <w:right w:val="single" w:sz="8" w:space="0" w:color="auto"/>
            </w:tcBorders>
          </w:tcPr>
          <w:p w14:paraId="3B8FE8C6"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lastRenderedPageBreak/>
              <w:t xml:space="preserve">Language </w:t>
            </w:r>
          </w:p>
        </w:tc>
        <w:tc>
          <w:tcPr>
            <w:tcW w:w="1693" w:type="dxa"/>
            <w:tcBorders>
              <w:top w:val="single" w:sz="8" w:space="0" w:color="auto"/>
              <w:left w:val="single" w:sz="8" w:space="0" w:color="auto"/>
              <w:bottom w:val="single" w:sz="8" w:space="0" w:color="auto"/>
              <w:right w:val="single" w:sz="8" w:space="0" w:color="auto"/>
            </w:tcBorders>
          </w:tcPr>
          <w:p w14:paraId="1AE1CF7F" w14:textId="77777777" w:rsidR="000946F6" w:rsidRPr="001270B7" w:rsidRDefault="000946F6" w:rsidP="00376699">
            <w:pPr>
              <w:spacing w:before="100" w:beforeAutospacing="1" w:line="240" w:lineRule="auto"/>
              <w:rPr>
                <w:szCs w:val="24"/>
              </w:rPr>
            </w:pPr>
            <w:r w:rsidRPr="001270B7">
              <w:rPr>
                <w:rFonts w:eastAsia="Times New Roman" w:cs="Times New Roman"/>
                <w:szCs w:val="24"/>
              </w:rPr>
              <w:t xml:space="preserve">No language limitation </w:t>
            </w:r>
          </w:p>
        </w:tc>
        <w:tc>
          <w:tcPr>
            <w:tcW w:w="1865" w:type="dxa"/>
            <w:tcBorders>
              <w:top w:val="single" w:sz="8" w:space="0" w:color="auto"/>
              <w:left w:val="nil"/>
              <w:bottom w:val="single" w:sz="8" w:space="0" w:color="auto"/>
              <w:right w:val="single" w:sz="8" w:space="0" w:color="auto"/>
            </w:tcBorders>
          </w:tcPr>
          <w:p w14:paraId="63E1FB0C" w14:textId="77777777" w:rsidR="000946F6" w:rsidRPr="001270B7" w:rsidRDefault="000946F6" w:rsidP="00376699">
            <w:pPr>
              <w:spacing w:before="100" w:beforeAutospacing="1" w:line="240" w:lineRule="auto"/>
              <w:rPr>
                <w:rFonts w:cs="Times New Roman"/>
                <w:szCs w:val="24"/>
              </w:rPr>
            </w:pPr>
            <w:r w:rsidRPr="001270B7">
              <w:rPr>
                <w:rFonts w:eastAsia="Times New Roman" w:cs="Times New Roman"/>
                <w:color w:val="000000" w:themeColor="text1"/>
                <w:szCs w:val="24"/>
              </w:rPr>
              <w:t xml:space="preserve">Language restrictions were not imposed in this scoping review as recommended in JBI guidance. Although no language limitations were initially imposed in this study, it is noteworthy that all selected </w:t>
            </w:r>
            <w:r w:rsidRPr="001270B7">
              <w:rPr>
                <w:rFonts w:cs="Times New Roman"/>
                <w:color w:val="000000" w:themeColor="text1"/>
                <w:szCs w:val="24"/>
                <w:lang w:eastAsia="zh-CN"/>
              </w:rPr>
              <w:t>studies</w:t>
            </w:r>
            <w:r w:rsidRPr="001270B7">
              <w:rPr>
                <w:rFonts w:eastAsia="Times New Roman" w:cs="Times New Roman"/>
                <w:color w:val="000000" w:themeColor="text1"/>
                <w:szCs w:val="24"/>
              </w:rPr>
              <w:t xml:space="preserve"> are in English.</w:t>
            </w:r>
          </w:p>
        </w:tc>
      </w:tr>
      <w:tr w:rsidR="000946F6" w:rsidRPr="001270B7" w14:paraId="76E48E66" w14:textId="77777777" w:rsidTr="00FB6928">
        <w:trPr>
          <w:gridAfter w:val="3"/>
          <w:wAfter w:w="5423" w:type="dxa"/>
          <w:trHeight w:val="420"/>
        </w:trPr>
        <w:tc>
          <w:tcPr>
            <w:tcW w:w="3700" w:type="dxa"/>
            <w:tcBorders>
              <w:top w:val="single" w:sz="8" w:space="0" w:color="auto"/>
              <w:left w:val="single" w:sz="8" w:space="0" w:color="auto"/>
              <w:bottom w:val="single" w:sz="8" w:space="0" w:color="auto"/>
              <w:right w:val="single" w:sz="8" w:space="0" w:color="auto"/>
            </w:tcBorders>
            <w:shd w:val="clear" w:color="auto" w:fill="A5C9EB" w:themeFill="text2" w:themeFillTint="40"/>
          </w:tcPr>
          <w:p w14:paraId="292E78FF" w14:textId="77777777" w:rsidR="000946F6" w:rsidRPr="001270B7" w:rsidRDefault="000946F6" w:rsidP="00E258E4">
            <w:pPr>
              <w:spacing w:before="100" w:beforeAutospacing="1" w:line="240" w:lineRule="auto"/>
              <w:rPr>
                <w:szCs w:val="24"/>
              </w:rPr>
            </w:pPr>
            <w:r w:rsidRPr="001270B7">
              <w:rPr>
                <w:rFonts w:eastAsia="Times New Roman" w:cs="Times New Roman"/>
                <w:color w:val="000000" w:themeColor="text1"/>
                <w:szCs w:val="24"/>
              </w:rPr>
              <w:t xml:space="preserve">*East Asia has 8 countries: </w:t>
            </w:r>
            <w:r w:rsidRPr="001270B7">
              <w:rPr>
                <w:rFonts w:eastAsia="Times New Roman" w:cs="Times New Roman"/>
                <w:i/>
                <w:iCs/>
                <w:color w:val="000000" w:themeColor="text1"/>
                <w:szCs w:val="24"/>
              </w:rPr>
              <w:t>China, Japan, North Korea, South Korea, Taiwan, Hong Kong, Mongolia and Macao</w:t>
            </w:r>
            <w:r w:rsidRPr="001270B7">
              <w:rPr>
                <w:rFonts w:eastAsia="Times New Roman" w:cs="Times New Roman"/>
                <w:color w:val="000000" w:themeColor="text1"/>
                <w:szCs w:val="24"/>
              </w:rPr>
              <w:t xml:space="preserve">    </w:t>
            </w:r>
          </w:p>
        </w:tc>
      </w:tr>
    </w:tbl>
    <w:p w14:paraId="6EF2EDDA" w14:textId="2DF65CBE" w:rsidR="002E7BA2" w:rsidRDefault="002E7BA2">
      <w:pPr>
        <w:rPr>
          <w:rFonts w:cs="Times New Roman"/>
          <w:i/>
          <w:iCs/>
          <w:color w:val="000000" w:themeColor="text1"/>
          <w:sz w:val="22"/>
        </w:rPr>
      </w:pPr>
      <w:r w:rsidRPr="00010DDC">
        <w:rPr>
          <w:i/>
          <w:iCs/>
          <w:sz w:val="22"/>
          <w:lang w:eastAsia="zh-CN"/>
        </w:rPr>
        <w:t>Footnote:</w:t>
      </w:r>
      <w:r w:rsidRPr="00010DDC">
        <w:rPr>
          <w:i/>
          <w:iCs/>
          <w:sz w:val="22"/>
        </w:rPr>
        <w:t xml:space="preserve"> </w:t>
      </w:r>
      <w:r w:rsidRPr="00010DDC">
        <w:rPr>
          <w:i/>
          <w:iCs/>
          <w:sz w:val="22"/>
          <w:lang w:eastAsia="zh-CN"/>
        </w:rPr>
        <w:t>EAM = East Asian migrant (family caregiver</w:t>
      </w:r>
      <w:r w:rsidRPr="00CE719F">
        <w:rPr>
          <w:i/>
          <w:iCs/>
          <w:sz w:val="22"/>
          <w:lang w:eastAsia="zh-CN"/>
        </w:rPr>
        <w:t>); JBI=</w:t>
      </w:r>
      <w:r w:rsidRPr="00CE719F">
        <w:rPr>
          <w:rFonts w:cs="Times New Roman"/>
          <w:i/>
          <w:iCs/>
          <w:color w:val="000000" w:themeColor="text1"/>
          <w:sz w:val="22"/>
        </w:rPr>
        <w:t xml:space="preserve"> Joanna Briggs Institute</w:t>
      </w:r>
    </w:p>
    <w:p w14:paraId="4D6EC2C6" w14:textId="2E29CD01" w:rsidR="00A26B1E" w:rsidRPr="008170B1" w:rsidRDefault="00A26B1E" w:rsidP="00A26B1E">
      <w:pPr>
        <w:rPr>
          <w:szCs w:val="24"/>
          <w:lang w:eastAsia="zh-CN"/>
        </w:rPr>
      </w:pPr>
      <w:r w:rsidRPr="008170B1">
        <w:rPr>
          <w:szCs w:val="24"/>
          <w:lang w:eastAsia="zh-CN"/>
        </w:rPr>
        <w:t>Source: Author</w:t>
      </w:r>
      <w:r w:rsidR="00EB545D" w:rsidRPr="008170B1">
        <w:rPr>
          <w:rFonts w:hint="eastAsia"/>
          <w:szCs w:val="24"/>
          <w:lang w:eastAsia="zh-CN"/>
        </w:rPr>
        <w:t>s</w:t>
      </w:r>
      <w:r w:rsidR="00AE4523" w:rsidRPr="008170B1">
        <w:rPr>
          <w:rFonts w:hint="eastAsia"/>
          <w:szCs w:val="24"/>
          <w:lang w:eastAsia="zh-CN"/>
        </w:rPr>
        <w:t xml:space="preserve"> </w:t>
      </w:r>
      <w:r w:rsidRPr="008170B1">
        <w:rPr>
          <w:szCs w:val="24"/>
          <w:lang w:eastAsia="zh-CN"/>
        </w:rPr>
        <w:t>own work</w:t>
      </w:r>
    </w:p>
    <w:p w14:paraId="681F25F0" w14:textId="77777777" w:rsidR="00A26B1E" w:rsidRPr="0059683E" w:rsidRDefault="00A26B1E">
      <w:pPr>
        <w:rPr>
          <w:i/>
          <w:iCs/>
          <w:sz w:val="22"/>
          <w:lang w:eastAsia="zh-CN"/>
        </w:rPr>
      </w:pPr>
    </w:p>
    <w:sectPr w:rsidR="00A26B1E" w:rsidRPr="0059683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6311" w14:textId="77777777" w:rsidR="00C93AE6" w:rsidRDefault="00C93AE6" w:rsidP="000946F6">
      <w:pPr>
        <w:spacing w:line="240" w:lineRule="auto"/>
      </w:pPr>
      <w:r>
        <w:separator/>
      </w:r>
    </w:p>
  </w:endnote>
  <w:endnote w:type="continuationSeparator" w:id="0">
    <w:p w14:paraId="47C5754E" w14:textId="77777777" w:rsidR="00C93AE6" w:rsidRDefault="00C93AE6" w:rsidP="0009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FF92" w14:textId="77777777" w:rsidR="00355F67" w:rsidRDefault="00355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8106" w14:textId="77777777" w:rsidR="00355F67" w:rsidRDefault="00355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91E0" w14:textId="77777777" w:rsidR="00355F67" w:rsidRDefault="00355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12E8" w14:textId="77777777" w:rsidR="00C93AE6" w:rsidRDefault="00C93AE6" w:rsidP="000946F6">
      <w:pPr>
        <w:spacing w:line="240" w:lineRule="auto"/>
      </w:pPr>
      <w:r>
        <w:separator/>
      </w:r>
    </w:p>
  </w:footnote>
  <w:footnote w:type="continuationSeparator" w:id="0">
    <w:p w14:paraId="4AAF8EF8" w14:textId="77777777" w:rsidR="00C93AE6" w:rsidRDefault="00C93AE6" w:rsidP="000946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84B4" w14:textId="77777777" w:rsidR="00355F67" w:rsidRDefault="00355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3CF8" w14:textId="3224BC99" w:rsidR="00FB6928" w:rsidRDefault="00FB6928" w:rsidP="00992DE8">
    <w:pPr>
      <w:pStyle w:val="Header"/>
      <w:ind w:left="4513" w:hanging="4513"/>
      <w:rPr>
        <w:b/>
        <w:bCs/>
      </w:rPr>
    </w:pPr>
    <w:r>
      <w:rPr>
        <w:b/>
        <w:bCs/>
      </w:rPr>
      <w:t>Supplementary file</w:t>
    </w:r>
  </w:p>
  <w:p w14:paraId="28BED46E" w14:textId="77777777" w:rsidR="00FB6928" w:rsidRDefault="00FB6928" w:rsidP="00992DE8">
    <w:pPr>
      <w:pStyle w:val="Header"/>
      <w:ind w:left="4513" w:hanging="4513"/>
      <w:rPr>
        <w:b/>
        <w:bCs/>
      </w:rPr>
    </w:pPr>
  </w:p>
  <w:p w14:paraId="059113B7" w14:textId="69861101" w:rsidR="00355F67" w:rsidRDefault="00992DE8" w:rsidP="00992DE8">
    <w:pPr>
      <w:pStyle w:val="Header"/>
      <w:ind w:left="4513" w:hanging="4513"/>
      <w:rPr>
        <w:b/>
        <w:bCs/>
      </w:rPr>
    </w:pPr>
    <w:r w:rsidRPr="00992DE8">
      <w:rPr>
        <w:b/>
        <w:bCs/>
      </w:rPr>
      <w:t xml:space="preserve">Table </w:t>
    </w:r>
    <w:r w:rsidR="00355F67">
      <w:rPr>
        <w:b/>
        <w:bCs/>
      </w:rPr>
      <w:t>1</w:t>
    </w:r>
    <w:r w:rsidRPr="00992DE8">
      <w:rPr>
        <w:b/>
        <w:bCs/>
      </w:rPr>
      <w:t>: Inclusion and Exclusion Criteria</w:t>
    </w:r>
  </w:p>
  <w:p w14:paraId="5A5F2E20" w14:textId="77777777" w:rsidR="00355F67" w:rsidRDefault="00355F67" w:rsidP="00992DE8">
    <w:pPr>
      <w:pStyle w:val="Header"/>
      <w:ind w:left="4513" w:hanging="4513"/>
      <w:rPr>
        <w:b/>
        <w:bCs/>
      </w:rPr>
    </w:pPr>
  </w:p>
  <w:p w14:paraId="16811D55" w14:textId="77777777" w:rsidR="00355F67" w:rsidRDefault="00355F67" w:rsidP="00992DE8">
    <w:pPr>
      <w:pStyle w:val="Header"/>
      <w:ind w:left="4513" w:hanging="4513"/>
      <w:rPr>
        <w:b/>
        <w:bCs/>
      </w:rPr>
    </w:pPr>
  </w:p>
  <w:p w14:paraId="5A92BD5F" w14:textId="29AE15A5" w:rsidR="00992DE8" w:rsidRDefault="00992DE8" w:rsidP="00992DE8">
    <w:pPr>
      <w:pStyle w:val="Header"/>
      <w:ind w:left="4513" w:hanging="4513"/>
      <w:rPr>
        <w:b/>
        <w:bCs/>
      </w:rPr>
    </w:pPr>
    <w:r w:rsidRPr="00992DE8">
      <w:rPr>
        <w:b/>
        <w:bCs/>
      </w:rPr>
      <w:t xml:space="preserve"> </w:t>
    </w:r>
  </w:p>
  <w:p w14:paraId="3885B999" w14:textId="77777777" w:rsidR="00FB6928" w:rsidRDefault="00FB6928" w:rsidP="00992DE8">
    <w:pPr>
      <w:pStyle w:val="Header"/>
      <w:ind w:left="4513" w:hanging="4513"/>
      <w:rPr>
        <w:b/>
        <w:bCs/>
      </w:rPr>
    </w:pPr>
  </w:p>
  <w:p w14:paraId="7D2DECE8" w14:textId="77777777" w:rsidR="00FB6928" w:rsidRPr="00992DE8" w:rsidRDefault="00FB6928" w:rsidP="00992DE8">
    <w:pPr>
      <w:pStyle w:val="Header"/>
      <w:ind w:left="4513" w:hanging="4513"/>
      <w:rPr>
        <w:b/>
        <w:bCs/>
      </w:rPr>
    </w:pPr>
  </w:p>
  <w:p w14:paraId="15B8BA2C" w14:textId="77777777" w:rsidR="00992DE8" w:rsidRDefault="00992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7215" w14:textId="77777777" w:rsidR="00355F67" w:rsidRDefault="00355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5E"/>
    <w:rsid w:val="0000653A"/>
    <w:rsid w:val="00053B67"/>
    <w:rsid w:val="000946F6"/>
    <w:rsid w:val="00126AEF"/>
    <w:rsid w:val="00153E53"/>
    <w:rsid w:val="00201D3A"/>
    <w:rsid w:val="00224A29"/>
    <w:rsid w:val="002E7BA2"/>
    <w:rsid w:val="00355F67"/>
    <w:rsid w:val="00376699"/>
    <w:rsid w:val="0038182F"/>
    <w:rsid w:val="00415199"/>
    <w:rsid w:val="00435817"/>
    <w:rsid w:val="004B1129"/>
    <w:rsid w:val="004E4FC6"/>
    <w:rsid w:val="0052355C"/>
    <w:rsid w:val="00584079"/>
    <w:rsid w:val="0059683E"/>
    <w:rsid w:val="00621C5E"/>
    <w:rsid w:val="006321C9"/>
    <w:rsid w:val="006D7F9B"/>
    <w:rsid w:val="00736124"/>
    <w:rsid w:val="008170B1"/>
    <w:rsid w:val="00992DE8"/>
    <w:rsid w:val="00997B88"/>
    <w:rsid w:val="00A26B1E"/>
    <w:rsid w:val="00A431BB"/>
    <w:rsid w:val="00AE4523"/>
    <w:rsid w:val="00BA02DC"/>
    <w:rsid w:val="00BF4A31"/>
    <w:rsid w:val="00C534A8"/>
    <w:rsid w:val="00C836B7"/>
    <w:rsid w:val="00C93AE6"/>
    <w:rsid w:val="00DC21D7"/>
    <w:rsid w:val="00DE282E"/>
    <w:rsid w:val="00DE62AC"/>
    <w:rsid w:val="00E258E4"/>
    <w:rsid w:val="00E96CEF"/>
    <w:rsid w:val="00EB545D"/>
    <w:rsid w:val="00EC517A"/>
    <w:rsid w:val="00ED75AE"/>
    <w:rsid w:val="00F36771"/>
    <w:rsid w:val="00F95A77"/>
    <w:rsid w:val="00FB6928"/>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4E875"/>
  <w15:chartTrackingRefBased/>
  <w15:docId w15:val="{357B6203-1E89-4DAD-8FB8-30855433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F6"/>
    <w:pPr>
      <w:keepLines/>
      <w:spacing w:after="0" w:line="360" w:lineRule="auto"/>
    </w:pPr>
    <w:rPr>
      <w:rFonts w:ascii="Times New Roman" w:hAnsi="Times New Roman"/>
      <w:kern w:val="0"/>
      <w:szCs w:val="22"/>
      <w:lang w:eastAsia="en-US"/>
      <w14:ligatures w14:val="none"/>
    </w:rPr>
  </w:style>
  <w:style w:type="paragraph" w:styleId="Heading1">
    <w:name w:val="heading 1"/>
    <w:basedOn w:val="Normal"/>
    <w:next w:val="Normal"/>
    <w:link w:val="Heading1Char"/>
    <w:uiPriority w:val="9"/>
    <w:qFormat/>
    <w:rsid w:val="00621C5E"/>
    <w:pPr>
      <w:keepNext/>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621C5E"/>
    <w:pPr>
      <w:keepNext/>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621C5E"/>
    <w:pPr>
      <w:keepNext/>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621C5E"/>
    <w:pPr>
      <w:keepNext/>
      <w:spacing w:before="80" w:after="40" w:line="278" w:lineRule="auto"/>
      <w:outlineLvl w:val="3"/>
    </w:pPr>
    <w:rPr>
      <w:rFonts w:asciiTheme="minorHAnsi" w:eastAsiaTheme="majorEastAsia" w:hAnsiTheme="minorHAnsi" w:cstheme="majorBidi"/>
      <w:i/>
      <w:iCs/>
      <w:color w:val="0F4761" w:themeColor="accent1" w:themeShade="BF"/>
      <w:kern w:val="2"/>
      <w:szCs w:val="24"/>
      <w:lang w:eastAsia="zh-CN"/>
      <w14:ligatures w14:val="standardContextual"/>
    </w:rPr>
  </w:style>
  <w:style w:type="paragraph" w:styleId="Heading5">
    <w:name w:val="heading 5"/>
    <w:basedOn w:val="Normal"/>
    <w:next w:val="Normal"/>
    <w:link w:val="Heading5Char"/>
    <w:uiPriority w:val="9"/>
    <w:semiHidden/>
    <w:unhideWhenUsed/>
    <w:qFormat/>
    <w:rsid w:val="00621C5E"/>
    <w:pPr>
      <w:keepNext/>
      <w:spacing w:before="80" w:after="40" w:line="278" w:lineRule="auto"/>
      <w:outlineLvl w:val="4"/>
    </w:pPr>
    <w:rPr>
      <w:rFonts w:asciiTheme="minorHAnsi" w:eastAsiaTheme="majorEastAsia" w:hAnsiTheme="minorHAnsi" w:cstheme="majorBidi"/>
      <w:color w:val="0F4761"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621C5E"/>
    <w:pPr>
      <w:keepNext/>
      <w:spacing w:before="40" w:line="278" w:lineRule="auto"/>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Heading7">
    <w:name w:val="heading 7"/>
    <w:basedOn w:val="Normal"/>
    <w:next w:val="Normal"/>
    <w:link w:val="Heading7Char"/>
    <w:uiPriority w:val="9"/>
    <w:semiHidden/>
    <w:unhideWhenUsed/>
    <w:qFormat/>
    <w:rsid w:val="00621C5E"/>
    <w:pPr>
      <w:keepNext/>
      <w:spacing w:before="40" w:line="278" w:lineRule="auto"/>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Heading8">
    <w:name w:val="heading 8"/>
    <w:basedOn w:val="Normal"/>
    <w:next w:val="Normal"/>
    <w:link w:val="Heading8Char"/>
    <w:uiPriority w:val="9"/>
    <w:semiHidden/>
    <w:unhideWhenUsed/>
    <w:qFormat/>
    <w:rsid w:val="00621C5E"/>
    <w:pPr>
      <w:keepNext/>
      <w:spacing w:line="278" w:lineRule="auto"/>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Heading9">
    <w:name w:val="heading 9"/>
    <w:basedOn w:val="Normal"/>
    <w:next w:val="Normal"/>
    <w:link w:val="Heading9Char"/>
    <w:uiPriority w:val="9"/>
    <w:semiHidden/>
    <w:unhideWhenUsed/>
    <w:qFormat/>
    <w:rsid w:val="00621C5E"/>
    <w:pPr>
      <w:keepNext/>
      <w:spacing w:line="278" w:lineRule="auto"/>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C5E"/>
    <w:rPr>
      <w:rFonts w:eastAsiaTheme="majorEastAsia" w:cstheme="majorBidi"/>
      <w:color w:val="272727" w:themeColor="text1" w:themeTint="D8"/>
    </w:rPr>
  </w:style>
  <w:style w:type="paragraph" w:styleId="Title">
    <w:name w:val="Title"/>
    <w:basedOn w:val="Normal"/>
    <w:next w:val="Normal"/>
    <w:link w:val="TitleChar"/>
    <w:uiPriority w:val="10"/>
    <w:qFormat/>
    <w:rsid w:val="00621C5E"/>
    <w:pPr>
      <w:keepLines w:val="0"/>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62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C5E"/>
    <w:pPr>
      <w:keepLines w:val="0"/>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62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C5E"/>
    <w:pPr>
      <w:keepLines w:val="0"/>
      <w:spacing w:before="160" w:after="160" w:line="278" w:lineRule="auto"/>
      <w:jc w:val="center"/>
    </w:pPr>
    <w:rPr>
      <w:rFonts w:asciiTheme="minorHAnsi" w:hAnsiTheme="minorHAnsi"/>
      <w:i/>
      <w:iCs/>
      <w:color w:val="404040" w:themeColor="text1" w:themeTint="BF"/>
      <w:kern w:val="2"/>
      <w:szCs w:val="24"/>
      <w:lang w:eastAsia="zh-CN"/>
      <w14:ligatures w14:val="standardContextual"/>
    </w:rPr>
  </w:style>
  <w:style w:type="character" w:customStyle="1" w:styleId="QuoteChar">
    <w:name w:val="Quote Char"/>
    <w:basedOn w:val="DefaultParagraphFont"/>
    <w:link w:val="Quote"/>
    <w:uiPriority w:val="29"/>
    <w:rsid w:val="00621C5E"/>
    <w:rPr>
      <w:i/>
      <w:iCs/>
      <w:color w:val="404040" w:themeColor="text1" w:themeTint="BF"/>
    </w:rPr>
  </w:style>
  <w:style w:type="paragraph" w:styleId="ListParagraph">
    <w:name w:val="List Paragraph"/>
    <w:basedOn w:val="Normal"/>
    <w:uiPriority w:val="34"/>
    <w:qFormat/>
    <w:rsid w:val="00621C5E"/>
    <w:pPr>
      <w:keepLines w:val="0"/>
      <w:spacing w:after="160" w:line="278" w:lineRule="auto"/>
      <w:ind w:left="720"/>
      <w:contextualSpacing/>
    </w:pPr>
    <w:rPr>
      <w:rFonts w:asciiTheme="minorHAnsi" w:hAnsiTheme="minorHAnsi"/>
      <w:kern w:val="2"/>
      <w:szCs w:val="24"/>
      <w:lang w:eastAsia="zh-CN"/>
      <w14:ligatures w14:val="standardContextual"/>
    </w:rPr>
  </w:style>
  <w:style w:type="character" w:styleId="IntenseEmphasis">
    <w:name w:val="Intense Emphasis"/>
    <w:basedOn w:val="DefaultParagraphFont"/>
    <w:uiPriority w:val="21"/>
    <w:qFormat/>
    <w:rsid w:val="00621C5E"/>
    <w:rPr>
      <w:i/>
      <w:iCs/>
      <w:color w:val="0F4761" w:themeColor="accent1" w:themeShade="BF"/>
    </w:rPr>
  </w:style>
  <w:style w:type="paragraph" w:styleId="IntenseQuote">
    <w:name w:val="Intense Quote"/>
    <w:basedOn w:val="Normal"/>
    <w:next w:val="Normal"/>
    <w:link w:val="IntenseQuoteChar"/>
    <w:uiPriority w:val="30"/>
    <w:qFormat/>
    <w:rsid w:val="00621C5E"/>
    <w:pPr>
      <w:keepLines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eastAsia="zh-CN"/>
      <w14:ligatures w14:val="standardContextual"/>
    </w:rPr>
  </w:style>
  <w:style w:type="character" w:customStyle="1" w:styleId="IntenseQuoteChar">
    <w:name w:val="Intense Quote Char"/>
    <w:basedOn w:val="DefaultParagraphFont"/>
    <w:link w:val="IntenseQuote"/>
    <w:uiPriority w:val="30"/>
    <w:rsid w:val="00621C5E"/>
    <w:rPr>
      <w:i/>
      <w:iCs/>
      <w:color w:val="0F4761" w:themeColor="accent1" w:themeShade="BF"/>
    </w:rPr>
  </w:style>
  <w:style w:type="character" w:styleId="IntenseReference">
    <w:name w:val="Intense Reference"/>
    <w:basedOn w:val="DefaultParagraphFont"/>
    <w:uiPriority w:val="32"/>
    <w:qFormat/>
    <w:rsid w:val="00621C5E"/>
    <w:rPr>
      <w:b/>
      <w:bCs/>
      <w:smallCaps/>
      <w:color w:val="0F4761" w:themeColor="accent1" w:themeShade="BF"/>
      <w:spacing w:val="5"/>
    </w:rPr>
  </w:style>
  <w:style w:type="paragraph" w:styleId="Header">
    <w:name w:val="header"/>
    <w:basedOn w:val="Normal"/>
    <w:link w:val="HeaderChar"/>
    <w:uiPriority w:val="99"/>
    <w:unhideWhenUsed/>
    <w:rsid w:val="000946F6"/>
    <w:pPr>
      <w:keepLines w:val="0"/>
      <w:tabs>
        <w:tab w:val="center" w:pos="4513"/>
        <w:tab w:val="right" w:pos="9026"/>
      </w:tabs>
      <w:spacing w:line="240" w:lineRule="auto"/>
    </w:pPr>
    <w:rPr>
      <w:rFonts w:asciiTheme="minorHAnsi" w:hAnsiTheme="minorHAnsi"/>
      <w:kern w:val="2"/>
      <w:szCs w:val="24"/>
      <w:lang w:eastAsia="zh-CN"/>
      <w14:ligatures w14:val="standardContextual"/>
    </w:rPr>
  </w:style>
  <w:style w:type="character" w:customStyle="1" w:styleId="HeaderChar">
    <w:name w:val="Header Char"/>
    <w:basedOn w:val="DefaultParagraphFont"/>
    <w:link w:val="Header"/>
    <w:uiPriority w:val="99"/>
    <w:rsid w:val="000946F6"/>
  </w:style>
  <w:style w:type="paragraph" w:styleId="Footer">
    <w:name w:val="footer"/>
    <w:basedOn w:val="Normal"/>
    <w:link w:val="FooterChar"/>
    <w:uiPriority w:val="99"/>
    <w:unhideWhenUsed/>
    <w:rsid w:val="000946F6"/>
    <w:pPr>
      <w:keepLines w:val="0"/>
      <w:tabs>
        <w:tab w:val="center" w:pos="4513"/>
        <w:tab w:val="right" w:pos="9026"/>
      </w:tabs>
      <w:spacing w:line="240" w:lineRule="auto"/>
    </w:pPr>
    <w:rPr>
      <w:rFonts w:asciiTheme="minorHAnsi" w:hAnsiTheme="minorHAnsi"/>
      <w:kern w:val="2"/>
      <w:szCs w:val="24"/>
      <w:lang w:eastAsia="zh-CN"/>
      <w14:ligatures w14:val="standardContextual"/>
    </w:rPr>
  </w:style>
  <w:style w:type="character" w:customStyle="1" w:styleId="FooterChar">
    <w:name w:val="Footer Char"/>
    <w:basedOn w:val="DefaultParagraphFont"/>
    <w:link w:val="Footer"/>
    <w:uiPriority w:val="99"/>
    <w:rsid w:val="0009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Company>University of Limerick</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Wenyi.Tang</dc:creator>
  <cp:keywords/>
  <dc:description/>
  <cp:lastModifiedBy>Vidhi Tyagi</cp:lastModifiedBy>
  <cp:revision>23</cp:revision>
  <dcterms:created xsi:type="dcterms:W3CDTF">2025-07-14T09:25:00Z</dcterms:created>
  <dcterms:modified xsi:type="dcterms:W3CDTF">2026-04-20T10:37:00Z</dcterms:modified>
</cp:coreProperties>
</file>