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6FC50" w14:textId="3E249D27" w:rsidR="0035485E" w:rsidRPr="0035485E" w:rsidRDefault="0035485E" w:rsidP="001545F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485E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="0084130D">
        <w:rPr>
          <w:rFonts w:ascii="Times New Roman" w:hAnsi="Times New Roman" w:cs="Times New Roman"/>
          <w:b/>
          <w:bCs/>
          <w:sz w:val="28"/>
          <w:szCs w:val="28"/>
        </w:rPr>
        <w:t xml:space="preserve"> information</w:t>
      </w:r>
      <w:r w:rsidRPr="0035485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7D0CEA8" w14:textId="77777777" w:rsidR="0035485E" w:rsidRPr="0035485E" w:rsidRDefault="0035485E" w:rsidP="001545F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60CD6B" w14:textId="77777777" w:rsidR="0035485E" w:rsidRPr="0035485E" w:rsidRDefault="0035485E" w:rsidP="001545F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485E">
        <w:rPr>
          <w:rFonts w:ascii="Times New Roman" w:hAnsi="Times New Roman" w:cs="Times New Roman"/>
          <w:b/>
          <w:bCs/>
          <w:sz w:val="28"/>
          <w:szCs w:val="28"/>
        </w:rPr>
        <w:t>Open finance in Brazil: Moving towards environmental and social sustainability</w:t>
      </w:r>
    </w:p>
    <w:p w14:paraId="3056D3BC" w14:textId="67F9BB0A" w:rsidR="0035485E" w:rsidRPr="0035485E" w:rsidRDefault="0035485E" w:rsidP="001545F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85E">
        <w:rPr>
          <w:rFonts w:ascii="Times New Roman" w:hAnsi="Times New Roman" w:cs="Times New Roman"/>
          <w:sz w:val="24"/>
          <w:szCs w:val="24"/>
        </w:rPr>
        <w:tab/>
      </w:r>
    </w:p>
    <w:p w14:paraId="551FB6F7" w14:textId="05D4727F" w:rsidR="00593BC5" w:rsidRPr="00C5513D" w:rsidRDefault="0035485E" w:rsidP="001545F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13D">
        <w:rPr>
          <w:rFonts w:ascii="Times New Roman" w:hAnsi="Times New Roman" w:cs="Times New Roman"/>
          <w:b/>
          <w:bCs/>
          <w:sz w:val="24"/>
          <w:szCs w:val="24"/>
        </w:rPr>
        <w:t>SI.1</w:t>
      </w:r>
      <w:r w:rsidR="002E5EC9" w:rsidRPr="00C5513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EC9" w:rsidRPr="00C5513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D2450" w:rsidRPr="00C5513D">
        <w:rPr>
          <w:rFonts w:ascii="Times New Roman" w:hAnsi="Times New Roman" w:cs="Times New Roman"/>
          <w:b/>
          <w:bCs/>
          <w:sz w:val="24"/>
          <w:szCs w:val="24"/>
        </w:rPr>
        <w:t>pen-</w:t>
      </w:r>
      <w:r w:rsidR="001545FC" w:rsidRPr="00C5513D">
        <w:rPr>
          <w:rFonts w:ascii="Times New Roman" w:hAnsi="Times New Roman" w:cs="Times New Roman"/>
          <w:b/>
          <w:bCs/>
          <w:sz w:val="24"/>
          <w:szCs w:val="24"/>
        </w:rPr>
        <w:t>finance</w:t>
      </w:r>
      <w:r w:rsidR="00FD2450" w:rsidRPr="00C5513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175D9D" w:rsidRPr="00C5513D">
        <w:rPr>
          <w:rFonts w:ascii="Times New Roman" w:hAnsi="Times New Roman" w:cs="Times New Roman"/>
          <w:b/>
          <w:bCs/>
          <w:sz w:val="24"/>
          <w:szCs w:val="24"/>
        </w:rPr>
        <w:t xml:space="preserve">related 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 xml:space="preserve">Brazilian policy documents referred to in the main text </w:t>
      </w:r>
    </w:p>
    <w:p w14:paraId="58A22D8E" w14:textId="232303B4" w:rsidR="0035485E" w:rsidRPr="00C5513D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C55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SI.1.1</w:t>
      </w:r>
      <w:r w:rsidR="002E5EC9" w:rsidRPr="00C55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</w:t>
      </w:r>
      <w:r w:rsidRPr="00C55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 Joint Resolution 1/2020 (BACEN </w:t>
      </w:r>
      <w:r w:rsidR="00FD2450" w:rsidRPr="00C55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and </w:t>
      </w:r>
      <w:r w:rsidRPr="00C551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CMN)</w:t>
      </w:r>
    </w:p>
    <w:p w14:paraId="60BA9699" w14:textId="0DB49CBE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resolution launched Brazil’s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open b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anking framework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which was 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later expanded into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pen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inance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and was intended to boost competition, innovation, and inclusion.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It requires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that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financial institutions shar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ing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customer data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 terms of the framework do so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securely and with consent.</w:t>
      </w:r>
    </w:p>
    <w:p w14:paraId="29773C23" w14:textId="64EDD50D" w:rsidR="00593BC5" w:rsidRPr="009933BB" w:rsidRDefault="00593BC5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bookmarkStart w:id="0" w:name="_Hlk213235090"/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fldChar w:fldCharType="begin"/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instrText>HYPERLINK "https://www.bcb.gov.br/content/config/Documents/Open_Banking_CMN_BCB_Joint_Resolution_1_2020.pdf"</w:instrTex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fldChar w:fldCharType="separate"/>
      </w:r>
      <w:r w:rsidRPr="009933BB">
        <w:rPr>
          <w:rStyle w:val="Hyperlink"/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>https://www.bcb.gov.br/content/config/Documents/Open_Banking_CMN_BCB_Joint_Resolution_1_2020.pdf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fldChar w:fldCharType="end"/>
      </w:r>
      <w:bookmarkEnd w:id="0"/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 </w:t>
      </w:r>
    </w:p>
    <w:p w14:paraId="378C0DA9" w14:textId="77777777" w:rsidR="00593BC5" w:rsidRPr="009933BB" w:rsidRDefault="00593BC5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</w:p>
    <w:p w14:paraId="713048A4" w14:textId="13133E20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SI.1.2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 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Joint Resolution 4/2022 (BACEN &amp; CMN)</w:t>
      </w:r>
    </w:p>
    <w:p w14:paraId="645FAC58" w14:textId="23BD8583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updated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esolution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1/2020 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by officially renaming the system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as 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“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open finance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” and expanding its scope.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introduces interoperability and reciprocity, enabling broader data sharing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across banking, insurance, pension, and investment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services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B3C453C" w14:textId="22972AEC" w:rsidR="00593BC5" w:rsidRPr="009933BB" w:rsidRDefault="00593BC5" w:rsidP="00593BC5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hyperlink r:id="rId6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pt-PT" w:eastAsia="en-GB"/>
            <w14:ligatures w14:val="none"/>
          </w:rPr>
          <w:t>https://www.bcb.gov.br/estabilidadefinanceira/exibenormativo?tipo=Resolu%C3%A7%C3%A3o%20Conjunta&amp;numero=4</w:t>
        </w:r>
      </w:hyperlink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 </w:t>
      </w:r>
    </w:p>
    <w:p w14:paraId="51F8CC93" w14:textId="77777777" w:rsidR="00593BC5" w:rsidRPr="009933BB" w:rsidRDefault="00593BC5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</w:p>
    <w:p w14:paraId="4563940B" w14:textId="38B7C756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lastRenderedPageBreak/>
        <w:t>SI.1.3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 xml:space="preserve"> 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Resolution 4,658/2018 (BACEN)</w:t>
      </w:r>
    </w:p>
    <w:p w14:paraId="18334F4D" w14:textId="4FDEDC09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regulation sets cybersecurity standards for financial institutions.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It requires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these have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robust policies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designated officers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ensure third-party providers (including cloud services) comply with data protection and incident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reporting requirements.</w:t>
      </w:r>
    </w:p>
    <w:p w14:paraId="246292DB" w14:textId="4F93CC6A" w:rsidR="00427EB3" w:rsidRPr="009933BB" w:rsidRDefault="00593BC5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hyperlink r:id="rId7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pt-PT" w:eastAsia="en-GB"/>
            <w14:ligatures w14:val="none"/>
          </w:rPr>
          <w:t>https://www.bcb.gov.br/ingles/norms/Resolution%204658.pdf</w:t>
        </w:r>
      </w:hyperlink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 </w:t>
      </w:r>
    </w:p>
    <w:p w14:paraId="38979B36" w14:textId="77777777" w:rsidR="00593BC5" w:rsidRPr="009933BB" w:rsidRDefault="00593BC5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</w:p>
    <w:p w14:paraId="037606A2" w14:textId="33AC215C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SI.1.4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 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Resolution 400/2024 (BACEN)</w:t>
      </w:r>
    </w:p>
    <w:p w14:paraId="61E9172B" w14:textId="29150E94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resolution establishes the governance structure for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pen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inance in Brazil. It defines roles for decision-making bodies, mandates transparency, and requires periodic audits. It ensures inclusive participation and conflict mitigation among stakeholders.</w:t>
      </w:r>
    </w:p>
    <w:p w14:paraId="10224553" w14:textId="0F796B01" w:rsidR="00427EB3" w:rsidRPr="009933BB" w:rsidRDefault="00C3024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Link: </w:t>
      </w:r>
      <w:hyperlink r:id="rId8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https://www.bcb.gov.br/pre/normativos/res/2024/pdf/res_400_v1_O.pdf</w:t>
        </w:r>
      </w:hyperlink>
    </w:p>
    <w:p w14:paraId="4FE97C47" w14:textId="77777777" w:rsidR="00C3024E" w:rsidRPr="009933BB" w:rsidRDefault="00C3024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62AADCE" w14:textId="27DD1D4F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SI.1.5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 Law 13,709/2018 – LGPD (General Data Protection Law)</w:t>
      </w:r>
    </w:p>
    <w:p w14:paraId="6E5A81DD" w14:textId="7A2FA6D0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Brazil’s data protection law governs how personal data is collected, stored, and shared. It protects privacy rights and applies to public and private entities. It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 Brazil’s equivalent to the EU’s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General Data Protection Regulation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4C9C78F" w14:textId="601D2172" w:rsidR="00427EB3" w:rsidRPr="009933BB" w:rsidRDefault="00D92093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hyperlink r:id="rId9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pt-PT" w:eastAsia="en-GB"/>
            <w14:ligatures w14:val="none"/>
          </w:rPr>
          <w:t>https://www.planalto.gov.br/ccivil_03/_ato2015-2018/2018/lei/l13709.htm</w:t>
        </w:r>
      </w:hyperlink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 </w:t>
      </w:r>
    </w:p>
    <w:p w14:paraId="1C7BE169" w14:textId="77777777" w:rsidR="00D92093" w:rsidRPr="009933BB" w:rsidRDefault="00D92093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</w:p>
    <w:p w14:paraId="003653E8" w14:textId="111F79C5" w:rsidR="002774F1" w:rsidRPr="009933BB" w:rsidRDefault="00593BC5" w:rsidP="009D71C3">
      <w:pPr>
        <w:keepNext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SI.1.6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 xml:space="preserve"> 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Resolu</w:t>
      </w:r>
      <w:r w:rsidR="002774F1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tion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2774F1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1/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2020</w:t>
      </w:r>
      <w:r w:rsidR="002774F1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(BACEN) 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–</w:t>
      </w:r>
      <w:r w:rsidR="002774F1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Pix</w:t>
      </w:r>
    </w:p>
    <w:p w14:paraId="14238EE6" w14:textId="394D1767" w:rsidR="00175D9D" w:rsidRPr="009933BB" w:rsidRDefault="006A0351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Pix is Brazil’s instant payment system launched by the Central Bank in 2020. It enables real-time money transfers 24/7 using simple identifiers like phone numbers or email addresses. Pix has dramatically expanded financial access, with over 90% of adults and 18 million businesses </w:t>
      </w:r>
      <w:r w:rsidR="00FD2450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in Brazil 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using it for fast, secure transactions </w:t>
      </w:r>
      <w:r w:rsidRPr="009933BB">
        <w:rPr>
          <w:rFonts w:ascii="Times New Roman" w:hAnsi="Times New Roman" w:cs="Times New Roman"/>
          <w:sz w:val="24"/>
          <w:szCs w:val="24"/>
        </w:rPr>
        <w:t xml:space="preserve">(Aurazo </w:t>
      </w:r>
      <w:r w:rsidRPr="009933BB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9933BB">
        <w:rPr>
          <w:rFonts w:ascii="Times New Roman" w:hAnsi="Times New Roman" w:cs="Times New Roman"/>
          <w:sz w:val="24"/>
          <w:szCs w:val="24"/>
        </w:rPr>
        <w:t>, 2025).</w:t>
      </w:r>
    </w:p>
    <w:p w14:paraId="1F5DC359" w14:textId="239AAEF3" w:rsidR="00593BC5" w:rsidRPr="009933BB" w:rsidRDefault="002774F1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Link: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hyperlink r:id="rId10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https://www.bcb.gov.br/content/estabilidadefinanceira/pix/Pix_Regulation/Resolution_BCB_1.pdf</w:t>
        </w:r>
      </w:hyperlink>
    </w:p>
    <w:p w14:paraId="3A25321E" w14:textId="77777777" w:rsidR="00593BC5" w:rsidRPr="009933BB" w:rsidRDefault="00593BC5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C629D40" w14:textId="42D6A3A8" w:rsidR="00175D9D" w:rsidRPr="00C5513D" w:rsidRDefault="00175D9D" w:rsidP="009D71C3">
      <w:pPr>
        <w:keepNext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13D">
        <w:rPr>
          <w:rFonts w:ascii="Times New Roman" w:hAnsi="Times New Roman" w:cs="Times New Roman"/>
          <w:b/>
          <w:bCs/>
          <w:sz w:val="24"/>
          <w:szCs w:val="24"/>
        </w:rPr>
        <w:t>SI.2</w:t>
      </w:r>
      <w:r w:rsidR="002E5EC9" w:rsidRPr="00C5513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EC9" w:rsidRPr="00C5513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>ustainable</w:t>
      </w:r>
      <w:r w:rsidR="002E5EC9" w:rsidRPr="00C5513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>finance</w:t>
      </w:r>
      <w:r w:rsidR="002E5EC9" w:rsidRPr="00C5513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 xml:space="preserve">related Brazilian policy documents referred to in the main text </w:t>
      </w:r>
    </w:p>
    <w:p w14:paraId="2134E6CF" w14:textId="3F514A9C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SI.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 Resolution 3545/2008 (BACEN)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– Rural Credit Bureau (RCB)</w:t>
      </w:r>
    </w:p>
    <w:p w14:paraId="05875FDB" w14:textId="2CA80FB3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resolution ties rural</w:t>
      </w:r>
      <w:r w:rsidR="000E4D1C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credit eligibility in the Amazon biome to environmental compliance.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Farmers must demonstrate legal land ownership and environmental compliance 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access subsidized credit, aiming to reduce deforestation.</w:t>
      </w:r>
    </w:p>
    <w:p w14:paraId="6304C3F8" w14:textId="78533849" w:rsidR="00427EB3" w:rsidRPr="009933BB" w:rsidRDefault="00427EB3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hyperlink r:id="rId11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pt-PT" w:eastAsia="en-GB"/>
            <w14:ligatures w14:val="none"/>
          </w:rPr>
          <w:t>https://www.bcb.gov.br/pre/normativos/res/2008/pdf/res_3545_v1_O.pdf</w:t>
        </w:r>
      </w:hyperlink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 </w:t>
      </w:r>
    </w:p>
    <w:p w14:paraId="2118AF75" w14:textId="77777777" w:rsidR="00427EB3" w:rsidRPr="009933BB" w:rsidRDefault="00427EB3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</w:p>
    <w:p w14:paraId="35750111" w14:textId="466F1560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SI.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2.2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 xml:space="preserve"> 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CVM Resolution 193/2023</w:t>
      </w:r>
    </w:p>
    <w:p w14:paraId="64B6BEF7" w14:textId="6457FDBB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Issued by Brazil’s Securities Commission, this mandates sustainability disclosures for listed companies starting in 2026. It aligns Brazil with international standards </w:t>
      </w:r>
      <w:r w:rsidR="009933BB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with the standards of the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933BB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International Sustainability Standards Board and Task Force on Climate-Related Financial Disclosures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promoting transparency around climate and ESG risks.</w:t>
      </w:r>
    </w:p>
    <w:p w14:paraId="3EC75094" w14:textId="77777777" w:rsidR="00C3024E" w:rsidRPr="009933BB" w:rsidRDefault="00C3024E" w:rsidP="00C302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hyperlink r:id="rId12" w:history="1">
        <w:r w:rsidRPr="009933BB">
          <w:rPr>
            <w:rStyle w:val="Hyperlink"/>
            <w:rFonts w:ascii="Times New Roman" w:hAnsi="Times New Roman" w:cs="Times New Roman"/>
            <w:sz w:val="24"/>
            <w:szCs w:val="24"/>
            <w:lang w:val="pt-PT"/>
          </w:rPr>
          <w:t>https://www.gov.br/cvm/en/foreign-investors/regulation-files/ResolutionCVM193.pdf</w:t>
        </w:r>
      </w:hyperlink>
      <w:r w:rsidRPr="009933B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4F46EF4A" w14:textId="77777777" w:rsidR="00C3024E" w:rsidRPr="009933BB" w:rsidRDefault="00C3024E" w:rsidP="001545FC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</w:pPr>
    </w:p>
    <w:p w14:paraId="51C9091C" w14:textId="2E93EB6D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SI.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2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3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.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  <w:t> 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Bill 2838/2022 – Brazilian Sustainable Taxonomy</w:t>
      </w:r>
    </w:p>
    <w:p w14:paraId="286F48EC" w14:textId="7BBB8F7B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legislative proposal defines criteria for classifying economic activities as sustainable. It aims to guide public and private investment, prevent greenwashing, and support Brazil’s competitiveness in global markets.</w:t>
      </w:r>
    </w:p>
    <w:p w14:paraId="4FBAF0FB" w14:textId="3E9637BD" w:rsidR="00427EB3" w:rsidRPr="009933BB" w:rsidRDefault="00427EB3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Link: </w:t>
      </w:r>
      <w:hyperlink r:id="rId13" w:history="1">
        <w:r w:rsidRPr="009933BB">
          <w:rPr>
            <w:rStyle w:val="Hyperlink"/>
            <w:rFonts w:ascii="Times New Roman" w:hAnsi="Times New Roman" w:cs="Times New Roman"/>
            <w:sz w:val="24"/>
            <w:szCs w:val="24"/>
          </w:rPr>
          <w:t>https://www.camara.leg.br/proposicoesWeb/fichadetramitacao?idProposicao=2339036</w:t>
        </w:r>
      </w:hyperlink>
    </w:p>
    <w:p w14:paraId="2831F64C" w14:textId="77777777" w:rsidR="00427EB3" w:rsidRPr="009933BB" w:rsidRDefault="00427EB3" w:rsidP="001545FC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504D3FBA" w14:textId="657C6E8C" w:rsidR="0035485E" w:rsidRPr="009933BB" w:rsidRDefault="0035485E" w:rsidP="009D71C3">
      <w:pPr>
        <w:keepNext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SI.</w:t>
      </w:r>
      <w:r w:rsidR="00175D9D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2.4</w:t>
      </w:r>
      <w:r w:rsidR="002E5EC9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. </w:t>
      </w:r>
      <w:r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2023 Action Plan for Brazilian Sustainable Taxonomy</w:t>
      </w:r>
      <w:r w:rsidR="0076222E" w:rsidRPr="009933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</w:p>
    <w:p w14:paraId="3E92B30A" w14:textId="49223B43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Led by the Ministry of Finance, this plan outlines objectives, principles, and safeguards for implementing the taxonomy. </w:t>
      </w:r>
      <w:r w:rsidR="00B04A4A"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prioritizes climate adaptation, forest conservation, and equity</w:t>
      </w: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and proposes sector-specific criteria.</w:t>
      </w:r>
    </w:p>
    <w:p w14:paraId="6769FF26" w14:textId="5018CAB3" w:rsidR="00427EB3" w:rsidRPr="009933BB" w:rsidRDefault="00427EB3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</w:pPr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Link: </w:t>
      </w:r>
      <w:hyperlink r:id="rId14" w:history="1">
        <w:r w:rsidRPr="009933B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pt-PT" w:eastAsia="en-GB"/>
            <w14:ligatures w14:val="none"/>
          </w:rPr>
          <w:t>https://www.gov.br/fazenda/pt-br/orgaos/spe/sustainable-taxonomy-of-brazil</w:t>
        </w:r>
      </w:hyperlink>
      <w:r w:rsidRPr="009933BB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n-GB"/>
          <w14:ligatures w14:val="none"/>
        </w:rPr>
        <w:t xml:space="preserve"> </w:t>
      </w:r>
    </w:p>
    <w:p w14:paraId="4AB8E95C" w14:textId="77777777" w:rsidR="0035485E" w:rsidRPr="009933BB" w:rsidRDefault="0035485E" w:rsidP="001545F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n-GB"/>
          <w14:ligatures w14:val="none"/>
        </w:rPr>
      </w:pPr>
    </w:p>
    <w:p w14:paraId="49C9C4AE" w14:textId="7B4648BF" w:rsidR="0035485E" w:rsidRPr="00C5513D" w:rsidRDefault="0035485E" w:rsidP="009D71C3">
      <w:pPr>
        <w:keepNext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3237460"/>
      <w:r w:rsidRPr="00C5513D">
        <w:rPr>
          <w:rFonts w:ascii="Times New Roman" w:hAnsi="Times New Roman" w:cs="Times New Roman"/>
          <w:b/>
          <w:bCs/>
          <w:sz w:val="24"/>
          <w:szCs w:val="24"/>
          <w:lang w:val="pt-PT"/>
        </w:rPr>
        <w:t>SI.</w:t>
      </w:r>
      <w:r w:rsidR="00175D9D" w:rsidRPr="00C5513D">
        <w:rPr>
          <w:rFonts w:ascii="Times New Roman" w:hAnsi="Times New Roman" w:cs="Times New Roman"/>
          <w:b/>
          <w:bCs/>
          <w:sz w:val="24"/>
          <w:szCs w:val="24"/>
          <w:lang w:val="pt-PT"/>
        </w:rPr>
        <w:t>3</w:t>
      </w:r>
      <w:r w:rsidR="000E4D1C" w:rsidRPr="00C5513D">
        <w:rPr>
          <w:rFonts w:ascii="Times New Roman" w:hAnsi="Times New Roman" w:cs="Times New Roman"/>
          <w:b/>
          <w:bCs/>
          <w:sz w:val="24"/>
          <w:szCs w:val="24"/>
          <w:lang w:val="pt-PT"/>
        </w:rPr>
        <w:t>.</w:t>
      </w:r>
      <w:r w:rsidRPr="00C5513D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bookmarkEnd w:id="1"/>
      <w:r w:rsidR="00A52050" w:rsidRPr="00C5513D"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Pr="00C5513D">
        <w:rPr>
          <w:rFonts w:ascii="Times New Roman" w:hAnsi="Times New Roman" w:cs="Times New Roman"/>
          <w:b/>
          <w:bCs/>
          <w:sz w:val="24"/>
          <w:szCs w:val="24"/>
        </w:rPr>
        <w:t>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35485E" w:rsidRPr="009933BB" w14:paraId="21AEF6D9" w14:textId="77777777" w:rsidTr="001545FC">
        <w:trPr>
          <w:trHeight w:val="321"/>
        </w:trPr>
        <w:tc>
          <w:tcPr>
            <w:tcW w:w="4531" w:type="dxa"/>
          </w:tcPr>
          <w:p w14:paraId="73E251EB" w14:textId="77777777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Question</w:t>
            </w:r>
          </w:p>
        </w:tc>
        <w:tc>
          <w:tcPr>
            <w:tcW w:w="4485" w:type="dxa"/>
          </w:tcPr>
          <w:p w14:paraId="4C6D8C5F" w14:textId="77777777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Source</w:t>
            </w:r>
          </w:p>
        </w:tc>
      </w:tr>
      <w:tr w:rsidR="0035485E" w:rsidRPr="009933BB" w14:paraId="69FF1386" w14:textId="77777777" w:rsidTr="001545FC">
        <w:trPr>
          <w:trHeight w:val="553"/>
        </w:trPr>
        <w:tc>
          <w:tcPr>
            <w:tcW w:w="4531" w:type="dxa"/>
          </w:tcPr>
          <w:p w14:paraId="5040B09B" w14:textId="5C567B1F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1. Is the regulatory framework for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open 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inance in Brazil adequately implemented? If not, what are the factors inhibiting the effective implementation of the policy framework?</w:t>
            </w:r>
          </w:p>
        </w:tc>
        <w:tc>
          <w:tcPr>
            <w:tcW w:w="4485" w:type="dxa"/>
          </w:tcPr>
          <w:p w14:paraId="5CC418FA" w14:textId="0D531964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Chapter 2 (i.e., 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Associação Open Finance, n.d.; BACEN, 2018, 2020; BACEN and CMN, 2020; Capgemini Brasil, 2024; Carr, 2022; Colangelo, 2024; Di Porto &amp; Ghidini, 2020; OECD, 2023; Preziuso et al., 2023; Presidência da República, 2018; World Bank Group, 2023; Zetta, 2024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35485E" w:rsidRPr="00CE27B5" w14:paraId="1470DC74" w14:textId="77777777" w:rsidTr="001545FC">
        <w:trPr>
          <w:trHeight w:val="277"/>
        </w:trPr>
        <w:tc>
          <w:tcPr>
            <w:tcW w:w="4531" w:type="dxa"/>
          </w:tcPr>
          <w:p w14:paraId="799CDA50" w14:textId="2941CF70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2. Which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are the main 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business models emerging in the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pen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inance sector in Brazil?</w:t>
            </w:r>
          </w:p>
        </w:tc>
        <w:tc>
          <w:tcPr>
            <w:tcW w:w="4485" w:type="dxa"/>
          </w:tcPr>
          <w:p w14:paraId="117018B7" w14:textId="168DC498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PT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PT"/>
                <w14:ligatures w14:val="none"/>
              </w:rPr>
              <w:t xml:space="preserve">Chapter 2 (i.e., 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PT"/>
                <w14:ligatures w14:val="none"/>
              </w:rPr>
              <w:t xml:space="preserve">BACEN and CMN, 2022; Capgemini Brasil, 2024; Colangelo, 2024; Cunha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pt-PT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PT"/>
                <w14:ligatures w14:val="none"/>
              </w:rPr>
              <w:t>, 2023; Tolentino and Cataldo, 2023; Zetta, 2024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PT"/>
                <w14:ligatures w14:val="none"/>
              </w:rPr>
              <w:t>)</w:t>
            </w:r>
          </w:p>
        </w:tc>
      </w:tr>
      <w:tr w:rsidR="0035485E" w:rsidRPr="009933BB" w14:paraId="25EAA78E" w14:textId="77777777" w:rsidTr="001545FC">
        <w:trPr>
          <w:trHeight w:val="329"/>
        </w:trPr>
        <w:tc>
          <w:tcPr>
            <w:tcW w:w="4531" w:type="dxa"/>
          </w:tcPr>
          <w:p w14:paraId="48C61BEA" w14:textId="36EB5880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3. Do you think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open 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inance regulation in Brazil promot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es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/will promote sustainable development?</w:t>
            </w:r>
          </w:p>
        </w:tc>
        <w:tc>
          <w:tcPr>
            <w:tcW w:w="4485" w:type="dxa"/>
          </w:tcPr>
          <w:p w14:paraId="7329CEAD" w14:textId="2EF35ADA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Chapter 2 (i.e., 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Arner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2022; BACEN and CMN, 2022; Bowden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Calice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2021; Chen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Colangelo, 2024; CVM, 2023; De Pascalis, 2022; Feng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2022; Grassi, 2024; Herrera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NGFS, 2024a, 2024b; OECD, 2023; Positive Money, 2024; Preziuso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Sant’Anna and Figueiredo, 2024; </w:t>
            </w:r>
            <w:r w:rsidR="00CE27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Soterroni </w:t>
            </w:r>
            <w:r w:rsidR="00CE27B5" w:rsidRPr="00CE27B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CE27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</w:t>
            </w:r>
            <w:r w:rsidR="00751D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ouza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World Bank Group, 2023; Yu </w:t>
            </w:r>
            <w:r w:rsidR="0064760C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64760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2022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35485E" w:rsidRPr="009933BB" w14:paraId="21753871" w14:textId="77777777" w:rsidTr="001545FC">
        <w:trPr>
          <w:trHeight w:val="471"/>
        </w:trPr>
        <w:tc>
          <w:tcPr>
            <w:tcW w:w="4531" w:type="dxa"/>
          </w:tcPr>
          <w:p w14:paraId="362AAADC" w14:textId="6A09C70A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4. What do you think about the sustainability-related individual and societal risks (privacy, exclusion, 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profiling, financial instability, frauds, etc.) </w:t>
            </w:r>
            <w:r w:rsidR="002E5EC9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broad data sharing in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open 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inance?</w:t>
            </w:r>
          </w:p>
        </w:tc>
        <w:tc>
          <w:tcPr>
            <w:tcW w:w="4485" w:type="dxa"/>
          </w:tcPr>
          <w:p w14:paraId="1DE97D36" w14:textId="6578A50A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Chapter 2 (i.e., 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Capgemini Brasil, 2024; Carr, 2022; Chomczyk Penedo, 2024; Colangelo, 2024; Corrêa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et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>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De Pascalis, 2022; Di Porto and Ghidini, 2020; Grassi, 2024; Koefer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OECD, 2023; Preziuso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2023; Sant’Anna and Figueiredo, 2024; Zeidan, 2020; Zetta</w:t>
            </w:r>
            <w:r w:rsidR="00751D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2024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35485E" w:rsidRPr="009933BB" w14:paraId="5D3C2BD4" w14:textId="77777777" w:rsidTr="001545FC">
        <w:trPr>
          <w:trHeight w:val="577"/>
        </w:trPr>
        <w:tc>
          <w:tcPr>
            <w:tcW w:w="4531" w:type="dxa"/>
          </w:tcPr>
          <w:p w14:paraId="290306E4" w14:textId="60910CE2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5. Which (other or current) policies and stakeholders are most relevant to support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ing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private investments in sustainability-oriented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pen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inance business models in Brazil?</w:t>
            </w:r>
          </w:p>
        </w:tc>
        <w:tc>
          <w:tcPr>
            <w:tcW w:w="4485" w:type="dxa"/>
          </w:tcPr>
          <w:p w14:paraId="742C2960" w14:textId="62851D59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Chapter 2 (i.e., 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Arner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2022; BACEN, 2008; BACEN and CMN, 2022; Bowden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CVM, 2023; De Pascalis, 2022; Feng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2022; Grassi, 2024; Ministério da Fazenda, 2023; National Congress, 2022; OECD, 2023; Positive Money, 2024; Preziuso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Sant’Anna and Figueiredo, 2024; </w:t>
            </w:r>
            <w:r w:rsidR="00CE27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Soterroni </w:t>
            </w:r>
            <w:r w:rsidR="00CE27B5" w:rsidRPr="00CE27B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CE27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Yu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2022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35485E" w:rsidRPr="0035485E" w14:paraId="1A50FB55" w14:textId="77777777" w:rsidTr="001545FC">
        <w:trPr>
          <w:trHeight w:val="287"/>
        </w:trPr>
        <w:tc>
          <w:tcPr>
            <w:tcW w:w="4531" w:type="dxa"/>
          </w:tcPr>
          <w:p w14:paraId="686A49D7" w14:textId="5094442B" w:rsidR="0035485E" w:rsidRPr="009933BB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6. What are the main challenges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faced in 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directing investments in sustainability-oriented </w:t>
            </w:r>
            <w:r w:rsidR="000E4D1C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open f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inance business models in Brazil?</w:t>
            </w:r>
          </w:p>
        </w:tc>
        <w:tc>
          <w:tcPr>
            <w:tcW w:w="4485" w:type="dxa"/>
          </w:tcPr>
          <w:p w14:paraId="509FB78A" w14:textId="725C85C7" w:rsidR="0035485E" w:rsidRPr="0035485E" w:rsidRDefault="0035485E" w:rsidP="001545F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Chapter 2 (i.e., 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BACEN and CMN, 2022; Bowden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Capgemini Brasil, 2024; Carr, 2022; Chen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Chomczyk Penedo, 2024; Colangelo, 2024; Corrêa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2024; CVM, 2023; Cunha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De Pascalis, 2022; Feng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2022; Grassi, 2024; OECD, 2023; Positive Money, 2024; Preziuso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Sant’Anna and Figueiredo, 2024; </w:t>
            </w:r>
            <w:r w:rsidR="00CE27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Soterroni </w:t>
            </w:r>
            <w:r w:rsidR="00CE27B5" w:rsidRPr="00CE27B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CE27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2023; 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</w:t>
            </w:r>
            <w:r w:rsidR="00751D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ouza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777CE4" w:rsidRPr="009933B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et al.</w:t>
            </w:r>
            <w:r w:rsidR="00777CE4"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2024; Tolentino and Cataldo, 2023; World Bank Group, 2023; Zeidan, 2020; Zetta, 2024</w:t>
            </w:r>
            <w:r w:rsidRPr="009933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14:paraId="03E6FF4F" w14:textId="0AC938FC" w:rsidR="00BF7FDE" w:rsidRPr="0035485E" w:rsidRDefault="00BF7FDE" w:rsidP="001545F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7FDE" w:rsidRPr="003548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E757F" w14:textId="77777777" w:rsidR="005F6F2D" w:rsidRDefault="005F6F2D" w:rsidP="00427EB3">
      <w:pPr>
        <w:spacing w:after="0" w:line="240" w:lineRule="auto"/>
      </w:pPr>
      <w:r>
        <w:separator/>
      </w:r>
    </w:p>
  </w:endnote>
  <w:endnote w:type="continuationSeparator" w:id="0">
    <w:p w14:paraId="69E9A87F" w14:textId="77777777" w:rsidR="005F6F2D" w:rsidRDefault="005F6F2D" w:rsidP="00427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1585F" w14:textId="77777777" w:rsidR="005F6F2D" w:rsidRDefault="005F6F2D" w:rsidP="00427EB3">
      <w:pPr>
        <w:spacing w:after="0" w:line="240" w:lineRule="auto"/>
      </w:pPr>
      <w:r>
        <w:separator/>
      </w:r>
    </w:p>
  </w:footnote>
  <w:footnote w:type="continuationSeparator" w:id="0">
    <w:p w14:paraId="7FFE4EA3" w14:textId="77777777" w:rsidR="005F6F2D" w:rsidRDefault="005F6F2D" w:rsidP="00427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5E"/>
    <w:rsid w:val="00096467"/>
    <w:rsid w:val="00097A6C"/>
    <w:rsid w:val="000E4D1C"/>
    <w:rsid w:val="000E5675"/>
    <w:rsid w:val="001470A5"/>
    <w:rsid w:val="001544D6"/>
    <w:rsid w:val="001545FC"/>
    <w:rsid w:val="00175D9D"/>
    <w:rsid w:val="00176C77"/>
    <w:rsid w:val="00194EAF"/>
    <w:rsid w:val="0020318A"/>
    <w:rsid w:val="0020609A"/>
    <w:rsid w:val="002774F1"/>
    <w:rsid w:val="002E5EC9"/>
    <w:rsid w:val="0035485E"/>
    <w:rsid w:val="00390BCC"/>
    <w:rsid w:val="003E5714"/>
    <w:rsid w:val="00422DFB"/>
    <w:rsid w:val="00427EB3"/>
    <w:rsid w:val="004B2050"/>
    <w:rsid w:val="0053361C"/>
    <w:rsid w:val="0053697A"/>
    <w:rsid w:val="00593BC5"/>
    <w:rsid w:val="005F6F2D"/>
    <w:rsid w:val="0064760C"/>
    <w:rsid w:val="006A0351"/>
    <w:rsid w:val="00751DC6"/>
    <w:rsid w:val="0076222E"/>
    <w:rsid w:val="00777CE4"/>
    <w:rsid w:val="0084130D"/>
    <w:rsid w:val="00866ACC"/>
    <w:rsid w:val="00867470"/>
    <w:rsid w:val="008F283F"/>
    <w:rsid w:val="009933BB"/>
    <w:rsid w:val="009D71C3"/>
    <w:rsid w:val="00A52050"/>
    <w:rsid w:val="00B043E1"/>
    <w:rsid w:val="00B04A4A"/>
    <w:rsid w:val="00B171EC"/>
    <w:rsid w:val="00BF7FDE"/>
    <w:rsid w:val="00C13CFF"/>
    <w:rsid w:val="00C3024E"/>
    <w:rsid w:val="00C5513D"/>
    <w:rsid w:val="00CA3B89"/>
    <w:rsid w:val="00CA68FA"/>
    <w:rsid w:val="00CB522B"/>
    <w:rsid w:val="00CD28E5"/>
    <w:rsid w:val="00CE27B5"/>
    <w:rsid w:val="00D92093"/>
    <w:rsid w:val="00DF6626"/>
    <w:rsid w:val="00FD2450"/>
    <w:rsid w:val="00FF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99B6A"/>
  <w15:chartTrackingRefBased/>
  <w15:docId w15:val="{C5EC289F-6982-449B-8603-54466304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8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7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EB3"/>
  </w:style>
  <w:style w:type="paragraph" w:styleId="Footer">
    <w:name w:val="footer"/>
    <w:basedOn w:val="Normal"/>
    <w:link w:val="FooterChar"/>
    <w:uiPriority w:val="99"/>
    <w:unhideWhenUsed/>
    <w:rsid w:val="00427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EB3"/>
  </w:style>
  <w:style w:type="character" w:styleId="Hyperlink">
    <w:name w:val="Hyperlink"/>
    <w:basedOn w:val="DefaultParagraphFont"/>
    <w:uiPriority w:val="99"/>
    <w:unhideWhenUsed/>
    <w:rsid w:val="00427E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EB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245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24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4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4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4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b.gov.br/pre/normativos/res/2024/pdf/res_400_v1_O.pdf" TargetMode="External"/><Relationship Id="rId13" Type="http://schemas.openxmlformats.org/officeDocument/2006/relationships/hyperlink" Target="https://www.camara.leg.br/proposicoesWeb/fichadetramitacao?idProposicao=23390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cb.gov.br/ingles/norms/Resolution%204658.pdf" TargetMode="External"/><Relationship Id="rId12" Type="http://schemas.openxmlformats.org/officeDocument/2006/relationships/hyperlink" Target="https://www.gov.br/cvm/en/foreign-investors/regulation-files/ResolutionCVM193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bcb.gov.br/estabilidadefinanceira/exibenormativo?tipo=Resolu%C3%A7%C3%A3o%20Conjunta&amp;numero=4" TargetMode="External"/><Relationship Id="rId11" Type="http://schemas.openxmlformats.org/officeDocument/2006/relationships/hyperlink" Target="https://www.bcb.gov.br/pre/normativos/res/2008/pdf/res_3545_v1_O.pdf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bcb.gov.br/content/estabilidadefinanceira/pix/Pix_Regulation/Resolution_BCB_1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lanalto.gov.br/ccivil_03/_ato2015-2018/2018/lei/l13709.htm" TargetMode="External"/><Relationship Id="rId14" Type="http://schemas.openxmlformats.org/officeDocument/2006/relationships/hyperlink" Target="https://www.gov.br/fazenda/pt-br/orgaos/spe/sustainable-taxonomy-of-bra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1037</Words>
  <Characters>7054</Characters>
  <Application>Microsoft Office Word</Application>
  <DocSecurity>0</DocSecurity>
  <Lines>160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Massimo</dc:creator>
  <cp:keywords/>
  <dc:description/>
  <cp:lastModifiedBy>Massimo Massimo</cp:lastModifiedBy>
  <cp:revision>4</cp:revision>
  <dcterms:created xsi:type="dcterms:W3CDTF">2026-02-10T11:16:00Z</dcterms:created>
  <dcterms:modified xsi:type="dcterms:W3CDTF">2026-02-10T11:20:00Z</dcterms:modified>
</cp:coreProperties>
</file>