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5F520" w14:textId="7EA96903" w:rsidR="007D5FC1" w:rsidRPr="007D5FC1" w:rsidRDefault="007D5FC1" w:rsidP="007D5FC1">
      <w:pPr>
        <w:jc w:val="center"/>
        <w:rPr>
          <w:rFonts w:ascii="Times New Roman" w:hAnsi="Times New Roman" w:cs="Times New Roman"/>
          <w:b/>
          <w:bCs/>
          <w:lang w:val="en-GB"/>
        </w:rPr>
      </w:pPr>
      <w:r w:rsidRPr="007D5FC1">
        <w:rPr>
          <w:rFonts w:ascii="Times New Roman" w:hAnsi="Times New Roman" w:cs="Times New Roman"/>
          <w:b/>
          <w:bCs/>
          <w:lang w:val="en-GB"/>
        </w:rPr>
        <w:t>Supplementary Material</w:t>
      </w:r>
    </w:p>
    <w:p w14:paraId="48A6DD3D" w14:textId="77777777" w:rsidR="007D5FC1" w:rsidRDefault="007D5FC1">
      <w:pPr>
        <w:rPr>
          <w:rFonts w:ascii="Times New Roman" w:hAnsi="Times New Roman" w:cs="Times New Roman"/>
          <w:lang w:val="en-GB"/>
        </w:rPr>
      </w:pPr>
    </w:p>
    <w:p w14:paraId="68F853E8" w14:textId="77777777" w:rsidR="001D1AF6" w:rsidRDefault="003512D4">
      <w:pPr>
        <w:rPr>
          <w:rFonts w:ascii="Times New Roman" w:hAnsi="Times New Roman" w:cs="Times New Roman"/>
          <w:lang w:val="en-GB"/>
        </w:rPr>
      </w:pPr>
      <w:r w:rsidRPr="003512D4">
        <w:rPr>
          <w:rFonts w:ascii="Times New Roman" w:hAnsi="Times New Roman" w:cs="Times New Roman"/>
          <w:lang w:val="en-GB"/>
        </w:rPr>
        <w:t xml:space="preserve">Table </w:t>
      </w:r>
      <w:r w:rsidR="00F06A92">
        <w:rPr>
          <w:rFonts w:ascii="Times New Roman" w:hAnsi="Times New Roman" w:cs="Times New Roman"/>
          <w:lang w:val="en-GB"/>
        </w:rPr>
        <w:t>V</w:t>
      </w:r>
      <w:r w:rsidRPr="003512D4">
        <w:rPr>
          <w:rFonts w:ascii="Times New Roman" w:hAnsi="Times New Roman" w:cs="Times New Roman"/>
          <w:lang w:val="en-GB"/>
        </w:rPr>
        <w:t xml:space="preserve">. </w:t>
      </w:r>
      <w:r w:rsidR="00803D75">
        <w:rPr>
          <w:rFonts w:ascii="Times New Roman" w:hAnsi="Times New Roman" w:cs="Times New Roman"/>
          <w:lang w:val="en-GB"/>
        </w:rPr>
        <w:t>Characteristics of s</w:t>
      </w:r>
      <w:r w:rsidR="008E27A1" w:rsidRPr="003512D4">
        <w:rPr>
          <w:rFonts w:ascii="Times New Roman" w:hAnsi="Times New Roman" w:cs="Times New Roman"/>
          <w:lang w:val="en-GB"/>
        </w:rPr>
        <w:t>cope 3 management practices</w:t>
      </w:r>
      <w:r w:rsidR="00803D75">
        <w:rPr>
          <w:rFonts w:ascii="Times New Roman" w:hAnsi="Times New Roman" w:cs="Times New Roman"/>
          <w:lang w:val="en-GB"/>
        </w:rPr>
        <w:t xml:space="preserve"> categories</w:t>
      </w:r>
      <w:r w:rsidR="007D5FC1">
        <w:rPr>
          <w:rFonts w:ascii="Times New Roman" w:hAnsi="Times New Roman" w:cs="Times New Roman"/>
          <w:lang w:val="en-GB"/>
        </w:rPr>
        <w:t xml:space="preserve"> (Section 4.2)</w:t>
      </w:r>
      <w:r w:rsidR="00803D75">
        <w:rPr>
          <w:rFonts w:ascii="Times New Roman" w:hAnsi="Times New Roman" w:cs="Times New Roman"/>
          <w:lang w:val="en-GB"/>
        </w:rPr>
        <w:t>.</w:t>
      </w:r>
      <w:r w:rsidR="001D1AF6">
        <w:rPr>
          <w:rFonts w:ascii="Times New Roman" w:hAnsi="Times New Roman" w:cs="Times New Roman"/>
          <w:lang w:val="en-GB"/>
        </w:rPr>
        <w:t xml:space="preserve"> </w:t>
      </w:r>
    </w:p>
    <w:p w14:paraId="74F2CF22" w14:textId="39C352E1" w:rsidR="00837722" w:rsidRPr="003512D4" w:rsidRDefault="001D1AF6">
      <w:pPr>
        <w:rPr>
          <w:rFonts w:ascii="Times New Roman" w:hAnsi="Times New Roman" w:cs="Times New Roman"/>
          <w:lang w:val="en-GB"/>
        </w:rPr>
      </w:pPr>
      <w:r>
        <w:rPr>
          <w:rFonts w:ascii="Times New Roman" w:hAnsi="Times New Roman" w:cs="Times New Roman"/>
          <w:lang w:val="en-GB"/>
        </w:rPr>
        <w:t>Source: Authors own creation.</w:t>
      </w:r>
    </w:p>
    <w:p w14:paraId="17C34EA3" w14:textId="77777777" w:rsidR="008E27A1" w:rsidRPr="00BE4564" w:rsidRDefault="008E27A1">
      <w:pPr>
        <w:rPr>
          <w:rFonts w:ascii="Times New Roman" w:hAnsi="Times New Roman" w:cs="Times New Roman"/>
          <w:lang w:val="en-GB"/>
        </w:rPr>
      </w:pPr>
    </w:p>
    <w:tbl>
      <w:tblPr>
        <w:tblStyle w:val="TableGrid"/>
        <w:tblW w:w="14029" w:type="dxa"/>
        <w:tblLook w:val="04A0" w:firstRow="1" w:lastRow="0" w:firstColumn="1" w:lastColumn="0" w:noHBand="0" w:noVBand="1"/>
      </w:tblPr>
      <w:tblGrid>
        <w:gridCol w:w="1606"/>
        <w:gridCol w:w="3634"/>
        <w:gridCol w:w="8789"/>
      </w:tblGrid>
      <w:tr w:rsidR="008E27A1" w:rsidRPr="00BE4564" w14:paraId="792FAC25" w14:textId="77777777" w:rsidTr="00EE6924">
        <w:trPr>
          <w:tblHeader/>
        </w:trPr>
        <w:tc>
          <w:tcPr>
            <w:tcW w:w="1606" w:type="dxa"/>
            <w:tcBorders>
              <w:bottom w:val="single" w:sz="18" w:space="0" w:color="auto"/>
            </w:tcBorders>
          </w:tcPr>
          <w:p w14:paraId="37B66EE6" w14:textId="3265A910" w:rsidR="008E27A1" w:rsidRPr="00BE4564" w:rsidRDefault="008E27A1">
            <w:pPr>
              <w:rPr>
                <w:rFonts w:ascii="Times New Roman" w:hAnsi="Times New Roman" w:cs="Times New Roman"/>
                <w:b/>
                <w:bCs/>
                <w:sz w:val="20"/>
                <w:szCs w:val="20"/>
                <w:lang w:val="en-GB"/>
              </w:rPr>
            </w:pPr>
            <w:r w:rsidRPr="00BE4564">
              <w:rPr>
                <w:rFonts w:ascii="Times New Roman" w:hAnsi="Times New Roman" w:cs="Times New Roman"/>
                <w:b/>
                <w:bCs/>
                <w:sz w:val="20"/>
                <w:szCs w:val="20"/>
                <w:lang w:val="en-GB"/>
              </w:rPr>
              <w:t>Category</w:t>
            </w:r>
          </w:p>
        </w:tc>
        <w:tc>
          <w:tcPr>
            <w:tcW w:w="3634" w:type="dxa"/>
            <w:tcBorders>
              <w:bottom w:val="single" w:sz="18" w:space="0" w:color="auto"/>
            </w:tcBorders>
          </w:tcPr>
          <w:p w14:paraId="6CC94FA2" w14:textId="7848BE77" w:rsidR="008E27A1" w:rsidRPr="00BE4564" w:rsidRDefault="002423DB">
            <w:pPr>
              <w:rPr>
                <w:rFonts w:ascii="Times New Roman" w:hAnsi="Times New Roman" w:cs="Times New Roman"/>
                <w:b/>
                <w:bCs/>
                <w:sz w:val="20"/>
                <w:szCs w:val="20"/>
                <w:lang w:val="en-GB"/>
              </w:rPr>
            </w:pPr>
            <w:r w:rsidRPr="00BE4564">
              <w:rPr>
                <w:rFonts w:ascii="Times New Roman" w:hAnsi="Times New Roman" w:cs="Times New Roman"/>
                <w:b/>
                <w:bCs/>
                <w:sz w:val="20"/>
                <w:szCs w:val="20"/>
                <w:lang w:val="en-GB"/>
              </w:rPr>
              <w:t>Characteristics</w:t>
            </w:r>
            <w:r w:rsidR="00EE6924">
              <w:rPr>
                <w:rFonts w:ascii="Times New Roman" w:hAnsi="Times New Roman" w:cs="Times New Roman"/>
                <w:b/>
                <w:bCs/>
                <w:sz w:val="20"/>
                <w:szCs w:val="20"/>
                <w:lang w:val="en-GB"/>
              </w:rPr>
              <w:t xml:space="preserve"> mentioned in the text</w:t>
            </w:r>
          </w:p>
        </w:tc>
        <w:tc>
          <w:tcPr>
            <w:tcW w:w="8789" w:type="dxa"/>
            <w:tcBorders>
              <w:bottom w:val="single" w:sz="18" w:space="0" w:color="auto"/>
            </w:tcBorders>
          </w:tcPr>
          <w:p w14:paraId="0200F124" w14:textId="10ACE4F5" w:rsidR="008E27A1" w:rsidRPr="00BE4564" w:rsidRDefault="003512D4">
            <w:pPr>
              <w:rPr>
                <w:rFonts w:ascii="Times New Roman" w:hAnsi="Times New Roman" w:cs="Times New Roman"/>
                <w:b/>
                <w:bCs/>
                <w:sz w:val="20"/>
                <w:szCs w:val="20"/>
                <w:lang w:val="en-GB"/>
              </w:rPr>
            </w:pPr>
            <w:r>
              <w:rPr>
                <w:rFonts w:ascii="Times New Roman" w:hAnsi="Times New Roman" w:cs="Times New Roman"/>
                <w:b/>
                <w:bCs/>
                <w:sz w:val="20"/>
                <w:szCs w:val="20"/>
                <w:lang w:val="en-GB"/>
              </w:rPr>
              <w:t>Quote example</w:t>
            </w:r>
          </w:p>
        </w:tc>
      </w:tr>
      <w:tr w:rsidR="00121925" w:rsidRPr="00BE4564" w14:paraId="29301149" w14:textId="77777777" w:rsidTr="00EE6924">
        <w:trPr>
          <w:trHeight w:val="859"/>
        </w:trPr>
        <w:tc>
          <w:tcPr>
            <w:tcW w:w="1606" w:type="dxa"/>
            <w:vMerge w:val="restart"/>
            <w:tcBorders>
              <w:top w:val="single" w:sz="18" w:space="0" w:color="auto"/>
            </w:tcBorders>
          </w:tcPr>
          <w:p w14:paraId="25B47B65" w14:textId="55885FC7" w:rsidR="00121925" w:rsidRPr="00BE4564" w:rsidRDefault="00121925" w:rsidP="00BE4564">
            <w:pPr>
              <w:rPr>
                <w:rFonts w:ascii="Times New Roman" w:hAnsi="Times New Roman" w:cs="Times New Roman"/>
                <w:b/>
                <w:bCs/>
                <w:sz w:val="20"/>
                <w:szCs w:val="20"/>
                <w:lang w:val="en-GB"/>
              </w:rPr>
            </w:pPr>
            <w:r w:rsidRPr="00BE4564">
              <w:rPr>
                <w:rFonts w:ascii="Times New Roman" w:hAnsi="Times New Roman" w:cs="Times New Roman"/>
                <w:b/>
                <w:bCs/>
                <w:sz w:val="20"/>
                <w:szCs w:val="20"/>
                <w:lang w:val="en-GB"/>
              </w:rPr>
              <w:t>Internal optimisation</w:t>
            </w:r>
          </w:p>
        </w:tc>
        <w:tc>
          <w:tcPr>
            <w:tcW w:w="3634" w:type="dxa"/>
            <w:tcBorders>
              <w:top w:val="single" w:sz="18" w:space="0" w:color="auto"/>
            </w:tcBorders>
          </w:tcPr>
          <w:p w14:paraId="17EE926F" w14:textId="67DD4C94" w:rsidR="00121925" w:rsidRPr="00BE4564" w:rsidRDefault="00121925" w:rsidP="005416AF">
            <w:pPr>
              <w:rPr>
                <w:rFonts w:ascii="Times New Roman" w:hAnsi="Times New Roman" w:cs="Times New Roman"/>
                <w:sz w:val="20"/>
                <w:szCs w:val="20"/>
                <w:lang w:val="en-GB"/>
              </w:rPr>
            </w:pPr>
            <w:r w:rsidRPr="00BE4564">
              <w:rPr>
                <w:rFonts w:ascii="Times New Roman" w:hAnsi="Times New Roman" w:cs="Times New Roman"/>
                <w:color w:val="000000" w:themeColor="text1"/>
                <w:sz w:val="20"/>
                <w:szCs w:val="20"/>
                <w:lang w:val="en-GB"/>
              </w:rPr>
              <w:t>Us</w:t>
            </w:r>
            <w:r w:rsidR="00CE1E52" w:rsidRPr="00BE4564">
              <w:rPr>
                <w:rFonts w:ascii="Times New Roman" w:hAnsi="Times New Roman" w:cs="Times New Roman"/>
                <w:color w:val="000000" w:themeColor="text1"/>
                <w:sz w:val="20"/>
                <w:szCs w:val="20"/>
                <w:lang w:val="en-GB"/>
              </w:rPr>
              <w:t>ing</w:t>
            </w:r>
            <w:r w:rsidRPr="00BE4564">
              <w:rPr>
                <w:rFonts w:ascii="Times New Roman" w:hAnsi="Times New Roman" w:cs="Times New Roman"/>
                <w:color w:val="000000" w:themeColor="text1"/>
                <w:sz w:val="20"/>
                <w:szCs w:val="20"/>
                <w:lang w:val="en-GB"/>
              </w:rPr>
              <w:t xml:space="preserve"> internal resources to develop solutions to lower downstream emission</w:t>
            </w:r>
            <w:r w:rsidR="00BE4564" w:rsidRPr="00BE4564">
              <w:rPr>
                <w:rFonts w:ascii="Times New Roman" w:hAnsi="Times New Roman" w:cs="Times New Roman"/>
                <w:color w:val="000000" w:themeColor="text1"/>
                <w:sz w:val="20"/>
                <w:szCs w:val="20"/>
                <w:lang w:val="en-GB"/>
              </w:rPr>
              <w:t>s</w:t>
            </w:r>
          </w:p>
        </w:tc>
        <w:tc>
          <w:tcPr>
            <w:tcW w:w="8789" w:type="dxa"/>
            <w:tcBorders>
              <w:top w:val="single" w:sz="18" w:space="0" w:color="auto"/>
            </w:tcBorders>
          </w:tcPr>
          <w:p w14:paraId="36745D67" w14:textId="6045F8E8" w:rsidR="00121925" w:rsidRPr="00BE4564" w:rsidRDefault="00121925" w:rsidP="00B911D1">
            <w:pPr>
              <w:rPr>
                <w:rFonts w:ascii="Times New Roman" w:hAnsi="Times New Roman" w:cs="Times New Roman"/>
                <w:sz w:val="20"/>
                <w:szCs w:val="20"/>
                <w:lang w:val="en-GB"/>
              </w:rPr>
            </w:pPr>
            <w:r w:rsidRPr="00BE4564">
              <w:rPr>
                <w:rFonts w:ascii="Times New Roman" w:hAnsi="Times New Roman" w:cs="Times New Roman"/>
                <w:sz w:val="20"/>
                <w:szCs w:val="20"/>
                <w:lang w:val="en-GB"/>
              </w:rPr>
              <w:t>“</w:t>
            </w:r>
            <w:r w:rsidRPr="00BE4564">
              <w:rPr>
                <w:rFonts w:ascii="Times New Roman" w:hAnsi="Times New Roman" w:cs="Times New Roman"/>
                <w:sz w:val="20"/>
                <w:szCs w:val="20"/>
              </w:rPr>
              <w:t xml:space="preserve">Borregaard’s main objective is to provide sustainable solutions and products for the customers based on renewable raw materials. Development of new products and solutions for the customers, that will replace less sustainable products and solutions.” (Borregaard, </w:t>
            </w:r>
            <w:r w:rsidRPr="00BE4564">
              <w:rPr>
                <w:rFonts w:ascii="Times New Roman" w:hAnsi="Times New Roman" w:cs="Times New Roman"/>
                <w:color w:val="000000" w:themeColor="text1"/>
                <w:sz w:val="20"/>
                <w:szCs w:val="20"/>
                <w:lang w:val="en-GB"/>
              </w:rPr>
              <w:t>CDP questionnaire 2018)</w:t>
            </w:r>
          </w:p>
        </w:tc>
      </w:tr>
      <w:tr w:rsidR="00121925" w:rsidRPr="00BE4564" w14:paraId="6808DC02" w14:textId="77777777" w:rsidTr="00EE6924">
        <w:tc>
          <w:tcPr>
            <w:tcW w:w="1606" w:type="dxa"/>
            <w:vMerge/>
          </w:tcPr>
          <w:p w14:paraId="0A7AAE6E" w14:textId="77777777" w:rsidR="00121925" w:rsidRPr="00BE4564" w:rsidRDefault="00121925">
            <w:pPr>
              <w:rPr>
                <w:rFonts w:ascii="Times New Roman" w:hAnsi="Times New Roman" w:cs="Times New Roman"/>
                <w:sz w:val="20"/>
                <w:szCs w:val="20"/>
                <w:lang w:val="en-GB"/>
              </w:rPr>
            </w:pPr>
          </w:p>
        </w:tc>
        <w:tc>
          <w:tcPr>
            <w:tcW w:w="3634" w:type="dxa"/>
          </w:tcPr>
          <w:p w14:paraId="1F825FD2" w14:textId="61431959" w:rsidR="00121925" w:rsidRPr="00BE4564" w:rsidRDefault="00121925">
            <w:pPr>
              <w:rPr>
                <w:rFonts w:ascii="Times New Roman" w:hAnsi="Times New Roman" w:cs="Times New Roman"/>
                <w:sz w:val="20"/>
                <w:szCs w:val="20"/>
                <w:lang w:val="en-GB"/>
              </w:rPr>
            </w:pPr>
            <w:r w:rsidRPr="00BE4564">
              <w:rPr>
                <w:rFonts w:ascii="Times New Roman" w:hAnsi="Times New Roman" w:cs="Times New Roman"/>
                <w:color w:val="000000" w:themeColor="text1"/>
                <w:sz w:val="20"/>
                <w:szCs w:val="20"/>
                <w:lang w:val="en-GB"/>
              </w:rPr>
              <w:t>Leverag</w:t>
            </w:r>
            <w:r w:rsidR="00CE1E52" w:rsidRPr="00BE4564">
              <w:rPr>
                <w:rFonts w:ascii="Times New Roman" w:hAnsi="Times New Roman" w:cs="Times New Roman"/>
                <w:color w:val="000000" w:themeColor="text1"/>
                <w:sz w:val="20"/>
                <w:szCs w:val="20"/>
                <w:lang w:val="en-GB"/>
              </w:rPr>
              <w:t>ing</w:t>
            </w:r>
            <w:r w:rsidRPr="00BE4564">
              <w:rPr>
                <w:rFonts w:ascii="Times New Roman" w:hAnsi="Times New Roman" w:cs="Times New Roman"/>
                <w:color w:val="000000" w:themeColor="text1"/>
                <w:sz w:val="20"/>
                <w:szCs w:val="20"/>
                <w:lang w:val="en-GB"/>
              </w:rPr>
              <w:t xml:space="preserve"> privileged knowledge of carbon mitigation strategies to take independent action</w:t>
            </w:r>
          </w:p>
        </w:tc>
        <w:tc>
          <w:tcPr>
            <w:tcW w:w="8789" w:type="dxa"/>
          </w:tcPr>
          <w:p w14:paraId="31173E00" w14:textId="77777777" w:rsidR="00121925" w:rsidRPr="00BE4564" w:rsidRDefault="00121925" w:rsidP="002423DB">
            <w:pPr>
              <w:rPr>
                <w:rFonts w:ascii="Times New Roman" w:hAnsi="Times New Roman" w:cs="Times New Roman"/>
                <w:sz w:val="20"/>
                <w:szCs w:val="20"/>
              </w:rPr>
            </w:pPr>
            <w:r w:rsidRPr="00BE4564">
              <w:rPr>
                <w:rFonts w:ascii="Times New Roman" w:hAnsi="Times New Roman" w:cs="Times New Roman"/>
                <w:sz w:val="20"/>
                <w:szCs w:val="20"/>
                <w:lang w:val="en-GB"/>
              </w:rPr>
              <w:t>“</w:t>
            </w:r>
            <w:r w:rsidRPr="00BE4564">
              <w:rPr>
                <w:rFonts w:ascii="Times New Roman" w:hAnsi="Times New Roman" w:cs="Times New Roman"/>
                <w:sz w:val="20"/>
                <w:szCs w:val="20"/>
              </w:rPr>
              <w:t>The company’s climate strategy therefore focuses on identifying climate impact hotspots in GEA’s product portfolio and further boosting the energy efficiency of GEA products. GEA’s comprehensive portfolio – ranging from components and industrial machinery to complete processing lines and factories – will be thoroughly analyzed in the coming years. This level of transparency will enable the company to prioritize the climate roadmap and further develop sustainable customer solutions. Product innovation will be the key lever to reach our 18 percent reduction target for Scope 3 in 2030. Engineering excellence is GEA’s core strength, for instance, we are already equipping customers with machinery that enables the carbon-free production of beverages.” (GEA, CDP questionnaire 2021)</w:t>
            </w:r>
          </w:p>
          <w:p w14:paraId="67A2B50F" w14:textId="307D08E3" w:rsidR="00BE4564" w:rsidRPr="00BE4564" w:rsidRDefault="00BE4564" w:rsidP="002423DB">
            <w:pPr>
              <w:rPr>
                <w:rFonts w:ascii="Times New Roman" w:hAnsi="Times New Roman" w:cs="Times New Roman"/>
                <w:sz w:val="20"/>
                <w:szCs w:val="20"/>
                <w:lang w:val="en-GB"/>
              </w:rPr>
            </w:pPr>
          </w:p>
        </w:tc>
      </w:tr>
      <w:tr w:rsidR="00121925" w:rsidRPr="00BE4564" w14:paraId="5026F3F3" w14:textId="77777777" w:rsidTr="00EE6924">
        <w:tc>
          <w:tcPr>
            <w:tcW w:w="1606" w:type="dxa"/>
            <w:vMerge/>
            <w:tcBorders>
              <w:bottom w:val="single" w:sz="18" w:space="0" w:color="auto"/>
            </w:tcBorders>
          </w:tcPr>
          <w:p w14:paraId="73ACB4BC" w14:textId="77777777" w:rsidR="00121925" w:rsidRPr="00BE4564" w:rsidRDefault="00121925">
            <w:pPr>
              <w:rPr>
                <w:rFonts w:ascii="Times New Roman" w:hAnsi="Times New Roman" w:cs="Times New Roman"/>
                <w:sz w:val="20"/>
                <w:szCs w:val="20"/>
                <w:lang w:val="en-GB"/>
              </w:rPr>
            </w:pPr>
          </w:p>
        </w:tc>
        <w:tc>
          <w:tcPr>
            <w:tcW w:w="3634" w:type="dxa"/>
            <w:tcBorders>
              <w:bottom w:val="single" w:sz="18" w:space="0" w:color="auto"/>
            </w:tcBorders>
          </w:tcPr>
          <w:p w14:paraId="439E75FA" w14:textId="5A13ABA5" w:rsidR="00121925" w:rsidRPr="00BE4564" w:rsidRDefault="00121925">
            <w:pPr>
              <w:rPr>
                <w:rFonts w:ascii="Times New Roman" w:hAnsi="Times New Roman" w:cs="Times New Roman"/>
                <w:color w:val="000000" w:themeColor="text1"/>
                <w:sz w:val="20"/>
                <w:szCs w:val="20"/>
                <w:lang w:val="en-GB"/>
              </w:rPr>
            </w:pPr>
            <w:r w:rsidRPr="00BE4564">
              <w:rPr>
                <w:rFonts w:ascii="Times New Roman" w:hAnsi="Times New Roman" w:cs="Times New Roman"/>
                <w:color w:val="000000" w:themeColor="text1"/>
                <w:sz w:val="20"/>
                <w:szCs w:val="20"/>
                <w:lang w:val="en-GB"/>
              </w:rPr>
              <w:t>Top-down approach</w:t>
            </w:r>
          </w:p>
        </w:tc>
        <w:tc>
          <w:tcPr>
            <w:tcW w:w="8789" w:type="dxa"/>
            <w:tcBorders>
              <w:bottom w:val="single" w:sz="18" w:space="0" w:color="auto"/>
            </w:tcBorders>
          </w:tcPr>
          <w:p w14:paraId="4C4A55D4" w14:textId="77777777" w:rsidR="00121925" w:rsidRPr="00BE4564" w:rsidRDefault="00121925" w:rsidP="002423DB">
            <w:pPr>
              <w:rPr>
                <w:rFonts w:ascii="Times New Roman" w:hAnsi="Times New Roman" w:cs="Times New Roman"/>
                <w:color w:val="000000" w:themeColor="text1"/>
                <w:sz w:val="20"/>
                <w:szCs w:val="20"/>
                <w:lang w:val="en-GB"/>
              </w:rPr>
            </w:pPr>
            <w:r w:rsidRPr="00BE4564">
              <w:rPr>
                <w:rFonts w:ascii="Times New Roman" w:hAnsi="Times New Roman" w:cs="Times New Roman"/>
                <w:sz w:val="20"/>
                <w:szCs w:val="20"/>
                <w:lang w:val="en-GB"/>
              </w:rPr>
              <w:t>“</w:t>
            </w:r>
            <w:r w:rsidRPr="00BE4564">
              <w:rPr>
                <w:rFonts w:ascii="Times New Roman" w:hAnsi="Times New Roman" w:cs="Times New Roman"/>
                <w:sz w:val="20"/>
                <w:szCs w:val="20"/>
              </w:rPr>
              <w:t>We have initiated a packaging innovations process 3 years ago to identify lowc</w:t>
            </w:r>
            <w:r w:rsidR="00CE1E52" w:rsidRPr="00BE4564">
              <w:rPr>
                <w:rFonts w:ascii="Times New Roman" w:hAnsi="Times New Roman" w:cs="Times New Roman"/>
                <w:sz w:val="20"/>
                <w:szCs w:val="20"/>
              </w:rPr>
              <w:t>-</w:t>
            </w:r>
            <w:r w:rsidRPr="00BE4564">
              <w:rPr>
                <w:rFonts w:ascii="Times New Roman" w:hAnsi="Times New Roman" w:cs="Times New Roman"/>
                <w:sz w:val="20"/>
                <w:szCs w:val="20"/>
              </w:rPr>
              <w:t xml:space="preserve">arbon opportunities. An example is for example the Green Fiber Bottle development, which is an initiative to directly reduce the reliance on fossil fuels and develop alternatives for our consumers.” (Carlsberg, </w:t>
            </w:r>
            <w:r w:rsidRPr="00BE4564">
              <w:rPr>
                <w:rFonts w:ascii="Times New Roman" w:hAnsi="Times New Roman" w:cs="Times New Roman"/>
                <w:color w:val="000000" w:themeColor="text1"/>
                <w:sz w:val="20"/>
                <w:szCs w:val="20"/>
                <w:lang w:val="en-GB"/>
              </w:rPr>
              <w:t>CDP questionnaire 2018)</w:t>
            </w:r>
          </w:p>
          <w:p w14:paraId="3120BE08" w14:textId="32B956D9" w:rsidR="00BE4564" w:rsidRPr="00BE4564" w:rsidRDefault="00BE4564" w:rsidP="002423DB">
            <w:pPr>
              <w:rPr>
                <w:rFonts w:ascii="Times New Roman" w:hAnsi="Times New Roman" w:cs="Times New Roman"/>
                <w:sz w:val="20"/>
                <w:szCs w:val="20"/>
                <w:lang w:val="en-GB"/>
              </w:rPr>
            </w:pPr>
          </w:p>
        </w:tc>
      </w:tr>
      <w:tr w:rsidR="008E27A1" w:rsidRPr="00BE4564" w14:paraId="567798DE" w14:textId="77777777" w:rsidTr="00EE6924">
        <w:tc>
          <w:tcPr>
            <w:tcW w:w="1606" w:type="dxa"/>
            <w:vMerge w:val="restart"/>
            <w:tcBorders>
              <w:top w:val="single" w:sz="18" w:space="0" w:color="auto"/>
            </w:tcBorders>
          </w:tcPr>
          <w:p w14:paraId="64985CF7" w14:textId="77777777" w:rsidR="008E27A1" w:rsidRPr="00BE4564" w:rsidRDefault="008E27A1">
            <w:pPr>
              <w:rPr>
                <w:rFonts w:ascii="Times New Roman" w:hAnsi="Times New Roman" w:cs="Times New Roman"/>
                <w:b/>
                <w:bCs/>
                <w:sz w:val="20"/>
                <w:szCs w:val="20"/>
                <w:lang w:val="en-GB"/>
              </w:rPr>
            </w:pPr>
            <w:r w:rsidRPr="00BE4564">
              <w:rPr>
                <w:rFonts w:ascii="Times New Roman" w:hAnsi="Times New Roman" w:cs="Times New Roman"/>
                <w:b/>
                <w:bCs/>
                <w:sz w:val="20"/>
                <w:szCs w:val="20"/>
                <w:lang w:val="en-GB"/>
              </w:rPr>
              <w:t>Control of compliance</w:t>
            </w:r>
          </w:p>
          <w:p w14:paraId="2A0A2E1F" w14:textId="77777777" w:rsidR="008E27A1" w:rsidRPr="00BE4564" w:rsidRDefault="008E27A1">
            <w:pPr>
              <w:rPr>
                <w:rFonts w:ascii="Times New Roman" w:hAnsi="Times New Roman" w:cs="Times New Roman"/>
                <w:sz w:val="20"/>
                <w:szCs w:val="20"/>
                <w:lang w:val="en-GB"/>
              </w:rPr>
            </w:pPr>
          </w:p>
          <w:p w14:paraId="60820064" w14:textId="77777777" w:rsidR="00BE4564" w:rsidRPr="00BE4564" w:rsidRDefault="00BE4564">
            <w:pPr>
              <w:rPr>
                <w:rFonts w:ascii="Times New Roman" w:hAnsi="Times New Roman" w:cs="Times New Roman"/>
                <w:sz w:val="20"/>
                <w:szCs w:val="20"/>
                <w:lang w:val="en-GB"/>
              </w:rPr>
            </w:pPr>
          </w:p>
          <w:p w14:paraId="5AFC8821" w14:textId="77777777" w:rsidR="00BE4564" w:rsidRPr="00BE4564" w:rsidRDefault="00BE4564">
            <w:pPr>
              <w:rPr>
                <w:rFonts w:ascii="Times New Roman" w:hAnsi="Times New Roman" w:cs="Times New Roman"/>
                <w:sz w:val="20"/>
                <w:szCs w:val="20"/>
                <w:lang w:val="en-GB"/>
              </w:rPr>
            </w:pPr>
          </w:p>
          <w:p w14:paraId="705F7C0F" w14:textId="77777777" w:rsidR="00BE4564" w:rsidRPr="00BE4564" w:rsidRDefault="00BE4564">
            <w:pPr>
              <w:rPr>
                <w:rFonts w:ascii="Times New Roman" w:hAnsi="Times New Roman" w:cs="Times New Roman"/>
                <w:sz w:val="20"/>
                <w:szCs w:val="20"/>
                <w:lang w:val="en-GB"/>
              </w:rPr>
            </w:pPr>
          </w:p>
          <w:p w14:paraId="02658697" w14:textId="77777777" w:rsidR="00BE4564" w:rsidRPr="00BE4564" w:rsidRDefault="00BE4564">
            <w:pPr>
              <w:rPr>
                <w:rFonts w:ascii="Times New Roman" w:hAnsi="Times New Roman" w:cs="Times New Roman"/>
                <w:sz w:val="20"/>
                <w:szCs w:val="20"/>
                <w:lang w:val="en-GB"/>
              </w:rPr>
            </w:pPr>
          </w:p>
          <w:p w14:paraId="045ED051" w14:textId="77777777" w:rsidR="00BE4564" w:rsidRPr="00BE4564" w:rsidRDefault="00BE4564">
            <w:pPr>
              <w:rPr>
                <w:rFonts w:ascii="Times New Roman" w:hAnsi="Times New Roman" w:cs="Times New Roman"/>
                <w:sz w:val="20"/>
                <w:szCs w:val="20"/>
                <w:lang w:val="en-GB"/>
              </w:rPr>
            </w:pPr>
          </w:p>
          <w:p w14:paraId="412AFF68" w14:textId="77777777" w:rsidR="00BE4564" w:rsidRPr="00BE4564" w:rsidRDefault="00BE4564">
            <w:pPr>
              <w:rPr>
                <w:rFonts w:ascii="Times New Roman" w:hAnsi="Times New Roman" w:cs="Times New Roman"/>
                <w:sz w:val="20"/>
                <w:szCs w:val="20"/>
                <w:lang w:val="en-GB"/>
              </w:rPr>
            </w:pPr>
          </w:p>
          <w:p w14:paraId="58B2DB84" w14:textId="77777777" w:rsidR="00BE4564" w:rsidRPr="00BE4564" w:rsidRDefault="00BE4564">
            <w:pPr>
              <w:rPr>
                <w:rFonts w:ascii="Times New Roman" w:hAnsi="Times New Roman" w:cs="Times New Roman"/>
                <w:sz w:val="20"/>
                <w:szCs w:val="20"/>
                <w:lang w:val="en-GB"/>
              </w:rPr>
            </w:pPr>
          </w:p>
          <w:p w14:paraId="65980FEE" w14:textId="77777777" w:rsidR="00BE4564" w:rsidRPr="00BE4564" w:rsidRDefault="00BE4564">
            <w:pPr>
              <w:rPr>
                <w:rFonts w:ascii="Times New Roman" w:hAnsi="Times New Roman" w:cs="Times New Roman"/>
                <w:sz w:val="20"/>
                <w:szCs w:val="20"/>
                <w:lang w:val="en-GB"/>
              </w:rPr>
            </w:pPr>
          </w:p>
          <w:p w14:paraId="6AA135CB" w14:textId="77777777" w:rsidR="00BE4564" w:rsidRPr="00BE4564" w:rsidRDefault="00BE4564">
            <w:pPr>
              <w:rPr>
                <w:rFonts w:ascii="Times New Roman" w:hAnsi="Times New Roman" w:cs="Times New Roman"/>
                <w:sz w:val="20"/>
                <w:szCs w:val="20"/>
                <w:lang w:val="en-GB"/>
              </w:rPr>
            </w:pPr>
          </w:p>
          <w:p w14:paraId="31D7CB9C" w14:textId="77777777" w:rsidR="00BE4564" w:rsidRPr="00BE4564" w:rsidRDefault="00BE4564">
            <w:pPr>
              <w:rPr>
                <w:rFonts w:ascii="Times New Roman" w:hAnsi="Times New Roman" w:cs="Times New Roman"/>
                <w:sz w:val="20"/>
                <w:szCs w:val="20"/>
                <w:lang w:val="en-GB"/>
              </w:rPr>
            </w:pPr>
          </w:p>
          <w:p w14:paraId="3C44D587" w14:textId="77777777" w:rsidR="00BE4564" w:rsidRPr="00BE4564" w:rsidRDefault="00BE4564">
            <w:pPr>
              <w:rPr>
                <w:rFonts w:ascii="Times New Roman" w:hAnsi="Times New Roman" w:cs="Times New Roman"/>
                <w:sz w:val="20"/>
                <w:szCs w:val="20"/>
                <w:lang w:val="en-GB"/>
              </w:rPr>
            </w:pPr>
          </w:p>
          <w:p w14:paraId="6B15CC30" w14:textId="77777777" w:rsidR="00BE4564" w:rsidRPr="00BE4564" w:rsidRDefault="00BE4564">
            <w:pPr>
              <w:rPr>
                <w:rFonts w:ascii="Times New Roman" w:hAnsi="Times New Roman" w:cs="Times New Roman"/>
                <w:sz w:val="20"/>
                <w:szCs w:val="20"/>
                <w:lang w:val="en-GB"/>
              </w:rPr>
            </w:pPr>
          </w:p>
          <w:p w14:paraId="4F1BAE1A" w14:textId="77777777" w:rsidR="00BE4564" w:rsidRPr="00BE4564" w:rsidRDefault="00BE4564">
            <w:pPr>
              <w:rPr>
                <w:rFonts w:ascii="Times New Roman" w:hAnsi="Times New Roman" w:cs="Times New Roman"/>
                <w:sz w:val="20"/>
                <w:szCs w:val="20"/>
                <w:lang w:val="en-GB"/>
              </w:rPr>
            </w:pPr>
          </w:p>
          <w:p w14:paraId="4C4E10F5" w14:textId="77777777" w:rsidR="00BE4564" w:rsidRPr="00BE4564" w:rsidRDefault="00BE4564">
            <w:pPr>
              <w:rPr>
                <w:rFonts w:ascii="Times New Roman" w:hAnsi="Times New Roman" w:cs="Times New Roman"/>
                <w:sz w:val="20"/>
                <w:szCs w:val="20"/>
                <w:lang w:val="en-GB"/>
              </w:rPr>
            </w:pPr>
          </w:p>
          <w:p w14:paraId="64A2987D" w14:textId="77777777" w:rsidR="00BE4564" w:rsidRPr="00BE4564" w:rsidRDefault="00BE4564">
            <w:pPr>
              <w:rPr>
                <w:rFonts w:ascii="Times New Roman" w:hAnsi="Times New Roman" w:cs="Times New Roman"/>
                <w:sz w:val="20"/>
                <w:szCs w:val="20"/>
                <w:lang w:val="en-GB"/>
              </w:rPr>
            </w:pPr>
          </w:p>
          <w:p w14:paraId="4CC0E35A" w14:textId="77777777" w:rsidR="00BE4564" w:rsidRPr="00BE4564" w:rsidRDefault="00BE4564" w:rsidP="00BE4564">
            <w:pPr>
              <w:rPr>
                <w:rFonts w:ascii="Times New Roman" w:hAnsi="Times New Roman" w:cs="Times New Roman"/>
                <w:b/>
                <w:bCs/>
                <w:sz w:val="20"/>
                <w:szCs w:val="20"/>
                <w:lang w:val="en-GB"/>
              </w:rPr>
            </w:pPr>
            <w:r w:rsidRPr="00BE4564">
              <w:rPr>
                <w:rFonts w:ascii="Times New Roman" w:hAnsi="Times New Roman" w:cs="Times New Roman"/>
                <w:b/>
                <w:bCs/>
                <w:sz w:val="20"/>
                <w:szCs w:val="20"/>
                <w:lang w:val="en-GB"/>
              </w:rPr>
              <w:t>Control of compliance</w:t>
            </w:r>
          </w:p>
          <w:p w14:paraId="5241F65B" w14:textId="0B45952F" w:rsidR="00BE4564" w:rsidRPr="00BE4564" w:rsidRDefault="00BE4564">
            <w:pPr>
              <w:rPr>
                <w:rFonts w:ascii="Times New Roman" w:hAnsi="Times New Roman" w:cs="Times New Roman"/>
                <w:sz w:val="20"/>
                <w:szCs w:val="20"/>
                <w:lang w:val="en-GB"/>
              </w:rPr>
            </w:pPr>
          </w:p>
        </w:tc>
        <w:tc>
          <w:tcPr>
            <w:tcW w:w="3634" w:type="dxa"/>
            <w:tcBorders>
              <w:top w:val="single" w:sz="18" w:space="0" w:color="auto"/>
            </w:tcBorders>
          </w:tcPr>
          <w:p w14:paraId="01D1847C" w14:textId="05C75656" w:rsidR="009D0BF3" w:rsidRPr="00BE4564" w:rsidRDefault="00BE4564">
            <w:pPr>
              <w:rPr>
                <w:rFonts w:ascii="Times New Roman" w:hAnsi="Times New Roman" w:cs="Times New Roman"/>
                <w:sz w:val="20"/>
                <w:szCs w:val="20"/>
                <w:lang w:val="en-GB"/>
              </w:rPr>
            </w:pPr>
            <w:r w:rsidRPr="00BE4564">
              <w:rPr>
                <w:rFonts w:ascii="Times New Roman" w:hAnsi="Times New Roman" w:cs="Times New Roman"/>
                <w:color w:val="000000" w:themeColor="text1"/>
                <w:sz w:val="20"/>
                <w:szCs w:val="20"/>
                <w:lang w:val="en-GB"/>
              </w:rPr>
              <w:lastRenderedPageBreak/>
              <w:t>M</w:t>
            </w:r>
            <w:r w:rsidR="009D0BF3" w:rsidRPr="00BE4564">
              <w:rPr>
                <w:rFonts w:ascii="Times New Roman" w:hAnsi="Times New Roman" w:cs="Times New Roman"/>
                <w:color w:val="000000" w:themeColor="text1"/>
                <w:sz w:val="20"/>
                <w:szCs w:val="20"/>
                <w:lang w:val="en-GB"/>
              </w:rPr>
              <w:t>onitoring practices to verify that suppliers are effectively reducing carbon emissions, relying on a one-directional flow of information</w:t>
            </w:r>
          </w:p>
          <w:p w14:paraId="2F11F5A9" w14:textId="77777777" w:rsidR="009D0BF3" w:rsidRPr="00BE4564" w:rsidRDefault="009D0BF3">
            <w:pPr>
              <w:rPr>
                <w:rFonts w:ascii="Times New Roman" w:hAnsi="Times New Roman" w:cs="Times New Roman"/>
                <w:sz w:val="20"/>
                <w:szCs w:val="20"/>
                <w:lang w:val="en-GB"/>
              </w:rPr>
            </w:pPr>
          </w:p>
          <w:p w14:paraId="4794DE0B" w14:textId="4813253C" w:rsidR="008E27A1" w:rsidRPr="00BE4564" w:rsidRDefault="008E27A1">
            <w:pPr>
              <w:rPr>
                <w:rFonts w:ascii="Times New Roman" w:hAnsi="Times New Roman" w:cs="Times New Roman"/>
                <w:sz w:val="20"/>
                <w:szCs w:val="20"/>
                <w:lang w:val="en-GB"/>
              </w:rPr>
            </w:pPr>
          </w:p>
        </w:tc>
        <w:tc>
          <w:tcPr>
            <w:tcW w:w="8789" w:type="dxa"/>
            <w:tcBorders>
              <w:top w:val="single" w:sz="18" w:space="0" w:color="auto"/>
            </w:tcBorders>
          </w:tcPr>
          <w:p w14:paraId="0C3DB946" w14:textId="77777777" w:rsidR="008E27A1" w:rsidRDefault="00BE4564">
            <w:pPr>
              <w:rPr>
                <w:rFonts w:ascii="Times New Roman" w:hAnsi="Times New Roman" w:cs="Times New Roman"/>
                <w:sz w:val="20"/>
                <w:szCs w:val="20"/>
              </w:rPr>
            </w:pPr>
            <w:r w:rsidRPr="00BE4564">
              <w:rPr>
                <w:rFonts w:ascii="Times New Roman" w:hAnsi="Times New Roman" w:cs="Times New Roman"/>
                <w:sz w:val="20"/>
                <w:szCs w:val="20"/>
              </w:rPr>
              <w:t>“In late 2020 and early 2021 Michelin updated its Michelin Purchasing Principles, which are applicable to all suppliers, and included in Michelin contracts. These principles now define more precisely what is a requirement and what is an expectation, to ease enforcement. Whithin the section named "Fundamental Principles", a sub-section addresses specifically the Protection of the Environment. Suppliers are required to send upon request any information that may be required to determine the CSR impact of any product or service it provides to Michelin (eg CO2 emissions). This document also encourages all suppliers to reduce GHG emissions, including transportation phases. It also expresses that suppliers shall carry out the CSR assessments which may be requested.” (Michelin, CDP questionnaire 2021)</w:t>
            </w:r>
          </w:p>
          <w:p w14:paraId="351735CC" w14:textId="738B74F7" w:rsidR="00803D75" w:rsidRPr="00BE4564" w:rsidRDefault="00803D75">
            <w:pPr>
              <w:rPr>
                <w:rFonts w:ascii="Times New Roman" w:hAnsi="Times New Roman" w:cs="Times New Roman"/>
                <w:sz w:val="20"/>
                <w:szCs w:val="20"/>
                <w:lang w:val="en-GB"/>
              </w:rPr>
            </w:pPr>
          </w:p>
        </w:tc>
      </w:tr>
      <w:tr w:rsidR="008E27A1" w:rsidRPr="00BE4564" w14:paraId="615B040F" w14:textId="77777777" w:rsidTr="00EE6924">
        <w:tc>
          <w:tcPr>
            <w:tcW w:w="1606" w:type="dxa"/>
            <w:vMerge/>
          </w:tcPr>
          <w:p w14:paraId="4E58240D" w14:textId="77777777" w:rsidR="008E27A1" w:rsidRPr="00BE4564" w:rsidRDefault="008E27A1">
            <w:pPr>
              <w:rPr>
                <w:rFonts w:ascii="Times New Roman" w:hAnsi="Times New Roman" w:cs="Times New Roman"/>
                <w:sz w:val="20"/>
                <w:szCs w:val="20"/>
                <w:lang w:val="en-GB"/>
              </w:rPr>
            </w:pPr>
          </w:p>
        </w:tc>
        <w:tc>
          <w:tcPr>
            <w:tcW w:w="3634" w:type="dxa"/>
          </w:tcPr>
          <w:p w14:paraId="396024DD" w14:textId="18748CF7" w:rsidR="009D0BF3" w:rsidRPr="00BE4564" w:rsidRDefault="00121925">
            <w:pPr>
              <w:rPr>
                <w:rFonts w:ascii="Times New Roman" w:hAnsi="Times New Roman" w:cs="Times New Roman"/>
                <w:sz w:val="20"/>
                <w:szCs w:val="20"/>
                <w:lang w:val="en-GB"/>
              </w:rPr>
            </w:pPr>
            <w:r w:rsidRPr="00BE4564">
              <w:rPr>
                <w:rFonts w:ascii="Times New Roman" w:hAnsi="Times New Roman" w:cs="Times New Roman"/>
                <w:color w:val="000000" w:themeColor="text1"/>
                <w:sz w:val="20"/>
                <w:szCs w:val="20"/>
                <w:lang w:val="en-GB"/>
              </w:rPr>
              <w:t>A</w:t>
            </w:r>
            <w:r w:rsidR="009D0BF3" w:rsidRPr="00BE4564">
              <w:rPr>
                <w:rFonts w:ascii="Times New Roman" w:hAnsi="Times New Roman" w:cs="Times New Roman"/>
                <w:color w:val="000000" w:themeColor="text1"/>
                <w:sz w:val="20"/>
                <w:szCs w:val="20"/>
                <w:lang w:val="en-GB"/>
              </w:rPr>
              <w:t>lign</w:t>
            </w:r>
            <w:r w:rsidR="00CE1E52" w:rsidRPr="00BE4564">
              <w:rPr>
                <w:rFonts w:ascii="Times New Roman" w:hAnsi="Times New Roman" w:cs="Times New Roman"/>
                <w:color w:val="000000" w:themeColor="text1"/>
                <w:sz w:val="20"/>
                <w:szCs w:val="20"/>
                <w:lang w:val="en-GB"/>
              </w:rPr>
              <w:t>ing</w:t>
            </w:r>
            <w:r w:rsidR="009D0BF3" w:rsidRPr="00BE4564">
              <w:rPr>
                <w:rFonts w:ascii="Times New Roman" w:hAnsi="Times New Roman" w:cs="Times New Roman"/>
                <w:color w:val="000000" w:themeColor="text1"/>
                <w:sz w:val="20"/>
                <w:szCs w:val="20"/>
                <w:lang w:val="en-GB"/>
              </w:rPr>
              <w:t xml:space="preserve"> clients with its decarbonisation objectives </w:t>
            </w:r>
          </w:p>
          <w:p w14:paraId="3037BE36" w14:textId="77777777" w:rsidR="009D0BF3" w:rsidRPr="00BE4564" w:rsidRDefault="009D0BF3">
            <w:pPr>
              <w:rPr>
                <w:rFonts w:ascii="Times New Roman" w:hAnsi="Times New Roman" w:cs="Times New Roman"/>
                <w:sz w:val="20"/>
                <w:szCs w:val="20"/>
                <w:lang w:val="en-GB"/>
              </w:rPr>
            </w:pPr>
          </w:p>
          <w:p w14:paraId="266BDC5E" w14:textId="171EAE28" w:rsidR="008E27A1" w:rsidRPr="00BE4564" w:rsidRDefault="008E27A1">
            <w:pPr>
              <w:rPr>
                <w:rFonts w:ascii="Times New Roman" w:hAnsi="Times New Roman" w:cs="Times New Roman"/>
                <w:sz w:val="20"/>
                <w:szCs w:val="20"/>
                <w:lang w:val="en-GB"/>
              </w:rPr>
            </w:pPr>
          </w:p>
        </w:tc>
        <w:tc>
          <w:tcPr>
            <w:tcW w:w="8789" w:type="dxa"/>
          </w:tcPr>
          <w:p w14:paraId="18BEA758" w14:textId="77777777" w:rsidR="008E27A1" w:rsidRDefault="00121925">
            <w:pPr>
              <w:rPr>
                <w:rFonts w:ascii="Times New Roman" w:hAnsi="Times New Roman" w:cs="Times New Roman"/>
                <w:sz w:val="20"/>
                <w:szCs w:val="20"/>
              </w:rPr>
            </w:pPr>
            <w:r w:rsidRPr="00BE4564">
              <w:rPr>
                <w:rFonts w:ascii="Times New Roman" w:hAnsi="Times New Roman" w:cs="Times New Roman"/>
                <w:sz w:val="20"/>
                <w:szCs w:val="20"/>
                <w:lang w:val="en-GB"/>
              </w:rPr>
              <w:t>“</w:t>
            </w:r>
            <w:r w:rsidRPr="00BE4564">
              <w:rPr>
                <w:rFonts w:ascii="Times New Roman" w:hAnsi="Times New Roman" w:cs="Times New Roman"/>
                <w:sz w:val="20"/>
                <w:szCs w:val="20"/>
              </w:rPr>
              <w:t xml:space="preserve">We want to build and increase awareness of customers and encourage innovation to drive emissions reductions. As we equip our customers with energy efficient coolers, we want to further accelerate positive impact so that customers run their own initiatives and programs to reduce climate impact, e.g. they can implement at their premises energy saving programs. Customers are prioritised based on their volume and </w:t>
            </w:r>
            <w:r w:rsidRPr="00BE4564">
              <w:rPr>
                <w:rFonts w:ascii="Times New Roman" w:hAnsi="Times New Roman" w:cs="Times New Roman"/>
                <w:sz w:val="20"/>
                <w:szCs w:val="20"/>
              </w:rPr>
              <w:lastRenderedPageBreak/>
              <w:t>NSR contribution. We have different categories of our customers: diamond, gold, silver, bronze.” (Coca-Cola, CDP questionnaire 2021)</w:t>
            </w:r>
          </w:p>
          <w:p w14:paraId="12F1CD3B" w14:textId="2BDE4E3F" w:rsidR="00803D75" w:rsidRPr="00BE4564" w:rsidRDefault="00803D75">
            <w:pPr>
              <w:rPr>
                <w:rFonts w:ascii="Times New Roman" w:hAnsi="Times New Roman" w:cs="Times New Roman"/>
                <w:sz w:val="20"/>
                <w:szCs w:val="20"/>
                <w:lang w:val="en-GB"/>
              </w:rPr>
            </w:pPr>
          </w:p>
        </w:tc>
      </w:tr>
      <w:tr w:rsidR="008E27A1" w:rsidRPr="00BE4564" w14:paraId="23925000" w14:textId="77777777" w:rsidTr="00EE6924">
        <w:tc>
          <w:tcPr>
            <w:tcW w:w="1606" w:type="dxa"/>
            <w:vMerge/>
          </w:tcPr>
          <w:p w14:paraId="482824D6" w14:textId="77777777" w:rsidR="008E27A1" w:rsidRPr="00BE4564" w:rsidRDefault="008E27A1">
            <w:pPr>
              <w:rPr>
                <w:rFonts w:ascii="Times New Roman" w:hAnsi="Times New Roman" w:cs="Times New Roman"/>
                <w:sz w:val="20"/>
                <w:szCs w:val="20"/>
                <w:lang w:val="en-GB"/>
              </w:rPr>
            </w:pPr>
          </w:p>
        </w:tc>
        <w:tc>
          <w:tcPr>
            <w:tcW w:w="3634" w:type="dxa"/>
          </w:tcPr>
          <w:p w14:paraId="18683CFF" w14:textId="1C826C2C" w:rsidR="009D0BF3" w:rsidRPr="00BE4564" w:rsidRDefault="00CE1E52">
            <w:pPr>
              <w:rPr>
                <w:rFonts w:ascii="Times New Roman" w:hAnsi="Times New Roman" w:cs="Times New Roman"/>
                <w:sz w:val="20"/>
                <w:szCs w:val="20"/>
                <w:lang w:val="en-GB"/>
              </w:rPr>
            </w:pPr>
            <w:r w:rsidRPr="00BE4564">
              <w:rPr>
                <w:rFonts w:ascii="Times New Roman" w:hAnsi="Times New Roman" w:cs="Times New Roman"/>
                <w:color w:val="000000" w:themeColor="text1"/>
                <w:sz w:val="20"/>
                <w:szCs w:val="20"/>
                <w:lang w:val="en-GB"/>
              </w:rPr>
              <w:t>P</w:t>
            </w:r>
            <w:r w:rsidR="009D0BF3" w:rsidRPr="00BE4564">
              <w:rPr>
                <w:rFonts w:ascii="Times New Roman" w:hAnsi="Times New Roman" w:cs="Times New Roman"/>
                <w:color w:val="000000" w:themeColor="text1"/>
                <w:sz w:val="20"/>
                <w:szCs w:val="20"/>
                <w:lang w:val="en-GB"/>
              </w:rPr>
              <w:t>osition</w:t>
            </w:r>
            <w:r w:rsidRPr="00BE4564">
              <w:rPr>
                <w:rFonts w:ascii="Times New Roman" w:hAnsi="Times New Roman" w:cs="Times New Roman"/>
                <w:color w:val="000000" w:themeColor="text1"/>
                <w:sz w:val="20"/>
                <w:szCs w:val="20"/>
                <w:lang w:val="en-GB"/>
              </w:rPr>
              <w:t>ing</w:t>
            </w:r>
            <w:r w:rsidR="009D0BF3" w:rsidRPr="00BE4564">
              <w:rPr>
                <w:rFonts w:ascii="Times New Roman" w:hAnsi="Times New Roman" w:cs="Times New Roman"/>
                <w:color w:val="000000" w:themeColor="text1"/>
                <w:sz w:val="20"/>
                <w:szCs w:val="20"/>
                <w:lang w:val="en-GB"/>
              </w:rPr>
              <w:t xml:space="preserve"> suppliers as subjects of assessment outside the focal firm’s boundaries</w:t>
            </w:r>
          </w:p>
          <w:p w14:paraId="4719F744" w14:textId="124485FF" w:rsidR="008E27A1" w:rsidRPr="00BE4564" w:rsidRDefault="008E27A1">
            <w:pPr>
              <w:rPr>
                <w:rFonts w:ascii="Times New Roman" w:hAnsi="Times New Roman" w:cs="Times New Roman"/>
                <w:sz w:val="20"/>
                <w:szCs w:val="20"/>
                <w:lang w:val="en-GB"/>
              </w:rPr>
            </w:pPr>
          </w:p>
        </w:tc>
        <w:tc>
          <w:tcPr>
            <w:tcW w:w="8789" w:type="dxa"/>
          </w:tcPr>
          <w:p w14:paraId="166FEEEE" w14:textId="64598B16" w:rsidR="008E27A1" w:rsidRDefault="00580330">
            <w:pPr>
              <w:rPr>
                <w:rFonts w:ascii="Times New Roman" w:hAnsi="Times New Roman" w:cs="Times New Roman"/>
                <w:sz w:val="20"/>
                <w:szCs w:val="20"/>
              </w:rPr>
            </w:pPr>
            <w:r w:rsidRPr="00394996">
              <w:rPr>
                <w:rFonts w:ascii="Times New Roman" w:hAnsi="Times New Roman" w:cs="Times New Roman"/>
                <w:sz w:val="20"/>
                <w:szCs w:val="20"/>
              </w:rPr>
              <w:t>“</w:t>
            </w:r>
            <w:r w:rsidRPr="00BE4564">
              <w:rPr>
                <w:rFonts w:ascii="Times New Roman" w:hAnsi="Times New Roman" w:cs="Times New Roman"/>
                <w:sz w:val="20"/>
                <w:szCs w:val="20"/>
              </w:rPr>
              <w:t>Vallourec conducted several hundred audits or supplier risk analyses at all of its sites</w:t>
            </w:r>
            <w:r w:rsidR="00CE1E52" w:rsidRPr="00BE4564">
              <w:rPr>
                <w:rFonts w:ascii="Times New Roman" w:hAnsi="Times New Roman" w:cs="Times New Roman"/>
                <w:sz w:val="20"/>
                <w:szCs w:val="20"/>
              </w:rPr>
              <w:t xml:space="preserve">. </w:t>
            </w:r>
            <w:r w:rsidRPr="00BE4564">
              <w:rPr>
                <w:rFonts w:ascii="Times New Roman" w:hAnsi="Times New Roman" w:cs="Times New Roman"/>
                <w:sz w:val="20"/>
                <w:szCs w:val="20"/>
              </w:rPr>
              <w:t>Purchasing departments continued the formal and systematic evaluation of suppliers based on CSR criteria, still with the assistance of the same specialized firm. As at 31 December 2017, more than 1,000 suppliers were incorporated in this project, and nearly 400 of them, representing more than 40% of Vallourec’s expense, were at the end of the process, with a complete evaluation and progressive action plans. This assessment showed that 51% of the suppliers evaluated already publish a formal report on their energy consumption and greenhouse gas emissions, 65% publish a report on their health, safety and environment (HSE)</w:t>
            </w:r>
            <w:r w:rsidR="008E7A33">
              <w:rPr>
                <w:rFonts w:ascii="Times New Roman" w:hAnsi="Times New Roman" w:cs="Times New Roman"/>
                <w:sz w:val="20"/>
                <w:szCs w:val="20"/>
              </w:rPr>
              <w:t xml:space="preserve"> </w:t>
            </w:r>
            <w:r w:rsidRPr="00BE4564">
              <w:rPr>
                <w:rFonts w:ascii="Times New Roman" w:hAnsi="Times New Roman" w:cs="Times New Roman"/>
                <w:sz w:val="20"/>
                <w:szCs w:val="20"/>
              </w:rPr>
              <w:t>indicators, and 32% are ISO 14001 certified” (Valourec, CDP questionnarie 2018)</w:t>
            </w:r>
          </w:p>
          <w:p w14:paraId="6B74CA0B" w14:textId="77777777" w:rsidR="00394996" w:rsidRDefault="00394996">
            <w:pPr>
              <w:rPr>
                <w:rFonts w:ascii="Times New Roman" w:hAnsi="Times New Roman" w:cs="Times New Roman"/>
                <w:sz w:val="20"/>
                <w:szCs w:val="20"/>
              </w:rPr>
            </w:pPr>
          </w:p>
          <w:p w14:paraId="009593A1" w14:textId="2B2A2515" w:rsidR="00394996" w:rsidRPr="00394996" w:rsidRDefault="00394996" w:rsidP="00394996">
            <w:pPr>
              <w:pStyle w:val="p1"/>
              <w:rPr>
                <w:rFonts w:ascii="Times New Roman" w:eastAsiaTheme="minorHAnsi" w:hAnsi="Times New Roman"/>
                <w:color w:val="auto"/>
                <w:kern w:val="2"/>
                <w:sz w:val="20"/>
                <w:szCs w:val="20"/>
                <w:lang w:eastAsia="en-US"/>
                <w14:ligatures w14:val="standardContextual"/>
              </w:rPr>
            </w:pPr>
            <w:r w:rsidRPr="00394996">
              <w:rPr>
                <w:rFonts w:ascii="Times New Roman" w:eastAsiaTheme="minorHAnsi" w:hAnsi="Times New Roman"/>
                <w:color w:val="auto"/>
                <w:kern w:val="2"/>
                <w:sz w:val="20"/>
                <w:szCs w:val="20"/>
                <w:lang w:eastAsia="en-US"/>
                <w14:ligatures w14:val="standardContextual"/>
              </w:rPr>
              <w:t>“HeidelbergCement strives to ensure compliance with sustainability standards in the supply chain. Group-wide purchasing guidelines therefore provide clear instructions regarding our supplier relations and purchasing activities. The most important tool used for this purpose is our Supplier Code of Conduct, which we consistently communicate to our global and local suppliers, who are obligated to act in line with the principles defined in the Code.” (HeidelbergCement, Sustainability Report 2021)</w:t>
            </w:r>
          </w:p>
          <w:p w14:paraId="6A43F9AC" w14:textId="77777777" w:rsidR="00394996" w:rsidRPr="00BE4564" w:rsidRDefault="00394996">
            <w:pPr>
              <w:rPr>
                <w:rFonts w:ascii="Times New Roman" w:hAnsi="Times New Roman" w:cs="Times New Roman"/>
                <w:sz w:val="20"/>
                <w:szCs w:val="20"/>
              </w:rPr>
            </w:pPr>
          </w:p>
          <w:p w14:paraId="4A2FB728" w14:textId="6360E3E5" w:rsidR="00233BDE" w:rsidRPr="00394996" w:rsidRDefault="00233BDE">
            <w:pPr>
              <w:rPr>
                <w:rFonts w:ascii="Times New Roman" w:hAnsi="Times New Roman" w:cs="Times New Roman"/>
                <w:sz w:val="20"/>
                <w:szCs w:val="20"/>
              </w:rPr>
            </w:pPr>
          </w:p>
        </w:tc>
      </w:tr>
      <w:tr w:rsidR="00121925" w:rsidRPr="00BE4564" w14:paraId="347BD1EA" w14:textId="77777777" w:rsidTr="00EE6924">
        <w:trPr>
          <w:trHeight w:val="2561"/>
        </w:trPr>
        <w:tc>
          <w:tcPr>
            <w:tcW w:w="1606" w:type="dxa"/>
            <w:vMerge/>
          </w:tcPr>
          <w:p w14:paraId="586BC387" w14:textId="77777777" w:rsidR="00121925" w:rsidRPr="00BE4564" w:rsidRDefault="00121925">
            <w:pPr>
              <w:rPr>
                <w:rFonts w:ascii="Times New Roman" w:hAnsi="Times New Roman" w:cs="Times New Roman"/>
                <w:sz w:val="20"/>
                <w:szCs w:val="20"/>
                <w:lang w:val="en-GB"/>
              </w:rPr>
            </w:pPr>
          </w:p>
        </w:tc>
        <w:tc>
          <w:tcPr>
            <w:tcW w:w="3634" w:type="dxa"/>
          </w:tcPr>
          <w:p w14:paraId="393909A1" w14:textId="61E25772" w:rsidR="00121925" w:rsidRPr="00BE4564" w:rsidRDefault="00121925" w:rsidP="006B06BB">
            <w:pPr>
              <w:rPr>
                <w:rFonts w:ascii="Times New Roman" w:hAnsi="Times New Roman" w:cs="Times New Roman"/>
                <w:sz w:val="20"/>
                <w:szCs w:val="20"/>
                <w:lang w:val="en-GB"/>
              </w:rPr>
            </w:pPr>
            <w:r w:rsidRPr="00BE4564">
              <w:rPr>
                <w:rFonts w:ascii="Times New Roman" w:hAnsi="Times New Roman" w:cs="Times New Roman"/>
                <w:color w:val="000000" w:themeColor="text1"/>
                <w:sz w:val="20"/>
                <w:szCs w:val="20"/>
                <w:lang w:val="en-GB"/>
              </w:rPr>
              <w:t>Plac</w:t>
            </w:r>
            <w:r w:rsidR="00CE1E52" w:rsidRPr="00BE4564">
              <w:rPr>
                <w:rFonts w:ascii="Times New Roman" w:hAnsi="Times New Roman" w:cs="Times New Roman"/>
                <w:color w:val="000000" w:themeColor="text1"/>
                <w:sz w:val="20"/>
                <w:szCs w:val="20"/>
                <w:lang w:val="en-GB"/>
              </w:rPr>
              <w:t>ing</w:t>
            </w:r>
            <w:r w:rsidRPr="00BE4564">
              <w:rPr>
                <w:rFonts w:ascii="Times New Roman" w:hAnsi="Times New Roman" w:cs="Times New Roman"/>
                <w:color w:val="000000" w:themeColor="text1"/>
                <w:sz w:val="20"/>
                <w:szCs w:val="20"/>
                <w:lang w:val="en-GB"/>
              </w:rPr>
              <w:t xml:space="preserve"> the onus of emission reductions solely on other actors</w:t>
            </w:r>
          </w:p>
        </w:tc>
        <w:tc>
          <w:tcPr>
            <w:tcW w:w="8789" w:type="dxa"/>
          </w:tcPr>
          <w:p w14:paraId="69E2400E" w14:textId="77777777" w:rsidR="00121925" w:rsidRPr="00BE4564" w:rsidRDefault="00121925">
            <w:pPr>
              <w:rPr>
                <w:rFonts w:ascii="Times New Roman" w:hAnsi="Times New Roman" w:cs="Times New Roman"/>
                <w:sz w:val="20"/>
                <w:szCs w:val="20"/>
              </w:rPr>
            </w:pPr>
            <w:r w:rsidRPr="00BE4564">
              <w:rPr>
                <w:rFonts w:ascii="Times New Roman" w:hAnsi="Times New Roman" w:cs="Times New Roman"/>
                <w:sz w:val="20"/>
                <w:szCs w:val="20"/>
                <w:lang w:val="en-GB"/>
              </w:rPr>
              <w:t>“</w:t>
            </w:r>
            <w:r w:rsidRPr="00BE4564">
              <w:rPr>
                <w:rFonts w:ascii="Times New Roman" w:hAnsi="Times New Roman" w:cs="Times New Roman"/>
                <w:sz w:val="20"/>
                <w:szCs w:val="20"/>
              </w:rPr>
              <w:t>When it comes to the procurement of our raw materials the setting of targets and the participation in the CDP Supply Chain or EcoVadis program is expected. If required, we are willing to increase the pressure on our key suppliers and would also consider abandoning business relationships in case of insufficient climate performance. For the purpose of this target, key suppliers are those suppliers providing Symrise with carbon intensive raw materials” (Symrise, CDP questionnaire 2021)</w:t>
            </w:r>
          </w:p>
          <w:p w14:paraId="1717959D" w14:textId="77777777" w:rsidR="00233BDE" w:rsidRPr="00BE4564" w:rsidRDefault="00233BDE">
            <w:pPr>
              <w:rPr>
                <w:rFonts w:ascii="Times New Roman" w:hAnsi="Times New Roman" w:cs="Times New Roman"/>
                <w:sz w:val="20"/>
                <w:szCs w:val="20"/>
              </w:rPr>
            </w:pPr>
          </w:p>
          <w:p w14:paraId="5F0C2C21" w14:textId="77777777" w:rsidR="00233BDE" w:rsidRDefault="00233BDE">
            <w:pPr>
              <w:rPr>
                <w:rFonts w:ascii="Times New Roman" w:hAnsi="Times New Roman" w:cs="Times New Roman"/>
                <w:sz w:val="20"/>
                <w:szCs w:val="20"/>
              </w:rPr>
            </w:pPr>
            <w:r w:rsidRPr="00BE4564">
              <w:rPr>
                <w:rFonts w:ascii="Times New Roman" w:hAnsi="Times New Roman" w:cs="Times New Roman"/>
                <w:sz w:val="20"/>
                <w:szCs w:val="20"/>
              </w:rPr>
              <w:t>“The Responsible Sourcing Policy includes our clear environmental requirements. Manufacturing sites must apply environmental management principles, including climate-related issues; the policy calls for conservation of environmental values at raw material source, and the use of best agricultural and processing techniques.” (Givaudan, CDP questionnaire, 2018)</w:t>
            </w:r>
          </w:p>
          <w:p w14:paraId="5C333B6E" w14:textId="757C778C" w:rsidR="00394996" w:rsidRPr="00BE4564" w:rsidRDefault="00394996">
            <w:pPr>
              <w:rPr>
                <w:rFonts w:ascii="Times New Roman" w:hAnsi="Times New Roman" w:cs="Times New Roman"/>
                <w:sz w:val="20"/>
                <w:szCs w:val="20"/>
                <w:lang w:val="en-GB"/>
              </w:rPr>
            </w:pPr>
          </w:p>
        </w:tc>
      </w:tr>
      <w:tr w:rsidR="00BE4564" w:rsidRPr="00BE4564" w14:paraId="17E41DED" w14:textId="77777777" w:rsidTr="00EE6924">
        <w:trPr>
          <w:trHeight w:val="1986"/>
        </w:trPr>
        <w:tc>
          <w:tcPr>
            <w:tcW w:w="1606" w:type="dxa"/>
            <w:vMerge w:val="restart"/>
            <w:tcBorders>
              <w:top w:val="single" w:sz="18" w:space="0" w:color="auto"/>
            </w:tcBorders>
          </w:tcPr>
          <w:p w14:paraId="30FAAB6D" w14:textId="77777777" w:rsidR="00BE4564" w:rsidRPr="00BE4564" w:rsidRDefault="00BE4564">
            <w:pPr>
              <w:rPr>
                <w:rFonts w:ascii="Times New Roman" w:hAnsi="Times New Roman" w:cs="Times New Roman"/>
                <w:b/>
                <w:bCs/>
                <w:sz w:val="20"/>
                <w:szCs w:val="20"/>
                <w:lang w:val="en-GB"/>
              </w:rPr>
            </w:pPr>
            <w:r w:rsidRPr="00BE4564">
              <w:rPr>
                <w:rFonts w:ascii="Times New Roman" w:hAnsi="Times New Roman" w:cs="Times New Roman"/>
                <w:b/>
                <w:bCs/>
                <w:sz w:val="20"/>
                <w:szCs w:val="20"/>
                <w:lang w:val="en-GB"/>
              </w:rPr>
              <w:lastRenderedPageBreak/>
              <w:t>Exchange</w:t>
            </w:r>
          </w:p>
          <w:p w14:paraId="6EFBA9AA" w14:textId="77777777" w:rsidR="00BE4564" w:rsidRPr="00BE4564" w:rsidRDefault="00BE4564">
            <w:pPr>
              <w:rPr>
                <w:rFonts w:ascii="Times New Roman" w:hAnsi="Times New Roman" w:cs="Times New Roman"/>
                <w:sz w:val="20"/>
                <w:szCs w:val="20"/>
                <w:lang w:val="en-GB"/>
              </w:rPr>
            </w:pPr>
          </w:p>
          <w:p w14:paraId="31EC12A8" w14:textId="77777777" w:rsidR="00BE4564" w:rsidRPr="00BE4564" w:rsidRDefault="00BE4564">
            <w:pPr>
              <w:rPr>
                <w:rFonts w:ascii="Times New Roman" w:hAnsi="Times New Roman" w:cs="Times New Roman"/>
                <w:sz w:val="20"/>
                <w:szCs w:val="20"/>
                <w:lang w:val="en-GB"/>
              </w:rPr>
            </w:pPr>
          </w:p>
          <w:p w14:paraId="042807FA" w14:textId="77777777" w:rsidR="00BE4564" w:rsidRPr="00BE4564" w:rsidRDefault="00BE4564">
            <w:pPr>
              <w:rPr>
                <w:rFonts w:ascii="Times New Roman" w:hAnsi="Times New Roman" w:cs="Times New Roman"/>
                <w:sz w:val="20"/>
                <w:szCs w:val="20"/>
                <w:lang w:val="en-GB"/>
              </w:rPr>
            </w:pPr>
          </w:p>
          <w:p w14:paraId="76292D2B" w14:textId="77777777" w:rsidR="00BE4564" w:rsidRPr="00BE4564" w:rsidRDefault="00BE4564">
            <w:pPr>
              <w:rPr>
                <w:rFonts w:ascii="Times New Roman" w:hAnsi="Times New Roman" w:cs="Times New Roman"/>
                <w:sz w:val="20"/>
                <w:szCs w:val="20"/>
                <w:lang w:val="en-GB"/>
              </w:rPr>
            </w:pPr>
          </w:p>
          <w:p w14:paraId="1392B233" w14:textId="77777777" w:rsidR="00BE4564" w:rsidRPr="00BE4564" w:rsidRDefault="00BE4564">
            <w:pPr>
              <w:rPr>
                <w:rFonts w:ascii="Times New Roman" w:hAnsi="Times New Roman" w:cs="Times New Roman"/>
                <w:sz w:val="20"/>
                <w:szCs w:val="20"/>
                <w:lang w:val="en-GB"/>
              </w:rPr>
            </w:pPr>
          </w:p>
          <w:p w14:paraId="6F6959EC" w14:textId="77777777" w:rsidR="00BE4564" w:rsidRPr="00BE4564" w:rsidRDefault="00BE4564">
            <w:pPr>
              <w:rPr>
                <w:rFonts w:ascii="Times New Roman" w:hAnsi="Times New Roman" w:cs="Times New Roman"/>
                <w:sz w:val="20"/>
                <w:szCs w:val="20"/>
                <w:lang w:val="en-GB"/>
              </w:rPr>
            </w:pPr>
          </w:p>
          <w:p w14:paraId="4E5BD132" w14:textId="77777777" w:rsidR="00BE4564" w:rsidRPr="00BE4564" w:rsidRDefault="00BE4564">
            <w:pPr>
              <w:rPr>
                <w:rFonts w:ascii="Times New Roman" w:hAnsi="Times New Roman" w:cs="Times New Roman"/>
                <w:sz w:val="20"/>
                <w:szCs w:val="20"/>
                <w:lang w:val="en-GB"/>
              </w:rPr>
            </w:pPr>
          </w:p>
          <w:p w14:paraId="36A854BB" w14:textId="77777777" w:rsidR="00BE4564" w:rsidRPr="00BE4564" w:rsidRDefault="00BE4564">
            <w:pPr>
              <w:rPr>
                <w:rFonts w:ascii="Times New Roman" w:hAnsi="Times New Roman" w:cs="Times New Roman"/>
                <w:sz w:val="20"/>
                <w:szCs w:val="20"/>
                <w:lang w:val="en-GB"/>
              </w:rPr>
            </w:pPr>
          </w:p>
          <w:p w14:paraId="67008C74" w14:textId="77777777" w:rsidR="00BE4564" w:rsidRPr="00BE4564" w:rsidRDefault="00BE4564">
            <w:pPr>
              <w:rPr>
                <w:rFonts w:ascii="Times New Roman" w:hAnsi="Times New Roman" w:cs="Times New Roman"/>
                <w:sz w:val="20"/>
                <w:szCs w:val="20"/>
                <w:lang w:val="en-GB"/>
              </w:rPr>
            </w:pPr>
          </w:p>
          <w:p w14:paraId="2E017B1D" w14:textId="77777777" w:rsidR="00BE4564" w:rsidRPr="00BE4564" w:rsidRDefault="00BE4564">
            <w:pPr>
              <w:rPr>
                <w:rFonts w:ascii="Times New Roman" w:hAnsi="Times New Roman" w:cs="Times New Roman"/>
                <w:sz w:val="20"/>
                <w:szCs w:val="20"/>
                <w:lang w:val="en-GB"/>
              </w:rPr>
            </w:pPr>
          </w:p>
          <w:p w14:paraId="7843829D" w14:textId="77777777" w:rsidR="00BE4564" w:rsidRPr="00BE4564" w:rsidRDefault="00BE4564">
            <w:pPr>
              <w:rPr>
                <w:rFonts w:ascii="Times New Roman" w:hAnsi="Times New Roman" w:cs="Times New Roman"/>
                <w:sz w:val="20"/>
                <w:szCs w:val="20"/>
                <w:lang w:val="en-GB"/>
              </w:rPr>
            </w:pPr>
          </w:p>
          <w:p w14:paraId="265747C9" w14:textId="77777777" w:rsidR="00BE4564" w:rsidRPr="00BE4564" w:rsidRDefault="00BE4564">
            <w:pPr>
              <w:rPr>
                <w:rFonts w:ascii="Times New Roman" w:hAnsi="Times New Roman" w:cs="Times New Roman"/>
                <w:sz w:val="20"/>
                <w:szCs w:val="20"/>
                <w:lang w:val="en-GB"/>
              </w:rPr>
            </w:pPr>
          </w:p>
          <w:p w14:paraId="5D27051E" w14:textId="77777777" w:rsidR="00BE4564" w:rsidRPr="00BE4564" w:rsidRDefault="00BE4564">
            <w:pPr>
              <w:rPr>
                <w:rFonts w:ascii="Times New Roman" w:hAnsi="Times New Roman" w:cs="Times New Roman"/>
                <w:sz w:val="20"/>
                <w:szCs w:val="20"/>
                <w:lang w:val="en-GB"/>
              </w:rPr>
            </w:pPr>
          </w:p>
          <w:p w14:paraId="3529D7AC" w14:textId="77777777" w:rsidR="00BE4564" w:rsidRPr="00BE4564" w:rsidRDefault="00BE4564">
            <w:pPr>
              <w:rPr>
                <w:rFonts w:ascii="Times New Roman" w:hAnsi="Times New Roman" w:cs="Times New Roman"/>
                <w:sz w:val="20"/>
                <w:szCs w:val="20"/>
                <w:lang w:val="en-GB"/>
              </w:rPr>
            </w:pPr>
          </w:p>
          <w:p w14:paraId="3CF50228" w14:textId="77777777" w:rsidR="00BE4564" w:rsidRPr="00BE4564" w:rsidRDefault="00BE4564">
            <w:pPr>
              <w:rPr>
                <w:rFonts w:ascii="Times New Roman" w:hAnsi="Times New Roman" w:cs="Times New Roman"/>
                <w:sz w:val="20"/>
                <w:szCs w:val="20"/>
                <w:lang w:val="en-GB"/>
              </w:rPr>
            </w:pPr>
          </w:p>
          <w:p w14:paraId="6E54FEFC" w14:textId="77777777" w:rsidR="00BE4564" w:rsidRDefault="00BE4564" w:rsidP="00BE4564">
            <w:pPr>
              <w:rPr>
                <w:rFonts w:ascii="Times New Roman" w:hAnsi="Times New Roman" w:cs="Times New Roman"/>
                <w:b/>
                <w:bCs/>
                <w:sz w:val="20"/>
                <w:szCs w:val="20"/>
                <w:lang w:val="en-GB"/>
              </w:rPr>
            </w:pPr>
          </w:p>
          <w:p w14:paraId="65F0B1F6" w14:textId="77777777" w:rsidR="00BE4564" w:rsidRDefault="00BE4564" w:rsidP="00BE4564">
            <w:pPr>
              <w:rPr>
                <w:rFonts w:ascii="Times New Roman" w:hAnsi="Times New Roman" w:cs="Times New Roman"/>
                <w:b/>
                <w:bCs/>
                <w:sz w:val="20"/>
                <w:szCs w:val="20"/>
                <w:lang w:val="en-GB"/>
              </w:rPr>
            </w:pPr>
          </w:p>
          <w:p w14:paraId="2EB8D495" w14:textId="77777777" w:rsidR="00BE4564" w:rsidRDefault="00BE4564" w:rsidP="00BE4564">
            <w:pPr>
              <w:rPr>
                <w:rFonts w:ascii="Times New Roman" w:hAnsi="Times New Roman" w:cs="Times New Roman"/>
                <w:b/>
                <w:bCs/>
                <w:sz w:val="20"/>
                <w:szCs w:val="20"/>
                <w:lang w:val="en-GB"/>
              </w:rPr>
            </w:pPr>
          </w:p>
          <w:p w14:paraId="7E9A70A7" w14:textId="77777777" w:rsidR="00BE4564" w:rsidRDefault="00BE4564" w:rsidP="00BE4564">
            <w:pPr>
              <w:rPr>
                <w:rFonts w:ascii="Times New Roman" w:hAnsi="Times New Roman" w:cs="Times New Roman"/>
                <w:b/>
                <w:bCs/>
                <w:sz w:val="20"/>
                <w:szCs w:val="20"/>
                <w:lang w:val="en-GB"/>
              </w:rPr>
            </w:pPr>
          </w:p>
          <w:p w14:paraId="1630D914" w14:textId="77777777" w:rsidR="00BE4564" w:rsidRDefault="00BE4564" w:rsidP="00BE4564">
            <w:pPr>
              <w:rPr>
                <w:rFonts w:ascii="Times New Roman" w:hAnsi="Times New Roman" w:cs="Times New Roman"/>
                <w:b/>
                <w:bCs/>
                <w:sz w:val="20"/>
                <w:szCs w:val="20"/>
                <w:lang w:val="en-GB"/>
              </w:rPr>
            </w:pPr>
          </w:p>
          <w:p w14:paraId="1E607AB2" w14:textId="05E0A544" w:rsidR="00BE4564" w:rsidRPr="00BE4564" w:rsidRDefault="00BE4564" w:rsidP="00BE4564">
            <w:pPr>
              <w:rPr>
                <w:rFonts w:ascii="Times New Roman" w:hAnsi="Times New Roman" w:cs="Times New Roman"/>
                <w:b/>
                <w:bCs/>
                <w:sz w:val="20"/>
                <w:szCs w:val="20"/>
                <w:lang w:val="en-GB"/>
              </w:rPr>
            </w:pPr>
            <w:r w:rsidRPr="00BE4564">
              <w:rPr>
                <w:rFonts w:ascii="Times New Roman" w:hAnsi="Times New Roman" w:cs="Times New Roman"/>
                <w:b/>
                <w:bCs/>
                <w:sz w:val="20"/>
                <w:szCs w:val="20"/>
                <w:lang w:val="en-GB"/>
              </w:rPr>
              <w:t>Exchange</w:t>
            </w:r>
          </w:p>
          <w:p w14:paraId="6CADE703" w14:textId="77777777" w:rsidR="00BE4564" w:rsidRPr="00BE4564" w:rsidRDefault="00BE4564">
            <w:pPr>
              <w:rPr>
                <w:rFonts w:ascii="Times New Roman" w:hAnsi="Times New Roman" w:cs="Times New Roman"/>
                <w:sz w:val="20"/>
                <w:szCs w:val="20"/>
                <w:lang w:val="en-GB"/>
              </w:rPr>
            </w:pPr>
          </w:p>
          <w:p w14:paraId="7CE90E99" w14:textId="77777777" w:rsidR="00BE4564" w:rsidRPr="00BE4564" w:rsidRDefault="00BE4564">
            <w:pPr>
              <w:rPr>
                <w:rFonts w:ascii="Times New Roman" w:hAnsi="Times New Roman" w:cs="Times New Roman"/>
                <w:sz w:val="20"/>
                <w:szCs w:val="20"/>
                <w:lang w:val="en-GB"/>
              </w:rPr>
            </w:pPr>
          </w:p>
          <w:p w14:paraId="5D7F0CCE" w14:textId="77777777" w:rsidR="00BE4564" w:rsidRPr="00BE4564" w:rsidRDefault="00BE4564">
            <w:pPr>
              <w:rPr>
                <w:rFonts w:ascii="Times New Roman" w:hAnsi="Times New Roman" w:cs="Times New Roman"/>
                <w:sz w:val="20"/>
                <w:szCs w:val="20"/>
                <w:lang w:val="en-GB"/>
              </w:rPr>
            </w:pPr>
          </w:p>
          <w:p w14:paraId="691F2925" w14:textId="77777777" w:rsidR="00BE4564" w:rsidRPr="00BE4564" w:rsidRDefault="00BE4564">
            <w:pPr>
              <w:rPr>
                <w:rFonts w:ascii="Times New Roman" w:hAnsi="Times New Roman" w:cs="Times New Roman"/>
                <w:sz w:val="20"/>
                <w:szCs w:val="20"/>
                <w:lang w:val="en-GB"/>
              </w:rPr>
            </w:pPr>
          </w:p>
          <w:p w14:paraId="309FDF63" w14:textId="712E5749" w:rsidR="00BE4564" w:rsidRPr="00BE4564" w:rsidRDefault="00BE4564" w:rsidP="00BE4564">
            <w:pPr>
              <w:rPr>
                <w:rFonts w:ascii="Times New Roman" w:hAnsi="Times New Roman" w:cs="Times New Roman"/>
                <w:sz w:val="20"/>
                <w:szCs w:val="20"/>
                <w:lang w:val="en-GB"/>
              </w:rPr>
            </w:pPr>
          </w:p>
        </w:tc>
        <w:tc>
          <w:tcPr>
            <w:tcW w:w="3634" w:type="dxa"/>
            <w:tcBorders>
              <w:top w:val="single" w:sz="18" w:space="0" w:color="auto"/>
            </w:tcBorders>
          </w:tcPr>
          <w:p w14:paraId="34B1426B" w14:textId="7BC21032" w:rsidR="00BE4564" w:rsidRPr="00BE4564" w:rsidRDefault="00BE4564">
            <w:pPr>
              <w:rPr>
                <w:rFonts w:ascii="Times New Roman" w:hAnsi="Times New Roman" w:cs="Times New Roman"/>
                <w:sz w:val="20"/>
                <w:szCs w:val="20"/>
                <w:lang w:val="en-GB"/>
              </w:rPr>
            </w:pPr>
            <w:r w:rsidRPr="008E7A33">
              <w:rPr>
                <w:rFonts w:ascii="Times New Roman" w:hAnsi="Times New Roman" w:cs="Times New Roman"/>
                <w:color w:val="000000" w:themeColor="text1"/>
                <w:sz w:val="20"/>
                <w:szCs w:val="20"/>
                <w:lang w:val="en-GB"/>
              </w:rPr>
              <w:t>Multi-directional flow of information, aiming to provide feedback on supplier performance and share insights on opportunities for improvement.</w:t>
            </w:r>
          </w:p>
          <w:p w14:paraId="3866CBCF" w14:textId="77777777" w:rsidR="00BE4564" w:rsidRPr="00BE4564" w:rsidRDefault="00BE4564">
            <w:pPr>
              <w:rPr>
                <w:rFonts w:ascii="Times New Roman" w:hAnsi="Times New Roman" w:cs="Times New Roman"/>
                <w:sz w:val="20"/>
                <w:szCs w:val="20"/>
                <w:lang w:val="en-GB"/>
              </w:rPr>
            </w:pPr>
          </w:p>
          <w:p w14:paraId="1CA74E96" w14:textId="77777777" w:rsidR="00BE4564" w:rsidRPr="00BE4564" w:rsidRDefault="00BE4564">
            <w:pPr>
              <w:rPr>
                <w:rFonts w:ascii="Times New Roman" w:hAnsi="Times New Roman" w:cs="Times New Roman"/>
                <w:sz w:val="20"/>
                <w:szCs w:val="20"/>
                <w:lang w:val="en-GB"/>
              </w:rPr>
            </w:pPr>
          </w:p>
          <w:p w14:paraId="0049A851" w14:textId="5827B4A7" w:rsidR="00BE4564" w:rsidRPr="00BE4564" w:rsidRDefault="00BE4564">
            <w:pPr>
              <w:rPr>
                <w:rFonts w:ascii="Times New Roman" w:hAnsi="Times New Roman" w:cs="Times New Roman"/>
                <w:sz w:val="20"/>
                <w:szCs w:val="20"/>
                <w:lang w:val="en-GB"/>
              </w:rPr>
            </w:pPr>
          </w:p>
        </w:tc>
        <w:tc>
          <w:tcPr>
            <w:tcW w:w="8789" w:type="dxa"/>
            <w:tcBorders>
              <w:top w:val="single" w:sz="18" w:space="0" w:color="auto"/>
            </w:tcBorders>
          </w:tcPr>
          <w:p w14:paraId="08C19118" w14:textId="77777777" w:rsidR="00BE4564" w:rsidRDefault="008E7A33">
            <w:pPr>
              <w:rPr>
                <w:rFonts w:ascii="Times New Roman" w:hAnsi="Times New Roman" w:cs="Times New Roman"/>
                <w:sz w:val="20"/>
                <w:szCs w:val="20"/>
              </w:rPr>
            </w:pPr>
            <w:r w:rsidRPr="008E7A33">
              <w:rPr>
                <w:rFonts w:ascii="Times New Roman" w:hAnsi="Times New Roman" w:cs="Times New Roman"/>
                <w:sz w:val="20"/>
                <w:szCs w:val="20"/>
                <w:lang w:val="en-GB"/>
              </w:rPr>
              <w:t>“</w:t>
            </w:r>
            <w:r w:rsidRPr="008E7A33">
              <w:rPr>
                <w:rFonts w:ascii="Times New Roman" w:hAnsi="Times New Roman" w:cs="Times New Roman"/>
                <w:sz w:val="20"/>
                <w:szCs w:val="20"/>
              </w:rPr>
              <w:t>Since 2012, Pirelli has provided training on issues of environmental and social responsibility and business ethics to its suppliers, identifying from year to year the reference participants based on an internal evaluation matrix which considers strategic issues, spending value, operations of suppliers in countries considered at risk. Based on the results displayed in the matrix the most exposed suppliers are selected for dedicated training on tailored topics. In line with what was stated in the 2019-2021 Roadmap on the implementation of the Policy on the sustainable management of natural rubber, in the last years Pirelli organized several training sessions dedicated to the issues covered by the Group Policy, including Climate Change related issues. Workshops were held in local languages and were attended by the natural rubber suppliers as well as various national authorities active in the sector.” (Pirelli, CDP questionnaire 2021)</w:t>
            </w:r>
          </w:p>
          <w:p w14:paraId="24CAEC9E" w14:textId="0AD487D2" w:rsidR="008E7A33" w:rsidRPr="008E7A33" w:rsidRDefault="008E7A33">
            <w:pPr>
              <w:rPr>
                <w:rFonts w:ascii="Times New Roman" w:hAnsi="Times New Roman" w:cs="Times New Roman"/>
                <w:sz w:val="20"/>
                <w:szCs w:val="20"/>
                <w:lang w:val="en-GB"/>
              </w:rPr>
            </w:pPr>
          </w:p>
        </w:tc>
      </w:tr>
      <w:tr w:rsidR="00BE4564" w:rsidRPr="00BE4564" w14:paraId="0C5AD8B8" w14:textId="77777777" w:rsidTr="00EE6924">
        <w:tc>
          <w:tcPr>
            <w:tcW w:w="1606" w:type="dxa"/>
            <w:vMerge/>
          </w:tcPr>
          <w:p w14:paraId="3F7B3968" w14:textId="77777777" w:rsidR="00BE4564" w:rsidRPr="00BE4564" w:rsidRDefault="00BE4564">
            <w:pPr>
              <w:rPr>
                <w:rFonts w:ascii="Times New Roman" w:hAnsi="Times New Roman" w:cs="Times New Roman"/>
                <w:sz w:val="20"/>
                <w:szCs w:val="20"/>
                <w:lang w:val="en-GB"/>
              </w:rPr>
            </w:pPr>
          </w:p>
        </w:tc>
        <w:tc>
          <w:tcPr>
            <w:tcW w:w="3634" w:type="dxa"/>
          </w:tcPr>
          <w:p w14:paraId="7AAC767E" w14:textId="6BC3F8AB" w:rsidR="00BE4564" w:rsidRPr="00BE4564" w:rsidRDefault="00BE4564">
            <w:pPr>
              <w:rPr>
                <w:rFonts w:ascii="Times New Roman" w:hAnsi="Times New Roman" w:cs="Times New Roman"/>
                <w:sz w:val="20"/>
                <w:szCs w:val="20"/>
                <w:lang w:val="en-GB"/>
              </w:rPr>
            </w:pPr>
            <w:r w:rsidRPr="00BE4564">
              <w:rPr>
                <w:rFonts w:ascii="Times New Roman" w:hAnsi="Times New Roman" w:cs="Times New Roman"/>
                <w:color w:val="000000" w:themeColor="text1"/>
                <w:sz w:val="20"/>
                <w:szCs w:val="20"/>
                <w:lang w:val="en-GB"/>
              </w:rPr>
              <w:t>Sharing of technical knowledge</w:t>
            </w:r>
          </w:p>
          <w:p w14:paraId="5C697162" w14:textId="77777777" w:rsidR="00BE4564" w:rsidRPr="00BE4564" w:rsidRDefault="00BE4564">
            <w:pPr>
              <w:rPr>
                <w:rFonts w:ascii="Times New Roman" w:hAnsi="Times New Roman" w:cs="Times New Roman"/>
                <w:sz w:val="20"/>
                <w:szCs w:val="20"/>
                <w:lang w:val="en-GB"/>
              </w:rPr>
            </w:pPr>
          </w:p>
          <w:p w14:paraId="75562631" w14:textId="357A9661" w:rsidR="00BE4564" w:rsidRPr="00BE4564" w:rsidRDefault="00BE4564">
            <w:pPr>
              <w:rPr>
                <w:rFonts w:ascii="Times New Roman" w:hAnsi="Times New Roman" w:cs="Times New Roman"/>
                <w:sz w:val="20"/>
                <w:szCs w:val="20"/>
                <w:lang w:val="en-GB"/>
              </w:rPr>
            </w:pPr>
          </w:p>
        </w:tc>
        <w:tc>
          <w:tcPr>
            <w:tcW w:w="8789" w:type="dxa"/>
          </w:tcPr>
          <w:p w14:paraId="4F87D5B5" w14:textId="77777777" w:rsidR="00BE4564" w:rsidRDefault="00BE4564">
            <w:pPr>
              <w:rPr>
                <w:rFonts w:ascii="Times New Roman" w:hAnsi="Times New Roman" w:cs="Times New Roman"/>
                <w:sz w:val="20"/>
                <w:szCs w:val="20"/>
              </w:rPr>
            </w:pPr>
            <w:r w:rsidRPr="00BE4564">
              <w:rPr>
                <w:rFonts w:ascii="Times New Roman" w:hAnsi="Times New Roman" w:cs="Times New Roman"/>
                <w:sz w:val="20"/>
                <w:szCs w:val="20"/>
              </w:rPr>
              <w:t>“The industry initiatives TfS and PSCI also organized virtual training courses and workshops for suppliers in India and China in 2020. Through the TfS Supplier Academy and the PSCI online resource library, the respective initiatives offer additional advanced training modules for our suppliers that are being expanded each year.” (Bayer, CDP questionnaire 2021)</w:t>
            </w:r>
          </w:p>
          <w:p w14:paraId="23CF5742" w14:textId="77777777" w:rsidR="00D45290" w:rsidRDefault="00D45290">
            <w:pPr>
              <w:rPr>
                <w:rFonts w:ascii="Times New Roman" w:hAnsi="Times New Roman" w:cs="Times New Roman"/>
                <w:sz w:val="20"/>
                <w:szCs w:val="20"/>
              </w:rPr>
            </w:pPr>
          </w:p>
          <w:p w14:paraId="67C3324D" w14:textId="6C3CC8AF" w:rsidR="00D45290" w:rsidRPr="00D45290" w:rsidRDefault="00D45290" w:rsidP="00D45290">
            <w:pPr>
              <w:pStyle w:val="p1"/>
              <w:rPr>
                <w:rFonts w:ascii="Times New Roman" w:eastAsiaTheme="minorHAnsi" w:hAnsi="Times New Roman"/>
                <w:color w:val="auto"/>
                <w:kern w:val="2"/>
                <w:sz w:val="20"/>
                <w:szCs w:val="20"/>
                <w:lang w:eastAsia="en-US"/>
                <w14:ligatures w14:val="standardContextual"/>
              </w:rPr>
            </w:pPr>
            <w:r w:rsidRPr="00D45290">
              <w:rPr>
                <w:rFonts w:ascii="Times New Roman" w:eastAsiaTheme="minorHAnsi" w:hAnsi="Times New Roman"/>
                <w:color w:val="auto"/>
                <w:kern w:val="2"/>
                <w:sz w:val="20"/>
                <w:szCs w:val="20"/>
                <w:lang w:eastAsia="en-US"/>
                <w14:ligatures w14:val="standardContextual"/>
              </w:rPr>
              <w:t>“We partner with and support local communities through a variety of social and environmental projects, including climate-related projects and working with farmers on regenerative agricultural practices. We have the unique opportunity to train farmers/smallholders on good and sustainable agriculture practices in order for them to adapt to fast-changing weather patterns and their impact on crop yield, drought and water</w:t>
            </w:r>
            <w:r w:rsidR="00F40B40">
              <w:rPr>
                <w:rFonts w:ascii="Times New Roman" w:eastAsiaTheme="minorHAnsi" w:hAnsi="Times New Roman"/>
                <w:color w:val="auto"/>
                <w:kern w:val="2"/>
                <w:sz w:val="20"/>
                <w:szCs w:val="20"/>
                <w:lang w:eastAsia="en-US"/>
                <w14:ligatures w14:val="standardContextual"/>
              </w:rPr>
              <w:t xml:space="preserve"> </w:t>
            </w:r>
            <w:r w:rsidRPr="00D45290">
              <w:rPr>
                <w:rFonts w:ascii="Times New Roman" w:eastAsiaTheme="minorHAnsi" w:hAnsi="Times New Roman"/>
                <w:color w:val="auto"/>
                <w:kern w:val="2"/>
                <w:sz w:val="20"/>
                <w:szCs w:val="20"/>
                <w:lang w:eastAsia="en-US"/>
                <w14:ligatures w14:val="standardContextual"/>
              </w:rPr>
              <w:t>management. It is beneficial to Givaudan to support farmers/smallholders and these are long-term agreements with mutual benefits, helping us to secure the supply chain for our iconic substances.” (Givaudan, Sustainability Report 2021)</w:t>
            </w:r>
          </w:p>
          <w:p w14:paraId="05042DBA" w14:textId="46122A2F" w:rsidR="00BE4564" w:rsidRPr="00BE4564" w:rsidRDefault="00BE4564">
            <w:pPr>
              <w:rPr>
                <w:rFonts w:ascii="Times New Roman" w:hAnsi="Times New Roman" w:cs="Times New Roman"/>
                <w:sz w:val="20"/>
                <w:szCs w:val="20"/>
                <w:lang w:val="en-GB"/>
              </w:rPr>
            </w:pPr>
          </w:p>
        </w:tc>
      </w:tr>
      <w:tr w:rsidR="00BE4564" w:rsidRPr="00BE4564" w14:paraId="6E576FF1" w14:textId="77777777" w:rsidTr="00EE6924">
        <w:tc>
          <w:tcPr>
            <w:tcW w:w="1606" w:type="dxa"/>
            <w:vMerge/>
          </w:tcPr>
          <w:p w14:paraId="5DA4E705" w14:textId="77777777" w:rsidR="00BE4564" w:rsidRPr="00BE4564" w:rsidRDefault="00BE4564">
            <w:pPr>
              <w:rPr>
                <w:rFonts w:ascii="Times New Roman" w:hAnsi="Times New Roman" w:cs="Times New Roman"/>
                <w:sz w:val="20"/>
                <w:szCs w:val="20"/>
                <w:lang w:val="en-GB"/>
              </w:rPr>
            </w:pPr>
          </w:p>
        </w:tc>
        <w:tc>
          <w:tcPr>
            <w:tcW w:w="3634" w:type="dxa"/>
          </w:tcPr>
          <w:p w14:paraId="3B7D9126" w14:textId="0C550A58" w:rsidR="00BE4564" w:rsidRPr="00BE4564" w:rsidRDefault="00BE4564" w:rsidP="00565C41">
            <w:pPr>
              <w:rPr>
                <w:rFonts w:ascii="Times New Roman" w:hAnsi="Times New Roman" w:cs="Times New Roman"/>
                <w:color w:val="000000" w:themeColor="text1"/>
                <w:sz w:val="20"/>
                <w:szCs w:val="20"/>
                <w:lang w:val="en-GB"/>
              </w:rPr>
            </w:pPr>
            <w:r w:rsidRPr="00BE4564">
              <w:rPr>
                <w:rFonts w:ascii="Times New Roman" w:hAnsi="Times New Roman" w:cs="Times New Roman"/>
                <w:color w:val="000000" w:themeColor="text1"/>
                <w:sz w:val="20"/>
                <w:szCs w:val="20"/>
                <w:lang w:val="en-GB"/>
              </w:rPr>
              <w:t>Focal company individual problem-solving actions</w:t>
            </w:r>
          </w:p>
          <w:p w14:paraId="1A3F9032" w14:textId="77777777" w:rsidR="00BE4564" w:rsidRPr="00BE4564" w:rsidRDefault="00BE4564">
            <w:pPr>
              <w:rPr>
                <w:rFonts w:ascii="Times New Roman" w:hAnsi="Times New Roman" w:cs="Times New Roman"/>
                <w:sz w:val="20"/>
                <w:szCs w:val="20"/>
                <w:lang w:val="en-GB"/>
              </w:rPr>
            </w:pPr>
          </w:p>
        </w:tc>
        <w:tc>
          <w:tcPr>
            <w:tcW w:w="8789" w:type="dxa"/>
          </w:tcPr>
          <w:p w14:paraId="7A399E64" w14:textId="77777777" w:rsidR="00BE4564" w:rsidRPr="00BE4564" w:rsidRDefault="00BE4564">
            <w:pPr>
              <w:rPr>
                <w:rFonts w:ascii="Times New Roman" w:hAnsi="Times New Roman" w:cs="Times New Roman"/>
                <w:sz w:val="20"/>
                <w:szCs w:val="20"/>
              </w:rPr>
            </w:pPr>
            <w:r w:rsidRPr="00BE4564">
              <w:rPr>
                <w:rFonts w:ascii="Times New Roman" w:hAnsi="Times New Roman" w:cs="Times New Roman"/>
                <w:sz w:val="20"/>
                <w:szCs w:val="20"/>
                <w:lang w:val="en-GB"/>
              </w:rPr>
              <w:t>“</w:t>
            </w:r>
            <w:r w:rsidRPr="00BE4564">
              <w:rPr>
                <w:rFonts w:ascii="Times New Roman" w:hAnsi="Times New Roman" w:cs="Times New Roman"/>
                <w:sz w:val="20"/>
                <w:szCs w:val="20"/>
              </w:rPr>
              <w:t>We have a dedicated climate collaboration programme for raw materials where we encourage and support suppliers in the implementation of renewable energy and energy efficiency measures through best practise sharing and energy screenings/site visits. We encourage our suppliers to commit to set targets for energy efficiency and renewable energy. In return, Novo Nordisk conducts energy screenings resulting in a report with energy saving opportunities and we share implementation practices from energy management including tools and templates and CO2 calculation methods.” (Novo Nordisk, CDP questionnaire 2018)</w:t>
            </w:r>
          </w:p>
          <w:p w14:paraId="7626984B" w14:textId="77777777" w:rsidR="00BE4564" w:rsidRDefault="00BE4564">
            <w:pPr>
              <w:rPr>
                <w:rFonts w:ascii="Times New Roman" w:hAnsi="Times New Roman" w:cs="Times New Roman"/>
                <w:sz w:val="20"/>
                <w:szCs w:val="20"/>
              </w:rPr>
            </w:pPr>
            <w:r w:rsidRPr="00BE4564">
              <w:rPr>
                <w:rFonts w:ascii="Times New Roman" w:hAnsi="Times New Roman" w:cs="Times New Roman"/>
                <w:sz w:val="20"/>
                <w:szCs w:val="20"/>
                <w:lang w:val="en-GB"/>
              </w:rPr>
              <w:t>“</w:t>
            </w:r>
            <w:r w:rsidRPr="00BE4564">
              <w:rPr>
                <w:rFonts w:ascii="Times New Roman" w:hAnsi="Times New Roman" w:cs="Times New Roman"/>
                <w:sz w:val="20"/>
                <w:szCs w:val="20"/>
              </w:rPr>
              <w:t>Danone is working directly with farmers in its supply chain to co-create action plans that will help them lower their carbon footprint and strengthen water retention and biodiversity in soils. The company is actively leading pilot projects on regenerative agriculture via its social innovation funds. The Danone Ecosystem Fund supports the transformation of agricultural practices in the company’s supply chain through 45 projects across the world.” (Danone, CDP questionnaire 2021)</w:t>
            </w:r>
          </w:p>
          <w:p w14:paraId="138B9ECA" w14:textId="323A88D7" w:rsidR="008E7A33" w:rsidRPr="00BE4564" w:rsidRDefault="008E7A33">
            <w:pPr>
              <w:rPr>
                <w:rFonts w:ascii="Times New Roman" w:hAnsi="Times New Roman" w:cs="Times New Roman"/>
                <w:sz w:val="20"/>
                <w:szCs w:val="20"/>
                <w:lang w:val="en-GB"/>
              </w:rPr>
            </w:pPr>
          </w:p>
        </w:tc>
      </w:tr>
      <w:tr w:rsidR="003512D4" w:rsidRPr="00BE4564" w14:paraId="32465B71" w14:textId="77777777" w:rsidTr="00EE6924">
        <w:tc>
          <w:tcPr>
            <w:tcW w:w="1606" w:type="dxa"/>
            <w:vMerge w:val="restart"/>
            <w:tcBorders>
              <w:top w:val="single" w:sz="18" w:space="0" w:color="auto"/>
            </w:tcBorders>
          </w:tcPr>
          <w:p w14:paraId="2EFE9963" w14:textId="77777777" w:rsidR="003512D4" w:rsidRPr="00BE4564" w:rsidRDefault="003512D4">
            <w:pPr>
              <w:rPr>
                <w:rFonts w:ascii="Times New Roman" w:hAnsi="Times New Roman" w:cs="Times New Roman"/>
                <w:b/>
                <w:bCs/>
                <w:sz w:val="20"/>
                <w:szCs w:val="20"/>
                <w:lang w:val="en-GB"/>
              </w:rPr>
            </w:pPr>
            <w:r w:rsidRPr="00BE4564">
              <w:rPr>
                <w:rFonts w:ascii="Times New Roman" w:hAnsi="Times New Roman" w:cs="Times New Roman"/>
                <w:b/>
                <w:bCs/>
                <w:sz w:val="20"/>
                <w:szCs w:val="20"/>
                <w:lang w:val="en-GB"/>
              </w:rPr>
              <w:t>Co-creation</w:t>
            </w:r>
          </w:p>
          <w:p w14:paraId="67A12F99" w14:textId="4EE0249B" w:rsidR="003512D4" w:rsidRPr="00BE4564" w:rsidRDefault="003512D4" w:rsidP="008E27A1">
            <w:pPr>
              <w:rPr>
                <w:rFonts w:ascii="Times New Roman" w:hAnsi="Times New Roman" w:cs="Times New Roman"/>
                <w:sz w:val="20"/>
                <w:szCs w:val="20"/>
                <w:lang w:val="en-GB"/>
              </w:rPr>
            </w:pPr>
          </w:p>
        </w:tc>
        <w:tc>
          <w:tcPr>
            <w:tcW w:w="3634" w:type="dxa"/>
            <w:tcBorders>
              <w:top w:val="single" w:sz="18" w:space="0" w:color="auto"/>
            </w:tcBorders>
          </w:tcPr>
          <w:p w14:paraId="2A98FAB4" w14:textId="44D2BBAA" w:rsidR="003512D4" w:rsidRPr="00BE4564" w:rsidRDefault="003512D4">
            <w:pPr>
              <w:rPr>
                <w:rFonts w:ascii="Times New Roman" w:hAnsi="Times New Roman" w:cs="Times New Roman"/>
                <w:sz w:val="20"/>
                <w:szCs w:val="20"/>
                <w:lang w:val="en-GB"/>
              </w:rPr>
            </w:pPr>
            <w:r w:rsidRPr="00BE4564">
              <w:rPr>
                <w:rFonts w:ascii="Times New Roman" w:hAnsi="Times New Roman" w:cs="Times New Roman"/>
                <w:sz w:val="20"/>
                <w:szCs w:val="20"/>
                <w:lang w:val="en-GB"/>
              </w:rPr>
              <w:t>Developing experimental projects together.</w:t>
            </w:r>
          </w:p>
          <w:p w14:paraId="4796BC3F" w14:textId="77777777" w:rsidR="003512D4" w:rsidRPr="00BE4564" w:rsidRDefault="003512D4">
            <w:pPr>
              <w:rPr>
                <w:rFonts w:ascii="Times New Roman" w:hAnsi="Times New Roman" w:cs="Times New Roman"/>
                <w:sz w:val="20"/>
                <w:szCs w:val="20"/>
                <w:lang w:val="en-GB"/>
              </w:rPr>
            </w:pPr>
          </w:p>
          <w:p w14:paraId="2DABDEB2" w14:textId="1D51EB35" w:rsidR="003512D4" w:rsidRPr="00BE4564" w:rsidRDefault="003512D4">
            <w:pPr>
              <w:rPr>
                <w:rFonts w:ascii="Times New Roman" w:hAnsi="Times New Roman" w:cs="Times New Roman"/>
                <w:sz w:val="20"/>
                <w:szCs w:val="20"/>
                <w:lang w:val="en-GB"/>
              </w:rPr>
            </w:pPr>
          </w:p>
        </w:tc>
        <w:tc>
          <w:tcPr>
            <w:tcW w:w="8789" w:type="dxa"/>
            <w:tcBorders>
              <w:top w:val="single" w:sz="18" w:space="0" w:color="auto"/>
            </w:tcBorders>
          </w:tcPr>
          <w:p w14:paraId="07CD959B" w14:textId="77777777" w:rsidR="003512D4" w:rsidRDefault="003512D4">
            <w:pPr>
              <w:rPr>
                <w:rFonts w:ascii="Times New Roman" w:hAnsi="Times New Roman" w:cs="Times New Roman"/>
                <w:sz w:val="20"/>
                <w:szCs w:val="20"/>
              </w:rPr>
            </w:pPr>
            <w:r w:rsidRPr="00BE4564">
              <w:rPr>
                <w:rFonts w:ascii="Times New Roman" w:hAnsi="Times New Roman" w:cs="Times New Roman"/>
                <w:sz w:val="20"/>
                <w:szCs w:val="20"/>
              </w:rPr>
              <w:lastRenderedPageBreak/>
              <w:t xml:space="preserve">“To be able to produce chemical products required for decarbonisation technologies, we perform several joint R&amp;D Projects with our customers, e.g. in the automotive and in the battery industry. This approach </w:t>
            </w:r>
            <w:r w:rsidRPr="00BE4564">
              <w:rPr>
                <w:rFonts w:ascii="Times New Roman" w:hAnsi="Times New Roman" w:cs="Times New Roman"/>
                <w:sz w:val="20"/>
                <w:szCs w:val="20"/>
              </w:rPr>
              <w:lastRenderedPageBreak/>
              <w:t>ensures, that we are able to adapt our products to their requirements.” (LANXESS, CDP questionnaire 2021)</w:t>
            </w:r>
          </w:p>
          <w:p w14:paraId="358B0B89" w14:textId="78F04B79" w:rsidR="00D45290" w:rsidRPr="00D45290" w:rsidRDefault="00D45290">
            <w:pPr>
              <w:rPr>
                <w:rFonts w:ascii="Times New Roman" w:hAnsi="Times New Roman" w:cs="Times New Roman"/>
                <w:sz w:val="20"/>
                <w:szCs w:val="20"/>
              </w:rPr>
            </w:pPr>
          </w:p>
        </w:tc>
      </w:tr>
      <w:tr w:rsidR="003512D4" w:rsidRPr="00BE4564" w14:paraId="0CB9F48A" w14:textId="77777777" w:rsidTr="00EE6924">
        <w:tc>
          <w:tcPr>
            <w:tcW w:w="1606" w:type="dxa"/>
            <w:vMerge/>
          </w:tcPr>
          <w:p w14:paraId="2499DBFB" w14:textId="77777777" w:rsidR="003512D4" w:rsidRPr="00BE4564" w:rsidRDefault="003512D4">
            <w:pPr>
              <w:rPr>
                <w:rFonts w:ascii="Times New Roman" w:hAnsi="Times New Roman" w:cs="Times New Roman"/>
                <w:sz w:val="20"/>
                <w:szCs w:val="20"/>
                <w:lang w:val="en-GB"/>
              </w:rPr>
            </w:pPr>
          </w:p>
        </w:tc>
        <w:tc>
          <w:tcPr>
            <w:tcW w:w="3634" w:type="dxa"/>
          </w:tcPr>
          <w:p w14:paraId="3D98E31B" w14:textId="4C97C5BA" w:rsidR="003512D4" w:rsidRPr="00BE4564" w:rsidRDefault="003512D4">
            <w:pPr>
              <w:rPr>
                <w:rFonts w:ascii="Times New Roman" w:hAnsi="Times New Roman" w:cs="Times New Roman"/>
                <w:sz w:val="20"/>
                <w:szCs w:val="20"/>
                <w:lang w:val="en-GB"/>
              </w:rPr>
            </w:pPr>
            <w:r w:rsidRPr="00BE4564">
              <w:rPr>
                <w:rFonts w:ascii="Times New Roman" w:hAnsi="Times New Roman" w:cs="Times New Roman"/>
                <w:color w:val="000000" w:themeColor="text1"/>
                <w:sz w:val="20"/>
                <w:szCs w:val="20"/>
                <w:lang w:val="en-GB"/>
              </w:rPr>
              <w:t>Collective action in problem solving</w:t>
            </w:r>
          </w:p>
        </w:tc>
        <w:tc>
          <w:tcPr>
            <w:tcW w:w="8789" w:type="dxa"/>
          </w:tcPr>
          <w:p w14:paraId="292E664F" w14:textId="77777777" w:rsidR="003512D4" w:rsidRDefault="003512D4">
            <w:pPr>
              <w:rPr>
                <w:rFonts w:ascii="Times New Roman" w:hAnsi="Times New Roman" w:cs="Times New Roman"/>
                <w:sz w:val="20"/>
                <w:szCs w:val="20"/>
              </w:rPr>
            </w:pPr>
            <w:r w:rsidRPr="00BE4564">
              <w:rPr>
                <w:rFonts w:ascii="Times New Roman" w:hAnsi="Times New Roman" w:cs="Times New Roman"/>
                <w:sz w:val="20"/>
                <w:szCs w:val="20"/>
                <w:lang w:val="en-GB"/>
              </w:rPr>
              <w:t>“</w:t>
            </w:r>
            <w:r w:rsidRPr="00BE4564">
              <w:rPr>
                <w:rFonts w:ascii="Times New Roman" w:hAnsi="Times New Roman" w:cs="Times New Roman"/>
                <w:sz w:val="20"/>
                <w:szCs w:val="20"/>
              </w:rPr>
              <w:t>For example, in our US cement operation, we established a country partnership with our transportation suppliers to optimize the network of our outbound logistics. Actions included building water-ways and rail terminals and balancing volumes between different transportation modes (e.g: road, waterways, rail). As a result of this engagement, in 2020 we managed to save 6 billion tons of CO2 and 19 billion gallons of fuel by shipping rail and marine vs truck.” (Holcim, CDP questionnaire 2021)</w:t>
            </w:r>
          </w:p>
          <w:p w14:paraId="1CCAE967" w14:textId="77777777" w:rsidR="00D45290" w:rsidRDefault="00D45290">
            <w:pPr>
              <w:rPr>
                <w:rFonts w:ascii="Times New Roman" w:hAnsi="Times New Roman" w:cs="Times New Roman"/>
                <w:sz w:val="20"/>
                <w:szCs w:val="20"/>
              </w:rPr>
            </w:pPr>
          </w:p>
          <w:p w14:paraId="6410F39C" w14:textId="17DA57E7" w:rsidR="00D45290" w:rsidRPr="00D45290" w:rsidRDefault="00D45290" w:rsidP="00D45290">
            <w:pPr>
              <w:pStyle w:val="p1"/>
              <w:rPr>
                <w:rFonts w:ascii="Times New Roman" w:eastAsiaTheme="minorHAnsi" w:hAnsi="Times New Roman"/>
                <w:color w:val="auto"/>
                <w:kern w:val="2"/>
                <w:sz w:val="20"/>
                <w:szCs w:val="20"/>
                <w:lang w:eastAsia="en-US"/>
                <w14:ligatures w14:val="standardContextual"/>
              </w:rPr>
            </w:pPr>
            <w:r w:rsidRPr="00D45290">
              <w:rPr>
                <w:rFonts w:ascii="Times New Roman" w:eastAsiaTheme="minorHAnsi" w:hAnsi="Times New Roman"/>
                <w:color w:val="auto"/>
                <w:kern w:val="2"/>
                <w:sz w:val="20"/>
                <w:szCs w:val="20"/>
                <w:lang w:eastAsia="en-US"/>
                <w14:ligatures w14:val="standardContextual"/>
              </w:rPr>
              <w:t>“This year we went further and already engaged in collaborations regarding potential reductions with our most advanced suppliers. The key topics are biosourced raw materials, renewable energy in the supply chain and the valorisation of by-products (upcycling). These collaborations take time to implement, and we will continue to collaborate with our suppliers on these topics in the years to come.” (Givaudan, Sustainability Report 2021)</w:t>
            </w:r>
          </w:p>
          <w:p w14:paraId="2D4D621E" w14:textId="07946A6D" w:rsidR="003512D4" w:rsidRPr="00BE4564" w:rsidRDefault="003512D4">
            <w:pPr>
              <w:rPr>
                <w:rFonts w:ascii="Times New Roman" w:hAnsi="Times New Roman" w:cs="Times New Roman"/>
                <w:sz w:val="20"/>
                <w:szCs w:val="20"/>
                <w:lang w:val="en-GB"/>
              </w:rPr>
            </w:pPr>
          </w:p>
        </w:tc>
      </w:tr>
      <w:tr w:rsidR="003512D4" w:rsidRPr="00BE4564" w14:paraId="1BC1A2AB" w14:textId="77777777" w:rsidTr="00EE6924">
        <w:tc>
          <w:tcPr>
            <w:tcW w:w="1606" w:type="dxa"/>
            <w:vMerge/>
          </w:tcPr>
          <w:p w14:paraId="64027D45" w14:textId="77777777" w:rsidR="003512D4" w:rsidRPr="00BE4564" w:rsidRDefault="003512D4">
            <w:pPr>
              <w:rPr>
                <w:rFonts w:ascii="Times New Roman" w:hAnsi="Times New Roman" w:cs="Times New Roman"/>
                <w:sz w:val="20"/>
                <w:szCs w:val="20"/>
                <w:lang w:val="en-GB"/>
              </w:rPr>
            </w:pPr>
          </w:p>
        </w:tc>
        <w:tc>
          <w:tcPr>
            <w:tcW w:w="3634" w:type="dxa"/>
          </w:tcPr>
          <w:p w14:paraId="36C7264A" w14:textId="582E3D26" w:rsidR="003512D4" w:rsidRPr="00BE4564" w:rsidRDefault="003512D4" w:rsidP="00AF467B">
            <w:pPr>
              <w:rPr>
                <w:rFonts w:ascii="Times New Roman" w:hAnsi="Times New Roman" w:cs="Times New Roman"/>
                <w:color w:val="000000" w:themeColor="text1"/>
                <w:sz w:val="20"/>
                <w:szCs w:val="20"/>
                <w:lang w:val="en-GB"/>
              </w:rPr>
            </w:pPr>
            <w:r w:rsidRPr="00BE4564">
              <w:rPr>
                <w:rFonts w:ascii="Times New Roman" w:hAnsi="Times New Roman" w:cs="Times New Roman"/>
                <w:color w:val="000000" w:themeColor="text1"/>
                <w:sz w:val="20"/>
                <w:szCs w:val="20"/>
                <w:lang w:val="en-GB"/>
              </w:rPr>
              <w:t>Sharing both tangible and intangible resources to create product or process innovation with others</w:t>
            </w:r>
          </w:p>
          <w:p w14:paraId="4E8CAB4A" w14:textId="6C55E88C" w:rsidR="003512D4" w:rsidRPr="00BE4564" w:rsidRDefault="003512D4">
            <w:pPr>
              <w:rPr>
                <w:rFonts w:ascii="Times New Roman" w:hAnsi="Times New Roman" w:cs="Times New Roman"/>
                <w:color w:val="000000" w:themeColor="text1"/>
                <w:sz w:val="20"/>
                <w:szCs w:val="20"/>
                <w:lang w:val="en-GB"/>
              </w:rPr>
            </w:pPr>
          </w:p>
        </w:tc>
        <w:tc>
          <w:tcPr>
            <w:tcW w:w="8789" w:type="dxa"/>
          </w:tcPr>
          <w:p w14:paraId="49667A50" w14:textId="77777777" w:rsidR="003512D4" w:rsidRDefault="003512D4">
            <w:pPr>
              <w:rPr>
                <w:rFonts w:ascii="Times New Roman" w:hAnsi="Times New Roman" w:cs="Times New Roman"/>
                <w:sz w:val="20"/>
                <w:szCs w:val="20"/>
              </w:rPr>
            </w:pPr>
            <w:r w:rsidRPr="00BE4564">
              <w:rPr>
                <w:rFonts w:ascii="Times New Roman" w:hAnsi="Times New Roman" w:cs="Times New Roman"/>
                <w:sz w:val="20"/>
                <w:szCs w:val="20"/>
              </w:rPr>
              <w:t>“we have established an integrated supply chain management initiative together with our customers. It comprises the entire value creation chain from raw materials procurement to end products for all our customers and was developed for the efficient harmonization of ordering processes between Symrise and its customers. This so-called Symchronize™ system is a trademarked electronic data processing (EDP) system based on SAP software. It addresses order frequencies, optimized batch sizes, full pallets and trucks as key criteria to reduce transport and distribution efforts and expenditures. We offer the usage of the Symchronize™ system to all of our customers and suppliers. Thus, we aim to reduce down- and upstream transport emissions as much as possible.” (Symrise, CDP questionnaire 2021)</w:t>
            </w:r>
          </w:p>
          <w:p w14:paraId="05940CF4" w14:textId="2C0B30C2" w:rsidR="003512D4" w:rsidRPr="00BE4564" w:rsidRDefault="003512D4">
            <w:pPr>
              <w:rPr>
                <w:rFonts w:ascii="Times New Roman" w:hAnsi="Times New Roman" w:cs="Times New Roman"/>
                <w:sz w:val="20"/>
                <w:szCs w:val="20"/>
                <w:lang w:val="en-GB"/>
              </w:rPr>
            </w:pPr>
          </w:p>
        </w:tc>
      </w:tr>
      <w:tr w:rsidR="003512D4" w:rsidRPr="00BE4564" w14:paraId="02032348" w14:textId="77777777" w:rsidTr="00EE6924">
        <w:tc>
          <w:tcPr>
            <w:tcW w:w="1606" w:type="dxa"/>
            <w:vMerge/>
          </w:tcPr>
          <w:p w14:paraId="6A5B21E3" w14:textId="77777777" w:rsidR="003512D4" w:rsidRPr="00BE4564" w:rsidRDefault="003512D4">
            <w:pPr>
              <w:rPr>
                <w:rFonts w:ascii="Times New Roman" w:hAnsi="Times New Roman" w:cs="Times New Roman"/>
                <w:sz w:val="20"/>
                <w:szCs w:val="20"/>
                <w:lang w:val="en-GB"/>
              </w:rPr>
            </w:pPr>
          </w:p>
        </w:tc>
        <w:tc>
          <w:tcPr>
            <w:tcW w:w="3634" w:type="dxa"/>
          </w:tcPr>
          <w:p w14:paraId="453002F1" w14:textId="005022C1" w:rsidR="003512D4" w:rsidRPr="00BE4564" w:rsidRDefault="003512D4" w:rsidP="00AF467B">
            <w:pPr>
              <w:rPr>
                <w:rFonts w:ascii="Times New Roman" w:hAnsi="Times New Roman" w:cs="Times New Roman"/>
                <w:color w:val="000000" w:themeColor="text1"/>
                <w:sz w:val="20"/>
                <w:szCs w:val="20"/>
                <w:lang w:val="en-GB"/>
              </w:rPr>
            </w:pPr>
            <w:r w:rsidRPr="008E7A33">
              <w:rPr>
                <w:rFonts w:ascii="Times New Roman" w:hAnsi="Times New Roman" w:cs="Times New Roman"/>
                <w:color w:val="000000" w:themeColor="text1"/>
                <w:sz w:val="20"/>
                <w:szCs w:val="20"/>
                <w:lang w:val="en-GB"/>
              </w:rPr>
              <w:t>Shared values</w:t>
            </w:r>
          </w:p>
        </w:tc>
        <w:tc>
          <w:tcPr>
            <w:tcW w:w="8789" w:type="dxa"/>
          </w:tcPr>
          <w:p w14:paraId="5DEDAC98" w14:textId="0EED9C22" w:rsidR="003512D4" w:rsidRPr="008E7A33" w:rsidRDefault="003512D4">
            <w:pPr>
              <w:rPr>
                <w:rFonts w:ascii="Times New Roman" w:hAnsi="Times New Roman" w:cs="Times New Roman"/>
                <w:sz w:val="20"/>
                <w:szCs w:val="20"/>
              </w:rPr>
            </w:pPr>
            <w:r w:rsidRPr="008E7A33">
              <w:rPr>
                <w:rFonts w:ascii="Times New Roman" w:hAnsi="Times New Roman" w:cs="Times New Roman"/>
                <w:sz w:val="20"/>
                <w:szCs w:val="20"/>
              </w:rPr>
              <w:t>“Additionally, an increasing number of hospitals around the world are running green sustainability programs while recognizing that public health and a healthy planet go hand-inhand. In doing so they are acknowledging that cutting back on waste and driving for responsible use of scarce resources can help achieve significant cost savings. Philips is supporting hospitals with a green healthcare program, where we engage with hospitals to continuously reduce its environmental impact.” (Philips, CDP questionnaire 2018)</w:t>
            </w:r>
          </w:p>
        </w:tc>
      </w:tr>
    </w:tbl>
    <w:p w14:paraId="09432895" w14:textId="77777777" w:rsidR="008E27A1" w:rsidRPr="00BE4564" w:rsidRDefault="008E27A1">
      <w:pPr>
        <w:rPr>
          <w:rFonts w:ascii="Times New Roman" w:hAnsi="Times New Roman" w:cs="Times New Roman"/>
          <w:lang w:val="en-GB"/>
        </w:rPr>
      </w:pPr>
    </w:p>
    <w:p w14:paraId="1A178BD9" w14:textId="77777777" w:rsidR="009D0BF3" w:rsidRPr="00BE4564" w:rsidRDefault="009D0BF3">
      <w:pPr>
        <w:rPr>
          <w:rFonts w:ascii="Times New Roman" w:hAnsi="Times New Roman" w:cs="Times New Roman"/>
          <w:lang w:val="en-GB"/>
        </w:rPr>
      </w:pPr>
    </w:p>
    <w:p w14:paraId="403C3821" w14:textId="77777777" w:rsidR="003512D4" w:rsidRPr="00BE4564" w:rsidRDefault="003512D4">
      <w:pPr>
        <w:rPr>
          <w:rFonts w:ascii="Times New Roman" w:hAnsi="Times New Roman" w:cs="Times New Roman"/>
          <w:lang w:val="en-GB"/>
        </w:rPr>
      </w:pPr>
    </w:p>
    <w:p w14:paraId="07B424D4" w14:textId="77777777" w:rsidR="007D5FC1" w:rsidRDefault="007D5FC1">
      <w:pPr>
        <w:rPr>
          <w:rFonts w:ascii="Times New Roman" w:hAnsi="Times New Roman" w:cs="Times New Roman"/>
          <w:lang w:val="en-GB"/>
        </w:rPr>
      </w:pPr>
    </w:p>
    <w:p w14:paraId="7DCA9088" w14:textId="77777777" w:rsidR="007D5FC1" w:rsidRDefault="007D5FC1">
      <w:pPr>
        <w:rPr>
          <w:rFonts w:ascii="Times New Roman" w:hAnsi="Times New Roman" w:cs="Times New Roman"/>
          <w:lang w:val="en-GB"/>
        </w:rPr>
      </w:pPr>
    </w:p>
    <w:p w14:paraId="2CD44A86" w14:textId="77777777" w:rsidR="007D5FC1" w:rsidRDefault="007D5FC1">
      <w:pPr>
        <w:rPr>
          <w:rFonts w:ascii="Times New Roman" w:hAnsi="Times New Roman" w:cs="Times New Roman"/>
          <w:lang w:val="en-GB"/>
        </w:rPr>
      </w:pPr>
    </w:p>
    <w:p w14:paraId="5283CFA5" w14:textId="21FD93C8" w:rsidR="009D0BF3" w:rsidRDefault="003512D4">
      <w:pPr>
        <w:rPr>
          <w:rFonts w:ascii="Times New Roman" w:hAnsi="Times New Roman" w:cs="Times New Roman"/>
          <w:lang w:val="en-GB"/>
        </w:rPr>
      </w:pPr>
      <w:r w:rsidRPr="003512D4">
        <w:rPr>
          <w:rFonts w:ascii="Times New Roman" w:hAnsi="Times New Roman" w:cs="Times New Roman"/>
          <w:lang w:val="en-GB"/>
        </w:rPr>
        <w:lastRenderedPageBreak/>
        <w:t xml:space="preserve">Table </w:t>
      </w:r>
      <w:r w:rsidR="00F06A92">
        <w:rPr>
          <w:rFonts w:ascii="Times New Roman" w:hAnsi="Times New Roman" w:cs="Times New Roman"/>
          <w:lang w:val="en-GB"/>
        </w:rPr>
        <w:t>VI</w:t>
      </w:r>
      <w:r w:rsidRPr="003512D4">
        <w:rPr>
          <w:rFonts w:ascii="Times New Roman" w:hAnsi="Times New Roman" w:cs="Times New Roman"/>
          <w:lang w:val="en-GB"/>
        </w:rPr>
        <w:t xml:space="preserve">. </w:t>
      </w:r>
      <w:r w:rsidR="009D0BF3" w:rsidRPr="003512D4">
        <w:rPr>
          <w:rFonts w:ascii="Times New Roman" w:hAnsi="Times New Roman" w:cs="Times New Roman"/>
          <w:lang w:val="en-GB"/>
        </w:rPr>
        <w:t xml:space="preserve">Clusters of </w:t>
      </w:r>
      <w:r w:rsidRPr="003512D4">
        <w:rPr>
          <w:rFonts w:ascii="Times New Roman" w:hAnsi="Times New Roman" w:cs="Times New Roman"/>
          <w:lang w:val="en-GB"/>
        </w:rPr>
        <w:t>companies’ characteristics</w:t>
      </w:r>
      <w:r w:rsidR="007D5FC1">
        <w:rPr>
          <w:rFonts w:ascii="Times New Roman" w:hAnsi="Times New Roman" w:cs="Times New Roman"/>
          <w:lang w:val="en-GB"/>
        </w:rPr>
        <w:t xml:space="preserve"> (Section 4.3)</w:t>
      </w:r>
      <w:r w:rsidRPr="003512D4">
        <w:rPr>
          <w:rFonts w:ascii="Times New Roman" w:hAnsi="Times New Roman" w:cs="Times New Roman"/>
          <w:lang w:val="en-GB"/>
        </w:rPr>
        <w:t xml:space="preserve">. </w:t>
      </w:r>
    </w:p>
    <w:p w14:paraId="03D1DE65" w14:textId="6A62E814" w:rsidR="001D1AF6" w:rsidRPr="003512D4" w:rsidRDefault="001D1AF6">
      <w:pPr>
        <w:rPr>
          <w:rFonts w:ascii="Times New Roman" w:hAnsi="Times New Roman" w:cs="Times New Roman"/>
          <w:lang w:val="en-GB"/>
        </w:rPr>
      </w:pPr>
      <w:r>
        <w:rPr>
          <w:rFonts w:ascii="Times New Roman" w:hAnsi="Times New Roman" w:cs="Times New Roman"/>
          <w:lang w:val="en-GB"/>
        </w:rPr>
        <w:t xml:space="preserve">Source: Authors own </w:t>
      </w:r>
      <w:r>
        <w:rPr>
          <w:rFonts w:ascii="Times New Roman" w:hAnsi="Times New Roman" w:cs="Times New Roman"/>
          <w:lang w:val="en-GB"/>
        </w:rPr>
        <w:t>creation</w:t>
      </w:r>
      <w:r>
        <w:rPr>
          <w:rFonts w:ascii="Times New Roman" w:hAnsi="Times New Roman" w:cs="Times New Roman"/>
          <w:lang w:val="en-GB"/>
        </w:rPr>
        <w:t>.</w:t>
      </w:r>
    </w:p>
    <w:p w14:paraId="5034D78A" w14:textId="77777777" w:rsidR="009D0BF3" w:rsidRPr="00BE4564" w:rsidRDefault="009D0BF3">
      <w:pPr>
        <w:rPr>
          <w:rFonts w:ascii="Times New Roman" w:hAnsi="Times New Roman" w:cs="Times New Roman"/>
          <w:lang w:val="en-GB"/>
        </w:rPr>
      </w:pPr>
    </w:p>
    <w:tbl>
      <w:tblPr>
        <w:tblStyle w:val="TableGrid"/>
        <w:tblW w:w="0" w:type="auto"/>
        <w:tblLook w:val="04A0" w:firstRow="1" w:lastRow="0" w:firstColumn="1" w:lastColumn="0" w:noHBand="0" w:noVBand="1"/>
      </w:tblPr>
      <w:tblGrid>
        <w:gridCol w:w="1696"/>
        <w:gridCol w:w="3402"/>
        <w:gridCol w:w="8850"/>
      </w:tblGrid>
      <w:tr w:rsidR="009D0BF3" w:rsidRPr="009778D0" w14:paraId="3CA3A783" w14:textId="77777777" w:rsidTr="00EE6924">
        <w:tc>
          <w:tcPr>
            <w:tcW w:w="1696" w:type="dxa"/>
          </w:tcPr>
          <w:p w14:paraId="5591B774" w14:textId="03FE6A97" w:rsidR="009D0BF3" w:rsidRPr="009778D0" w:rsidRDefault="009D0BF3" w:rsidP="00F137D1">
            <w:pPr>
              <w:rPr>
                <w:rFonts w:ascii="Times New Roman" w:hAnsi="Times New Roman" w:cs="Times New Roman"/>
                <w:b/>
                <w:bCs/>
                <w:sz w:val="20"/>
                <w:szCs w:val="20"/>
                <w:lang w:val="en-GB"/>
              </w:rPr>
            </w:pPr>
            <w:r w:rsidRPr="009778D0">
              <w:rPr>
                <w:rFonts w:ascii="Times New Roman" w:hAnsi="Times New Roman" w:cs="Times New Roman"/>
                <w:b/>
                <w:bCs/>
                <w:sz w:val="20"/>
                <w:szCs w:val="20"/>
                <w:lang w:val="en-GB"/>
              </w:rPr>
              <w:t>Cluster</w:t>
            </w:r>
          </w:p>
        </w:tc>
        <w:tc>
          <w:tcPr>
            <w:tcW w:w="3402" w:type="dxa"/>
          </w:tcPr>
          <w:p w14:paraId="5237BC13" w14:textId="1FA64409" w:rsidR="009D0BF3" w:rsidRPr="009778D0" w:rsidRDefault="009D0BF3" w:rsidP="00F137D1">
            <w:pPr>
              <w:rPr>
                <w:rFonts w:ascii="Times New Roman" w:hAnsi="Times New Roman" w:cs="Times New Roman"/>
                <w:b/>
                <w:bCs/>
                <w:sz w:val="20"/>
                <w:szCs w:val="20"/>
                <w:lang w:val="en-GB"/>
              </w:rPr>
            </w:pPr>
            <w:r w:rsidRPr="009778D0">
              <w:rPr>
                <w:rFonts w:ascii="Times New Roman" w:hAnsi="Times New Roman" w:cs="Times New Roman"/>
                <w:b/>
                <w:bCs/>
                <w:sz w:val="20"/>
                <w:szCs w:val="20"/>
                <w:lang w:val="en-GB"/>
              </w:rPr>
              <w:t>Characteristics</w:t>
            </w:r>
            <w:r w:rsidR="00EE6924">
              <w:rPr>
                <w:rFonts w:ascii="Times New Roman" w:hAnsi="Times New Roman" w:cs="Times New Roman"/>
                <w:b/>
                <w:bCs/>
                <w:sz w:val="20"/>
                <w:szCs w:val="20"/>
                <w:lang w:val="en-GB"/>
              </w:rPr>
              <w:t xml:space="preserve"> mentioned in the text</w:t>
            </w:r>
          </w:p>
        </w:tc>
        <w:tc>
          <w:tcPr>
            <w:tcW w:w="8850" w:type="dxa"/>
          </w:tcPr>
          <w:p w14:paraId="3F370410" w14:textId="70E8F298" w:rsidR="009D0BF3" w:rsidRPr="009778D0" w:rsidRDefault="009D0BF3" w:rsidP="00F137D1">
            <w:pPr>
              <w:rPr>
                <w:rFonts w:ascii="Times New Roman" w:hAnsi="Times New Roman" w:cs="Times New Roman"/>
                <w:b/>
                <w:bCs/>
                <w:sz w:val="20"/>
                <w:szCs w:val="20"/>
                <w:lang w:val="en-GB"/>
              </w:rPr>
            </w:pPr>
            <w:r w:rsidRPr="009778D0">
              <w:rPr>
                <w:rFonts w:ascii="Times New Roman" w:hAnsi="Times New Roman" w:cs="Times New Roman"/>
                <w:b/>
                <w:bCs/>
                <w:sz w:val="20"/>
                <w:szCs w:val="20"/>
                <w:lang w:val="en-GB"/>
              </w:rPr>
              <w:t>Quote</w:t>
            </w:r>
            <w:r w:rsidR="009778D0">
              <w:rPr>
                <w:rFonts w:ascii="Times New Roman" w:hAnsi="Times New Roman" w:cs="Times New Roman"/>
                <w:b/>
                <w:bCs/>
                <w:sz w:val="20"/>
                <w:szCs w:val="20"/>
                <w:lang w:val="en-GB"/>
              </w:rPr>
              <w:t xml:space="preserve"> example</w:t>
            </w:r>
          </w:p>
        </w:tc>
      </w:tr>
      <w:tr w:rsidR="009778D0" w:rsidRPr="009778D0" w14:paraId="58BB7051" w14:textId="77777777" w:rsidTr="00EE6924">
        <w:tc>
          <w:tcPr>
            <w:tcW w:w="1696" w:type="dxa"/>
            <w:vMerge w:val="restart"/>
          </w:tcPr>
          <w:p w14:paraId="518D3273" w14:textId="383487F8" w:rsidR="009778D0" w:rsidRPr="009778D0" w:rsidRDefault="00EE6924" w:rsidP="00F137D1">
            <w:pPr>
              <w:rPr>
                <w:rFonts w:ascii="Times New Roman" w:hAnsi="Times New Roman" w:cs="Times New Roman"/>
                <w:b/>
                <w:bCs/>
                <w:sz w:val="20"/>
                <w:szCs w:val="20"/>
                <w:lang w:val="en-GB"/>
              </w:rPr>
            </w:pPr>
            <w:r>
              <w:rPr>
                <w:rFonts w:ascii="Times New Roman" w:hAnsi="Times New Roman" w:cs="Times New Roman"/>
                <w:b/>
                <w:bCs/>
                <w:sz w:val="20"/>
                <w:szCs w:val="20"/>
                <w:lang w:val="en-GB"/>
              </w:rPr>
              <w:t>Focus upstream</w:t>
            </w:r>
          </w:p>
        </w:tc>
        <w:tc>
          <w:tcPr>
            <w:tcW w:w="3402" w:type="dxa"/>
          </w:tcPr>
          <w:p w14:paraId="30D55965" w14:textId="683622DE" w:rsidR="009778D0" w:rsidRPr="009778D0" w:rsidRDefault="009778D0" w:rsidP="00F137D1">
            <w:pPr>
              <w:rPr>
                <w:rFonts w:ascii="Times New Roman" w:hAnsi="Times New Roman" w:cs="Times New Roman"/>
                <w:color w:val="000000"/>
                <w:sz w:val="20"/>
                <w:szCs w:val="20"/>
                <w:lang w:val="en-GB"/>
              </w:rPr>
            </w:pPr>
            <w:r w:rsidRPr="009778D0">
              <w:rPr>
                <w:rFonts w:ascii="Times New Roman" w:hAnsi="Times New Roman" w:cs="Times New Roman"/>
                <w:color w:val="000000"/>
                <w:sz w:val="20"/>
                <w:szCs w:val="20"/>
                <w:lang w:val="en-GB"/>
              </w:rPr>
              <w:t>Upstream horizontal and vertical complexity provides opportunities to tackle operational emissions from suppliers by sharing their technical knowledge.</w:t>
            </w:r>
          </w:p>
        </w:tc>
        <w:tc>
          <w:tcPr>
            <w:tcW w:w="8850" w:type="dxa"/>
          </w:tcPr>
          <w:p w14:paraId="2B1BFC56" w14:textId="77777777" w:rsidR="009778D0" w:rsidRPr="009778D0" w:rsidRDefault="009778D0" w:rsidP="00F137D1">
            <w:pPr>
              <w:rPr>
                <w:rFonts w:ascii="Times New Roman" w:hAnsi="Times New Roman" w:cs="Times New Roman"/>
                <w:color w:val="000000" w:themeColor="text1"/>
                <w:sz w:val="20"/>
                <w:szCs w:val="20"/>
              </w:rPr>
            </w:pPr>
            <w:r w:rsidRPr="009778D0">
              <w:rPr>
                <w:rFonts w:ascii="Times New Roman" w:hAnsi="Times New Roman" w:cs="Times New Roman"/>
                <w:color w:val="000000" w:themeColor="text1"/>
                <w:sz w:val="20"/>
                <w:szCs w:val="20"/>
                <w:lang w:val="en-GB"/>
              </w:rPr>
              <w:t>“</w:t>
            </w:r>
            <w:r w:rsidRPr="009778D0">
              <w:rPr>
                <w:rFonts w:ascii="Times New Roman" w:hAnsi="Times New Roman" w:cs="Times New Roman"/>
                <w:color w:val="000000" w:themeColor="text1"/>
                <w:sz w:val="20"/>
                <w:szCs w:val="20"/>
              </w:rPr>
              <w:t>We engage directly with the suppliers that have highest CO</w:t>
            </w:r>
            <w:r w:rsidRPr="009778D0">
              <w:rPr>
                <w:rFonts w:ascii="Times New Roman" w:hAnsi="Times New Roman" w:cs="Times New Roman"/>
                <w:color w:val="000000" w:themeColor="text1"/>
                <w:sz w:val="20"/>
                <w:szCs w:val="20"/>
                <w:vertAlign w:val="subscript"/>
              </w:rPr>
              <w:t>2</w:t>
            </w:r>
            <w:r w:rsidRPr="009778D0">
              <w:rPr>
                <w:rFonts w:ascii="Times New Roman" w:hAnsi="Times New Roman" w:cs="Times New Roman"/>
                <w:color w:val="000000" w:themeColor="text1"/>
                <w:sz w:val="20"/>
                <w:szCs w:val="20"/>
              </w:rPr>
              <w:t xml:space="preserve"> impact to reduce CO</w:t>
            </w:r>
            <w:r w:rsidRPr="009778D0">
              <w:rPr>
                <w:rFonts w:ascii="Times New Roman" w:hAnsi="Times New Roman" w:cs="Times New Roman"/>
                <w:color w:val="000000" w:themeColor="text1"/>
                <w:sz w:val="20"/>
                <w:szCs w:val="20"/>
                <w:vertAlign w:val="subscript"/>
              </w:rPr>
              <w:t>2</w:t>
            </w:r>
            <w:r w:rsidRPr="009778D0">
              <w:rPr>
                <w:rFonts w:ascii="Times New Roman" w:hAnsi="Times New Roman" w:cs="Times New Roman"/>
                <w:color w:val="000000" w:themeColor="text1"/>
                <w:sz w:val="20"/>
                <w:szCs w:val="20"/>
              </w:rPr>
              <w:t xml:space="preserve"> emissions. We target suppliers with the highest CO</w:t>
            </w:r>
            <w:r w:rsidRPr="009778D0">
              <w:rPr>
                <w:rFonts w:ascii="Times New Roman" w:hAnsi="Times New Roman" w:cs="Times New Roman"/>
                <w:color w:val="000000" w:themeColor="text1"/>
                <w:sz w:val="20"/>
                <w:szCs w:val="20"/>
                <w:vertAlign w:val="subscript"/>
              </w:rPr>
              <w:t>2</w:t>
            </w:r>
            <w:r w:rsidRPr="009778D0">
              <w:rPr>
                <w:rFonts w:ascii="Times New Roman" w:hAnsi="Times New Roman" w:cs="Times New Roman"/>
                <w:color w:val="000000" w:themeColor="text1"/>
                <w:sz w:val="20"/>
                <w:szCs w:val="20"/>
              </w:rPr>
              <w:t xml:space="preserve"> impact because this will lead to the greatest reduction in overall CO</w:t>
            </w:r>
            <w:r w:rsidRPr="009778D0">
              <w:rPr>
                <w:rFonts w:ascii="Times New Roman" w:hAnsi="Times New Roman" w:cs="Times New Roman"/>
                <w:color w:val="000000" w:themeColor="text1"/>
                <w:sz w:val="20"/>
                <w:szCs w:val="20"/>
                <w:vertAlign w:val="subscript"/>
              </w:rPr>
              <w:t>2</w:t>
            </w:r>
            <w:r w:rsidRPr="009778D0">
              <w:rPr>
                <w:rFonts w:ascii="Times New Roman" w:hAnsi="Times New Roman" w:cs="Times New Roman"/>
                <w:color w:val="000000" w:themeColor="text1"/>
                <w:sz w:val="20"/>
                <w:szCs w:val="20"/>
              </w:rPr>
              <w:t xml:space="preserve"> emissions. By targeting fewer suppliers with the highest emissions, we can focus our energy on the greatest emissions reductions rather than hundreds of smaller projects. Our target is that all our supply must be based on renewable power by 2030.” (Novo Nordisk, CDP 2021)</w:t>
            </w:r>
          </w:p>
          <w:p w14:paraId="112C0648" w14:textId="77777777" w:rsidR="009778D0" w:rsidRPr="009778D0" w:rsidRDefault="009778D0" w:rsidP="00F137D1">
            <w:pPr>
              <w:rPr>
                <w:rFonts w:ascii="Times New Roman" w:hAnsi="Times New Roman" w:cs="Times New Roman"/>
                <w:color w:val="000000" w:themeColor="text1"/>
                <w:sz w:val="20"/>
                <w:szCs w:val="20"/>
              </w:rPr>
            </w:pPr>
          </w:p>
          <w:p w14:paraId="2B9EA43C" w14:textId="44B3B68B" w:rsidR="009778D0" w:rsidRPr="009778D0" w:rsidRDefault="009778D0" w:rsidP="00456A62">
            <w:pPr>
              <w:pStyle w:val="p1"/>
              <w:rPr>
                <w:rFonts w:ascii="Times New Roman" w:hAnsi="Times New Roman"/>
                <w:color w:val="000000" w:themeColor="text1"/>
                <w:sz w:val="20"/>
                <w:szCs w:val="20"/>
              </w:rPr>
            </w:pPr>
            <w:r w:rsidRPr="009778D0">
              <w:rPr>
                <w:rFonts w:ascii="Times New Roman" w:hAnsi="Times New Roman"/>
                <w:color w:val="000000" w:themeColor="text1"/>
                <w:sz w:val="20"/>
                <w:szCs w:val="20"/>
              </w:rPr>
              <w:t>“Schneider Electric’s Procurement volume represents more than EUR12 – and more than 52,000 suppliers. […] In 2020, Schneider Electric has designed its new Schneider Sustainability Impact (SSI)</w:t>
            </w:r>
            <w:r w:rsidR="00394996">
              <w:rPr>
                <w:rFonts w:ascii="Times New Roman" w:hAnsi="Times New Roman"/>
                <w:color w:val="000000" w:themeColor="text1"/>
                <w:sz w:val="20"/>
                <w:szCs w:val="20"/>
              </w:rPr>
              <w:t xml:space="preserve"> </w:t>
            </w:r>
            <w:r w:rsidRPr="009778D0">
              <w:rPr>
                <w:rFonts w:ascii="Times New Roman" w:hAnsi="Times New Roman"/>
                <w:color w:val="000000" w:themeColor="text1"/>
                <w:sz w:val="20"/>
                <w:szCs w:val="20"/>
              </w:rPr>
              <w:t>2021-2025 with 6 long term commitments, including to act for a climate positive world.To optimize efforts and resources, and maximize impact, Schneider chose to focus on its most CO2 impacting suppliers (about 2% of suppliers by number ie 1,000/52,000, but 70% of supplier-related CO2 emissions).</w:t>
            </w:r>
            <w:r w:rsidRPr="009778D0">
              <w:rPr>
                <w:rStyle w:val="apple-converted-space"/>
                <w:rFonts w:ascii="Times New Roman" w:eastAsiaTheme="majorEastAsia" w:hAnsi="Times New Roman"/>
                <w:color w:val="000000" w:themeColor="text1"/>
                <w:sz w:val="20"/>
                <w:szCs w:val="20"/>
              </w:rPr>
              <w:t> </w:t>
            </w:r>
            <w:r w:rsidRPr="009778D0">
              <w:rPr>
                <w:rFonts w:ascii="Times New Roman" w:hAnsi="Times New Roman"/>
                <w:color w:val="000000" w:themeColor="text1"/>
                <w:sz w:val="20"/>
                <w:szCs w:val="20"/>
              </w:rPr>
              <w:t>Under the program, Schneider will provide tools and resources to program participants to help them set and achieve their own carbon reduction targets. Suppliers will be first encouraged to quantify their CO2 emissions using the company’s digital tools. Suppliers will then use that data to set goals and strategies for emissions reduction. Suppliers will also work towards their goals through decarbonization initiatives such as energy efficiency or renewables. The Zero Carbon Project will enable best practice exchange with peers and partners to access other innovative solutions for decarbonization.” (Schneider, CDP questionnaire 2021)</w:t>
            </w:r>
          </w:p>
          <w:p w14:paraId="03D33596" w14:textId="000F6DF7" w:rsidR="009778D0" w:rsidRPr="009778D0" w:rsidRDefault="009778D0" w:rsidP="00F137D1">
            <w:pPr>
              <w:rPr>
                <w:rFonts w:ascii="Times New Roman" w:hAnsi="Times New Roman" w:cs="Times New Roman"/>
                <w:sz w:val="20"/>
                <w:szCs w:val="20"/>
              </w:rPr>
            </w:pPr>
          </w:p>
        </w:tc>
      </w:tr>
      <w:tr w:rsidR="009778D0" w:rsidRPr="009778D0" w14:paraId="22C88859" w14:textId="77777777" w:rsidTr="00EE6924">
        <w:tc>
          <w:tcPr>
            <w:tcW w:w="1696" w:type="dxa"/>
            <w:vMerge/>
          </w:tcPr>
          <w:p w14:paraId="0040E11E" w14:textId="77777777" w:rsidR="009778D0" w:rsidRPr="009778D0" w:rsidRDefault="009778D0" w:rsidP="00F137D1">
            <w:pPr>
              <w:rPr>
                <w:rFonts w:ascii="Times New Roman" w:hAnsi="Times New Roman" w:cs="Times New Roman"/>
                <w:sz w:val="20"/>
                <w:szCs w:val="20"/>
                <w:lang w:val="en-GB"/>
              </w:rPr>
            </w:pPr>
          </w:p>
        </w:tc>
        <w:tc>
          <w:tcPr>
            <w:tcW w:w="3402" w:type="dxa"/>
          </w:tcPr>
          <w:p w14:paraId="5408FF55" w14:textId="00ECCA3A" w:rsidR="009778D0" w:rsidRPr="009778D0" w:rsidRDefault="009778D0" w:rsidP="00F137D1">
            <w:pPr>
              <w:rPr>
                <w:rFonts w:ascii="Times New Roman" w:hAnsi="Times New Roman" w:cs="Times New Roman"/>
                <w:color w:val="000000"/>
                <w:sz w:val="20"/>
                <w:szCs w:val="20"/>
                <w:lang w:val="en-GB"/>
              </w:rPr>
            </w:pPr>
            <w:r w:rsidRPr="009778D0">
              <w:rPr>
                <w:rFonts w:ascii="Times New Roman" w:hAnsi="Times New Roman" w:cs="Times New Roman"/>
                <w:color w:val="000000" w:themeColor="text1"/>
                <w:sz w:val="20"/>
                <w:szCs w:val="20"/>
                <w:lang w:val="en-GB"/>
              </w:rPr>
              <w:t>Control of compliance practices work as an opportunity for companies to know their suppliers better and contribute to problem-solving.</w:t>
            </w:r>
          </w:p>
        </w:tc>
        <w:tc>
          <w:tcPr>
            <w:tcW w:w="8850" w:type="dxa"/>
          </w:tcPr>
          <w:p w14:paraId="5EF4B520" w14:textId="77777777" w:rsidR="009778D0" w:rsidRPr="009778D0" w:rsidRDefault="009778D0" w:rsidP="00F137D1">
            <w:pPr>
              <w:jc w:val="both"/>
              <w:rPr>
                <w:rFonts w:ascii="Times New Roman" w:hAnsi="Times New Roman" w:cs="Times New Roman"/>
                <w:color w:val="000000" w:themeColor="text1"/>
                <w:sz w:val="20"/>
                <w:szCs w:val="20"/>
                <w:lang w:val="en-GB"/>
              </w:rPr>
            </w:pPr>
            <w:r w:rsidRPr="009778D0">
              <w:rPr>
                <w:rFonts w:ascii="Times New Roman" w:hAnsi="Times New Roman" w:cs="Times New Roman"/>
                <w:color w:val="000000" w:themeColor="text1"/>
                <w:sz w:val="20"/>
                <w:szCs w:val="20"/>
                <w:lang w:val="en-GB"/>
              </w:rPr>
              <w:t>“The initial audits from the Clean-By-Design programme, conducted in 2014 and 2015, identified simple changes that could reduce energy costs and greenhouse gas emissions of suppliers, mostly weaving mills, and printing and dyeing workshops by 15% to 25% without affecting production, and with a return on investment in less than five years.” (Kering, CDP questionnaire 2018)</w:t>
            </w:r>
          </w:p>
          <w:p w14:paraId="78384C00" w14:textId="77777777" w:rsidR="009778D0" w:rsidRPr="009778D0" w:rsidRDefault="009778D0" w:rsidP="00F137D1">
            <w:pPr>
              <w:rPr>
                <w:rFonts w:ascii="Times New Roman" w:hAnsi="Times New Roman" w:cs="Times New Roman"/>
                <w:sz w:val="20"/>
                <w:szCs w:val="20"/>
                <w:lang w:val="en-GB"/>
              </w:rPr>
            </w:pPr>
          </w:p>
        </w:tc>
      </w:tr>
      <w:tr w:rsidR="009D0BF3" w:rsidRPr="009778D0" w14:paraId="0B6ECBC4" w14:textId="77777777" w:rsidTr="00EE6924">
        <w:tc>
          <w:tcPr>
            <w:tcW w:w="1696" w:type="dxa"/>
          </w:tcPr>
          <w:p w14:paraId="2E627CF0" w14:textId="216E2708" w:rsidR="009D0BF3" w:rsidRPr="00EE6924" w:rsidRDefault="009D0BF3" w:rsidP="00F137D1">
            <w:pPr>
              <w:rPr>
                <w:rFonts w:ascii="Times New Roman" w:hAnsi="Times New Roman" w:cs="Times New Roman"/>
                <w:b/>
                <w:bCs/>
                <w:sz w:val="20"/>
                <w:szCs w:val="20"/>
                <w:lang w:val="en-GB"/>
              </w:rPr>
            </w:pPr>
            <w:r w:rsidRPr="00EE6924">
              <w:rPr>
                <w:rFonts w:ascii="Times New Roman" w:hAnsi="Times New Roman" w:cs="Times New Roman"/>
                <w:b/>
                <w:bCs/>
                <w:sz w:val="20"/>
                <w:szCs w:val="20"/>
                <w:lang w:val="en-GB"/>
              </w:rPr>
              <w:t>Focus downstream</w:t>
            </w:r>
          </w:p>
        </w:tc>
        <w:tc>
          <w:tcPr>
            <w:tcW w:w="3402" w:type="dxa"/>
          </w:tcPr>
          <w:p w14:paraId="1770AFDF" w14:textId="09D750B4" w:rsidR="009D0BF3" w:rsidRPr="00394996" w:rsidRDefault="0024174D" w:rsidP="00F137D1">
            <w:pPr>
              <w:rPr>
                <w:rFonts w:ascii="Times New Roman" w:hAnsi="Times New Roman" w:cs="Times New Roman"/>
                <w:color w:val="000000"/>
                <w:sz w:val="20"/>
                <w:szCs w:val="20"/>
                <w:lang w:val="en-GB"/>
              </w:rPr>
            </w:pPr>
            <w:r w:rsidRPr="00394996">
              <w:rPr>
                <w:rFonts w:ascii="Times New Roman" w:hAnsi="Times New Roman" w:cs="Times New Roman"/>
                <w:color w:val="000000"/>
                <w:sz w:val="20"/>
                <w:szCs w:val="20"/>
                <w:lang w:val="en-GB"/>
              </w:rPr>
              <w:t>L</w:t>
            </w:r>
            <w:r w:rsidR="009D0BF3" w:rsidRPr="00394996">
              <w:rPr>
                <w:rFonts w:ascii="Times New Roman" w:hAnsi="Times New Roman" w:cs="Times New Roman"/>
                <w:color w:val="000000"/>
                <w:sz w:val="20"/>
                <w:szCs w:val="20"/>
                <w:lang w:val="en-GB"/>
              </w:rPr>
              <w:t>ower complexity upstream and limited</w:t>
            </w:r>
            <w:r w:rsidRPr="00394996">
              <w:rPr>
                <w:rFonts w:ascii="Times New Roman" w:hAnsi="Times New Roman" w:cs="Times New Roman"/>
                <w:color w:val="000000"/>
                <w:sz w:val="20"/>
                <w:szCs w:val="20"/>
                <w:lang w:val="en-GB"/>
              </w:rPr>
              <w:t xml:space="preserve"> </w:t>
            </w:r>
            <w:r w:rsidR="009D0BF3" w:rsidRPr="00394996">
              <w:rPr>
                <w:rFonts w:ascii="Times New Roman" w:hAnsi="Times New Roman" w:cs="Times New Roman"/>
                <w:color w:val="000000"/>
                <w:sz w:val="20"/>
                <w:szCs w:val="20"/>
                <w:lang w:val="en-GB"/>
              </w:rPr>
              <w:t>readily available opportunities to contribute to suppliers' emissions management.</w:t>
            </w:r>
          </w:p>
          <w:p w14:paraId="135FC367" w14:textId="605FD8A7" w:rsidR="009D0BF3" w:rsidRPr="009778D0" w:rsidRDefault="009D0BF3" w:rsidP="00F137D1">
            <w:pPr>
              <w:rPr>
                <w:rFonts w:ascii="Times New Roman" w:hAnsi="Times New Roman" w:cs="Times New Roman"/>
                <w:color w:val="000000" w:themeColor="text1"/>
                <w:sz w:val="20"/>
                <w:szCs w:val="20"/>
                <w:lang w:val="en-GB"/>
              </w:rPr>
            </w:pPr>
          </w:p>
        </w:tc>
        <w:tc>
          <w:tcPr>
            <w:tcW w:w="8850" w:type="dxa"/>
          </w:tcPr>
          <w:p w14:paraId="2E54397E" w14:textId="4F2887A9" w:rsidR="00394996" w:rsidRPr="00394996" w:rsidRDefault="00394996" w:rsidP="00394996">
            <w:pPr>
              <w:pStyle w:val="p1"/>
              <w:rPr>
                <w:rFonts w:ascii="Times New Roman" w:eastAsiaTheme="minorHAnsi" w:hAnsi="Times New Roman"/>
                <w:color w:val="000000" w:themeColor="text1"/>
                <w:kern w:val="2"/>
                <w:sz w:val="20"/>
                <w:szCs w:val="20"/>
                <w:lang w:val="en-GB" w:eastAsia="en-US"/>
                <w14:ligatures w14:val="standardContextual"/>
              </w:rPr>
            </w:pPr>
            <w:r w:rsidRPr="00394996">
              <w:rPr>
                <w:rFonts w:ascii="Times New Roman" w:eastAsiaTheme="minorHAnsi" w:hAnsi="Times New Roman"/>
                <w:color w:val="000000" w:themeColor="text1"/>
                <w:kern w:val="2"/>
                <w:sz w:val="20"/>
                <w:szCs w:val="20"/>
                <w:lang w:val="en-GB" w:eastAsia="en-US"/>
                <w14:ligatures w14:val="standardContextual"/>
              </w:rPr>
              <w:t>“In 2021, we continued to screen our 200 key suppliers’ sustainability performance. Our assessment includes basic</w:t>
            </w:r>
            <w:r>
              <w:rPr>
                <w:rFonts w:ascii="Times New Roman" w:eastAsiaTheme="minorHAnsi" w:hAnsi="Times New Roman"/>
                <w:color w:val="000000" w:themeColor="text1"/>
                <w:kern w:val="2"/>
                <w:sz w:val="20"/>
                <w:szCs w:val="20"/>
                <w:lang w:val="en-GB" w:eastAsia="en-US"/>
                <w14:ligatures w14:val="standardContextual"/>
              </w:rPr>
              <w:t xml:space="preserve"> </w:t>
            </w:r>
            <w:r w:rsidRPr="00394996">
              <w:rPr>
                <w:rFonts w:ascii="Times New Roman" w:eastAsiaTheme="minorHAnsi" w:hAnsi="Times New Roman"/>
                <w:color w:val="000000" w:themeColor="text1"/>
                <w:kern w:val="2"/>
                <w:sz w:val="20"/>
                <w:szCs w:val="20"/>
                <w:lang w:val="en-GB" w:eastAsia="en-US"/>
                <w14:ligatures w14:val="standardContextual"/>
              </w:rPr>
              <w:t xml:space="preserve">criteria that must be met </w:t>
            </w:r>
            <w:proofErr w:type="gramStart"/>
            <w:r w:rsidRPr="00394996">
              <w:rPr>
                <w:rFonts w:ascii="Times New Roman" w:eastAsiaTheme="minorHAnsi" w:hAnsi="Times New Roman"/>
                <w:color w:val="000000" w:themeColor="text1"/>
                <w:kern w:val="2"/>
                <w:sz w:val="20"/>
                <w:szCs w:val="20"/>
                <w:lang w:val="en-GB" w:eastAsia="en-US"/>
                <w14:ligatures w14:val="standardContextual"/>
              </w:rPr>
              <w:t>in order to</w:t>
            </w:r>
            <w:proofErr w:type="gramEnd"/>
            <w:r w:rsidRPr="00394996">
              <w:rPr>
                <w:rFonts w:ascii="Times New Roman" w:eastAsiaTheme="minorHAnsi" w:hAnsi="Times New Roman"/>
                <w:color w:val="000000" w:themeColor="text1"/>
                <w:kern w:val="2"/>
                <w:sz w:val="20"/>
                <w:szCs w:val="20"/>
                <w:lang w:val="en-GB" w:eastAsia="en-US"/>
                <w14:ligatures w14:val="standardContextual"/>
              </w:rPr>
              <w:t xml:space="preserve"> continue doing business with KONE, as well as criteria to encourage our suppliers</w:t>
            </w:r>
            <w:r>
              <w:rPr>
                <w:rFonts w:ascii="Times New Roman" w:eastAsiaTheme="minorHAnsi" w:hAnsi="Times New Roman"/>
                <w:color w:val="000000" w:themeColor="text1"/>
                <w:kern w:val="2"/>
                <w:sz w:val="20"/>
                <w:szCs w:val="20"/>
                <w:lang w:val="en-GB" w:eastAsia="en-US"/>
                <w14:ligatures w14:val="standardContextual"/>
              </w:rPr>
              <w:t xml:space="preserve"> </w:t>
            </w:r>
            <w:r w:rsidRPr="00394996">
              <w:rPr>
                <w:rFonts w:ascii="Times New Roman" w:eastAsiaTheme="minorHAnsi" w:hAnsi="Times New Roman"/>
                <w:color w:val="000000" w:themeColor="text1"/>
                <w:kern w:val="2"/>
                <w:sz w:val="20"/>
                <w:szCs w:val="20"/>
                <w:lang w:val="en-GB" w:eastAsia="en-US"/>
                <w14:ligatures w14:val="standardContextual"/>
              </w:rPr>
              <w:t>to continuously improve, for example, the energy efficiency of their operations and reduce their carbon footprint. We</w:t>
            </w:r>
            <w:r>
              <w:rPr>
                <w:rFonts w:ascii="Times New Roman" w:eastAsiaTheme="minorHAnsi" w:hAnsi="Times New Roman"/>
                <w:color w:val="000000" w:themeColor="text1"/>
                <w:kern w:val="2"/>
                <w:sz w:val="20"/>
                <w:szCs w:val="20"/>
                <w:lang w:val="en-GB" w:eastAsia="en-US"/>
                <w14:ligatures w14:val="standardContextual"/>
              </w:rPr>
              <w:t xml:space="preserve"> </w:t>
            </w:r>
            <w:r w:rsidRPr="00394996">
              <w:rPr>
                <w:rFonts w:ascii="Times New Roman" w:eastAsiaTheme="minorHAnsi" w:hAnsi="Times New Roman"/>
                <w:color w:val="000000" w:themeColor="text1"/>
                <w:kern w:val="2"/>
                <w:sz w:val="20"/>
                <w:szCs w:val="20"/>
                <w:lang w:val="en-GB" w:eastAsia="en-US"/>
                <w14:ligatures w14:val="standardContextual"/>
              </w:rPr>
              <w:t>continuously improve our data collection capabilities together with our suppliers.” (Kone, Sustainability Report 2021)</w:t>
            </w:r>
          </w:p>
          <w:p w14:paraId="5BD81371" w14:textId="702E643F" w:rsidR="009D0BF3" w:rsidRPr="00394996" w:rsidRDefault="009D0BF3" w:rsidP="00394996">
            <w:pPr>
              <w:jc w:val="both"/>
              <w:rPr>
                <w:rFonts w:ascii="Times New Roman" w:hAnsi="Times New Roman" w:cs="Times New Roman"/>
                <w:color w:val="000000" w:themeColor="text1"/>
                <w:sz w:val="20"/>
                <w:szCs w:val="20"/>
                <w:lang w:val="en-GB"/>
              </w:rPr>
            </w:pPr>
          </w:p>
        </w:tc>
      </w:tr>
      <w:tr w:rsidR="009D0BF3" w:rsidRPr="009778D0" w14:paraId="6ABDDA81" w14:textId="77777777" w:rsidTr="00EE6924">
        <w:tc>
          <w:tcPr>
            <w:tcW w:w="1696" w:type="dxa"/>
          </w:tcPr>
          <w:p w14:paraId="67393D0E" w14:textId="77777777" w:rsidR="009D0BF3" w:rsidRPr="009778D0" w:rsidRDefault="009D0BF3" w:rsidP="00F137D1">
            <w:pPr>
              <w:rPr>
                <w:rFonts w:ascii="Times New Roman" w:hAnsi="Times New Roman" w:cs="Times New Roman"/>
                <w:sz w:val="20"/>
                <w:szCs w:val="20"/>
                <w:lang w:val="en-GB"/>
              </w:rPr>
            </w:pPr>
          </w:p>
        </w:tc>
        <w:tc>
          <w:tcPr>
            <w:tcW w:w="3402" w:type="dxa"/>
          </w:tcPr>
          <w:p w14:paraId="19E82059" w14:textId="07FB94BE" w:rsidR="009D0BF3" w:rsidRPr="009778D0" w:rsidRDefault="00CE1E52" w:rsidP="00F137D1">
            <w:pPr>
              <w:rPr>
                <w:rFonts w:ascii="Times New Roman" w:hAnsi="Times New Roman" w:cs="Times New Roman"/>
                <w:color w:val="000000"/>
                <w:sz w:val="20"/>
                <w:szCs w:val="20"/>
                <w:lang w:val="en-GB"/>
              </w:rPr>
            </w:pPr>
            <w:r w:rsidRPr="009778D0">
              <w:rPr>
                <w:rFonts w:ascii="Times New Roman" w:hAnsi="Times New Roman" w:cs="Times New Roman"/>
                <w:color w:val="000000"/>
                <w:sz w:val="20"/>
                <w:szCs w:val="20"/>
                <w:lang w:val="en-GB"/>
              </w:rPr>
              <w:t>H</w:t>
            </w:r>
            <w:r w:rsidR="009D0BF3" w:rsidRPr="009778D0">
              <w:rPr>
                <w:rFonts w:ascii="Times New Roman" w:hAnsi="Times New Roman" w:cs="Times New Roman"/>
                <w:color w:val="000000"/>
                <w:sz w:val="20"/>
                <w:szCs w:val="20"/>
                <w:lang w:val="en-GB"/>
              </w:rPr>
              <w:t>igher carbon impact of usage and disposal of those companies' products mean</w:t>
            </w:r>
            <w:r w:rsidRPr="009778D0">
              <w:rPr>
                <w:rFonts w:ascii="Times New Roman" w:hAnsi="Times New Roman" w:cs="Times New Roman"/>
                <w:color w:val="000000"/>
                <w:sz w:val="20"/>
                <w:szCs w:val="20"/>
                <w:lang w:val="en-GB"/>
              </w:rPr>
              <w:t>s</w:t>
            </w:r>
            <w:r w:rsidR="009D0BF3" w:rsidRPr="009778D0">
              <w:rPr>
                <w:rFonts w:ascii="Times New Roman" w:hAnsi="Times New Roman" w:cs="Times New Roman"/>
                <w:color w:val="000000"/>
                <w:sz w:val="20"/>
                <w:szCs w:val="20"/>
                <w:lang w:val="en-GB"/>
              </w:rPr>
              <w:t xml:space="preserve"> that clients are interested in solutions that can assist in their decarbonisation process.</w:t>
            </w:r>
          </w:p>
        </w:tc>
        <w:tc>
          <w:tcPr>
            <w:tcW w:w="8850" w:type="dxa"/>
          </w:tcPr>
          <w:p w14:paraId="12B89E1F" w14:textId="77777777" w:rsidR="009D0BF3" w:rsidRPr="009778D0" w:rsidRDefault="000A7B20" w:rsidP="000A7B20">
            <w:pPr>
              <w:jc w:val="both"/>
              <w:rPr>
                <w:rFonts w:ascii="Times New Roman" w:hAnsi="Times New Roman" w:cs="Times New Roman"/>
                <w:sz w:val="20"/>
                <w:szCs w:val="20"/>
              </w:rPr>
            </w:pPr>
            <w:r w:rsidRPr="009778D0">
              <w:rPr>
                <w:rFonts w:ascii="Times New Roman" w:hAnsi="Times New Roman" w:cs="Times New Roman"/>
                <w:sz w:val="20"/>
                <w:szCs w:val="20"/>
              </w:rPr>
              <w:t xml:space="preserve">“In 2017, we conducted joint projects with our customers and contributed to achieving green building certifications in our customer locations with the help of KONE’s energy-efficient solutions and environmentally effective installation and service processes, thereby preventing GHG emissions and climate change. All KONE's solutions are developed using best available low-carbon technology, therefore we consider all 169,000 elevators/escalators/building doors ordered by KONE's customers in 2017 impacted by </w:t>
            </w:r>
            <w:r w:rsidRPr="009778D0">
              <w:rPr>
                <w:rFonts w:ascii="Times New Roman" w:hAnsi="Times New Roman" w:cs="Times New Roman"/>
                <w:sz w:val="20"/>
                <w:szCs w:val="20"/>
              </w:rPr>
              <w:lastRenderedPageBreak/>
              <w:t>this engagement. Over the years, the number of orders has increased and thus the number of customers having been informed of the eco-efficiency aspects of KONE's solutions, thus successfully expanding the scope of sharing the product eco-efficiency information to a larger number of our customers.” (Kone, CDP questionnaire 2018)</w:t>
            </w:r>
          </w:p>
          <w:p w14:paraId="697BA7AA" w14:textId="77777777" w:rsidR="008373CA" w:rsidRPr="009778D0" w:rsidRDefault="008373CA" w:rsidP="000A7B20">
            <w:pPr>
              <w:jc w:val="both"/>
              <w:rPr>
                <w:rFonts w:ascii="Times New Roman" w:hAnsi="Times New Roman" w:cs="Times New Roman"/>
                <w:i/>
                <w:iCs/>
                <w:color w:val="000000" w:themeColor="text1"/>
                <w:sz w:val="20"/>
                <w:szCs w:val="20"/>
                <w:lang w:val="en-GB"/>
              </w:rPr>
            </w:pPr>
          </w:p>
          <w:p w14:paraId="39D7DE67" w14:textId="77777777" w:rsidR="008373CA" w:rsidRPr="009778D0" w:rsidRDefault="0024174D" w:rsidP="000A7B20">
            <w:pPr>
              <w:jc w:val="both"/>
              <w:rPr>
                <w:rFonts w:ascii="Times New Roman" w:hAnsi="Times New Roman" w:cs="Times New Roman"/>
                <w:sz w:val="20"/>
                <w:szCs w:val="20"/>
              </w:rPr>
            </w:pPr>
            <w:r w:rsidRPr="009778D0">
              <w:rPr>
                <w:rFonts w:ascii="Times New Roman" w:hAnsi="Times New Roman" w:cs="Times New Roman"/>
                <w:sz w:val="20"/>
                <w:szCs w:val="20"/>
              </w:rPr>
              <w:t>“</w:t>
            </w:r>
            <w:r w:rsidR="008373CA" w:rsidRPr="009778D0">
              <w:rPr>
                <w:rFonts w:ascii="Times New Roman" w:hAnsi="Times New Roman" w:cs="Times New Roman"/>
                <w:sz w:val="20"/>
                <w:szCs w:val="20"/>
              </w:rPr>
              <w:t>The pillar #ENABLE focuses on ways in which our products, technologies &amp; solutions can support our customers on their way towards climate neutrality. In order to sell this technology, we work closely with existing and potential customers from the cement, automotive and chemical sector to find out in which ways we can best bring our climate friendly technologies, such as Oxyfuel and innovative automotive systems, to application in their operations. Additionally, the pillar #ENGAGE includes the commitment to continue a continuous dialogue on ambitious climate action with GHG relevant customers. The rationale behind the selection of the group of customers is based on a business case: share of sales and the share of the sector within thyssenkrupp's carbon footprint where these customer groups account for more than 70% of our carbon footprint. Our goal is to achieve a minimum level of 70% coverage; however, target value for the upcoming years is around 80%. On this basis, strategic customers represent especially the sectors of cement, road transport and chemical industry.” (Thyssenkrupp, CDP questionnaire 2021)</w:t>
            </w:r>
          </w:p>
          <w:p w14:paraId="3E1EB46E" w14:textId="77777777" w:rsidR="00242CDA" w:rsidRPr="009778D0" w:rsidRDefault="00242CDA" w:rsidP="000A7B20">
            <w:pPr>
              <w:jc w:val="both"/>
              <w:rPr>
                <w:rFonts w:ascii="Times New Roman" w:hAnsi="Times New Roman" w:cs="Times New Roman"/>
                <w:i/>
                <w:iCs/>
                <w:color w:val="000000" w:themeColor="text1"/>
                <w:sz w:val="20"/>
                <w:szCs w:val="20"/>
                <w:lang w:val="en-GB"/>
              </w:rPr>
            </w:pPr>
          </w:p>
          <w:p w14:paraId="21A9D0DC" w14:textId="682061AB" w:rsidR="00242CDA" w:rsidRPr="009778D0" w:rsidRDefault="00242CDA" w:rsidP="00242CDA">
            <w:pPr>
              <w:pStyle w:val="p1"/>
              <w:rPr>
                <w:rFonts w:ascii="Times New Roman" w:hAnsi="Times New Roman"/>
                <w:sz w:val="20"/>
                <w:szCs w:val="20"/>
              </w:rPr>
            </w:pPr>
            <w:r w:rsidRPr="009778D0">
              <w:rPr>
                <w:rFonts w:ascii="Times New Roman" w:hAnsi="Times New Roman"/>
                <w:color w:val="000000" w:themeColor="text1"/>
                <w:sz w:val="20"/>
                <w:szCs w:val="20"/>
                <w:lang w:val="en-GB"/>
              </w:rPr>
              <w:t>“</w:t>
            </w:r>
            <w:r w:rsidRPr="009778D0">
              <w:rPr>
                <w:rFonts w:ascii="Times New Roman" w:hAnsi="Times New Roman"/>
                <w:sz w:val="20"/>
                <w:szCs w:val="20"/>
              </w:rPr>
              <w:t>This engagement with customers is important because 1) it supports MB's strategy to focus on sustainable, high-performing premium products, and 2) responds to our customer needs as many of the customers have set themselves sustainability targets e.g. related to value chain emissions and carbon footprint of the products. Metsä Board's strategy is to prioritise businesses that benefit from the high performance of our products and services. Accordingly, MB cooperates closely with its customer as they often are interested in a deep long term commitment with their supplier.” (</w:t>
            </w:r>
            <w:r w:rsidRPr="009778D0">
              <w:rPr>
                <w:rFonts w:ascii="Times New Roman" w:hAnsi="Times New Roman"/>
                <w:color w:val="000000"/>
                <w:sz w:val="20"/>
                <w:szCs w:val="20"/>
              </w:rPr>
              <w:t>Metsä Board Corporation, CDP questionnaire, 2021)</w:t>
            </w:r>
          </w:p>
          <w:p w14:paraId="792DBD23" w14:textId="0ABE5B9F" w:rsidR="00242CDA" w:rsidRPr="009778D0" w:rsidRDefault="00242CDA" w:rsidP="000A7B20">
            <w:pPr>
              <w:jc w:val="both"/>
              <w:rPr>
                <w:rFonts w:ascii="Times New Roman" w:hAnsi="Times New Roman" w:cs="Times New Roman"/>
                <w:color w:val="000000" w:themeColor="text1"/>
                <w:sz w:val="20"/>
                <w:szCs w:val="20"/>
                <w:lang w:val="en-GB"/>
              </w:rPr>
            </w:pPr>
          </w:p>
        </w:tc>
      </w:tr>
      <w:tr w:rsidR="009778D0" w:rsidRPr="009778D0" w14:paraId="65BB1681" w14:textId="77777777" w:rsidTr="00EE6924">
        <w:tc>
          <w:tcPr>
            <w:tcW w:w="1696" w:type="dxa"/>
            <w:vMerge w:val="restart"/>
          </w:tcPr>
          <w:p w14:paraId="196E610C" w14:textId="273C3B27" w:rsidR="009778D0" w:rsidRPr="009778D0" w:rsidRDefault="009778D0" w:rsidP="00F137D1">
            <w:pPr>
              <w:rPr>
                <w:rFonts w:ascii="Times New Roman" w:hAnsi="Times New Roman" w:cs="Times New Roman"/>
                <w:b/>
                <w:bCs/>
                <w:sz w:val="20"/>
                <w:szCs w:val="20"/>
                <w:lang w:val="en-GB"/>
              </w:rPr>
            </w:pPr>
            <w:r w:rsidRPr="009778D0">
              <w:rPr>
                <w:rFonts w:ascii="Times New Roman" w:hAnsi="Times New Roman" w:cs="Times New Roman"/>
                <w:b/>
                <w:bCs/>
                <w:color w:val="000000"/>
                <w:sz w:val="20"/>
                <w:szCs w:val="20"/>
              </w:rPr>
              <w:lastRenderedPageBreak/>
              <w:t>All value chain</w:t>
            </w:r>
          </w:p>
        </w:tc>
        <w:tc>
          <w:tcPr>
            <w:tcW w:w="3402" w:type="dxa"/>
          </w:tcPr>
          <w:p w14:paraId="3B3E27B5" w14:textId="77777777" w:rsidR="009778D0" w:rsidRPr="009778D0" w:rsidRDefault="009778D0" w:rsidP="0024174D">
            <w:pPr>
              <w:jc w:val="both"/>
              <w:rPr>
                <w:rFonts w:ascii="Times New Roman" w:hAnsi="Times New Roman" w:cs="Times New Roman"/>
                <w:color w:val="000000"/>
                <w:sz w:val="20"/>
                <w:szCs w:val="20"/>
                <w:lang w:val="en-GB"/>
              </w:rPr>
            </w:pPr>
            <w:r w:rsidRPr="009778D0">
              <w:rPr>
                <w:rFonts w:ascii="Times New Roman" w:hAnsi="Times New Roman" w:cs="Times New Roman"/>
                <w:color w:val="000000"/>
                <w:sz w:val="20"/>
                <w:szCs w:val="20"/>
                <w:lang w:val="en-GB"/>
              </w:rPr>
              <w:t xml:space="preserve">Adoption of control of compliance practices downstream </w:t>
            </w:r>
          </w:p>
          <w:p w14:paraId="3A8DBB13" w14:textId="0655EEAD" w:rsidR="009778D0" w:rsidRPr="009778D0" w:rsidRDefault="009778D0" w:rsidP="0024174D">
            <w:pPr>
              <w:jc w:val="both"/>
              <w:rPr>
                <w:rFonts w:ascii="Times New Roman" w:hAnsi="Times New Roman" w:cs="Times New Roman"/>
                <w:color w:val="000000"/>
                <w:sz w:val="20"/>
                <w:szCs w:val="20"/>
                <w:lang w:val="en-GB"/>
              </w:rPr>
            </w:pPr>
          </w:p>
        </w:tc>
        <w:tc>
          <w:tcPr>
            <w:tcW w:w="8850" w:type="dxa"/>
          </w:tcPr>
          <w:p w14:paraId="6A4EA273" w14:textId="2776743C" w:rsidR="009778D0" w:rsidRPr="009778D0" w:rsidRDefault="009778D0" w:rsidP="00AA1023">
            <w:pPr>
              <w:jc w:val="both"/>
              <w:rPr>
                <w:rFonts w:ascii="Times New Roman" w:hAnsi="Times New Roman" w:cs="Times New Roman"/>
                <w:color w:val="000000" w:themeColor="text1"/>
                <w:sz w:val="20"/>
                <w:szCs w:val="20"/>
                <w:lang w:val="en-GB"/>
              </w:rPr>
            </w:pPr>
            <w:r w:rsidRPr="009778D0">
              <w:rPr>
                <w:rFonts w:ascii="Times New Roman" w:hAnsi="Times New Roman" w:cs="Times New Roman"/>
                <w:color w:val="000000" w:themeColor="text1"/>
                <w:sz w:val="20"/>
                <w:szCs w:val="20"/>
                <w:lang w:val="en-GB"/>
              </w:rPr>
              <w:t>“Bayer rewards farmers in Brazil and the U.S. for generating carbon credits by adopting climate-smart practices and creating a new revenue stream on-farm.” (Bayer, CDP questionnaire 2021)</w:t>
            </w:r>
          </w:p>
        </w:tc>
      </w:tr>
      <w:tr w:rsidR="009778D0" w:rsidRPr="009778D0" w14:paraId="3EC42D45" w14:textId="77777777" w:rsidTr="00EE6924">
        <w:tc>
          <w:tcPr>
            <w:tcW w:w="1696" w:type="dxa"/>
            <w:vMerge/>
          </w:tcPr>
          <w:p w14:paraId="6D9C6C91" w14:textId="77777777" w:rsidR="009778D0" w:rsidRPr="009778D0" w:rsidRDefault="009778D0" w:rsidP="00F137D1">
            <w:pPr>
              <w:rPr>
                <w:rFonts w:ascii="Times New Roman" w:hAnsi="Times New Roman" w:cs="Times New Roman"/>
                <w:color w:val="000000"/>
                <w:sz w:val="20"/>
                <w:szCs w:val="20"/>
              </w:rPr>
            </w:pPr>
          </w:p>
        </w:tc>
        <w:tc>
          <w:tcPr>
            <w:tcW w:w="3402" w:type="dxa"/>
          </w:tcPr>
          <w:p w14:paraId="24FDE319" w14:textId="724A6C8B" w:rsidR="009778D0" w:rsidRPr="009778D0" w:rsidRDefault="009778D0" w:rsidP="00F57555">
            <w:pPr>
              <w:jc w:val="both"/>
              <w:rPr>
                <w:rFonts w:ascii="Times New Roman" w:hAnsi="Times New Roman" w:cs="Times New Roman"/>
                <w:color w:val="000000"/>
                <w:sz w:val="20"/>
                <w:szCs w:val="20"/>
                <w:lang w:val="en-GB"/>
              </w:rPr>
            </w:pPr>
            <w:r w:rsidRPr="009778D0">
              <w:rPr>
                <w:rFonts w:ascii="Times New Roman" w:hAnsi="Times New Roman" w:cs="Times New Roman"/>
                <w:color w:val="000000"/>
                <w:sz w:val="20"/>
                <w:szCs w:val="20"/>
                <w:lang w:val="en-GB"/>
              </w:rPr>
              <w:t>Central position in complex supply chains</w:t>
            </w:r>
          </w:p>
        </w:tc>
        <w:tc>
          <w:tcPr>
            <w:tcW w:w="8850" w:type="dxa"/>
          </w:tcPr>
          <w:p w14:paraId="784006A5" w14:textId="77777777" w:rsidR="009778D0" w:rsidRDefault="009778D0" w:rsidP="00F57555">
            <w:pPr>
              <w:jc w:val="both"/>
              <w:rPr>
                <w:rFonts w:ascii="Times New Roman" w:hAnsi="Times New Roman" w:cs="Times New Roman"/>
                <w:color w:val="000000" w:themeColor="text1"/>
                <w:sz w:val="20"/>
                <w:szCs w:val="20"/>
                <w:lang w:val="en-GB"/>
              </w:rPr>
            </w:pPr>
            <w:r w:rsidRPr="009778D0">
              <w:rPr>
                <w:rFonts w:ascii="Times New Roman" w:hAnsi="Times New Roman" w:cs="Times New Roman"/>
                <w:color w:val="000000" w:themeColor="text1"/>
                <w:sz w:val="20"/>
                <w:szCs w:val="20"/>
                <w:lang w:val="en-GB"/>
              </w:rPr>
              <w:t xml:space="preserve">“L’Oréal worldwide suppliers' portfolio includes over 50 000 suppliers. By reporting on strategic suppliers, L’Oréal aims to create a significant ripple effect, empowering in priority the most impacting activities. Strategic suppliers represent 80% of Direct purchases, and from 2020 50% of Indirect purchases. It represents 409 suppliers globally, 60% of total purchases and 1% of total suppliers in numbers. Member of CDP since 2003 and CDP Supply Chain since 2007, L’Oréal established CDP participation as mandatory for all strategic suppliers from January 2014, to measure and report their emissions, but also to set targets to reduce these emissions, and to communicate on their action plans to succeed in reaching this target. In 2020, Purchasing Zone Directors organized virtual sessions of Suppliers Days (titled “Spread the Green Vibes”) dedicated to sustainability (more than 800 suppliers participated). The Chief Purchasing Officer, the Chief Corporate Sustainability Officer, and the Environment Group Director hosted 2 global webinars about suppliers' contribution to L’Oréal Science-Based Targets in March and L4TF programme in July. They gathered over 300 suppliers at each of the 4 sessions, and about 500 questions were answered on-line or off-line on the </w:t>
            </w:r>
            <w:r w:rsidRPr="009778D0">
              <w:rPr>
                <w:rFonts w:ascii="Times New Roman" w:hAnsi="Times New Roman" w:cs="Times New Roman"/>
                <w:color w:val="000000" w:themeColor="text1"/>
                <w:sz w:val="20"/>
                <w:szCs w:val="20"/>
                <w:lang w:val="en-GB"/>
              </w:rPr>
              <w:lastRenderedPageBreak/>
              <w:t>Website dedicated to suppliers. An active monitoring supports this engagement, including specific personalized coaching program in 2020 for 36 strategic suppliers not compliant yet with L’Oréal ambition.” (L’Oréal, CDP questionnaire 2021)</w:t>
            </w:r>
          </w:p>
          <w:p w14:paraId="39356F47" w14:textId="77777777" w:rsidR="00D45290" w:rsidRDefault="00D45290" w:rsidP="00F57555">
            <w:pPr>
              <w:jc w:val="both"/>
              <w:rPr>
                <w:rFonts w:ascii="Times New Roman" w:hAnsi="Times New Roman" w:cs="Times New Roman"/>
                <w:color w:val="000000" w:themeColor="text1"/>
                <w:sz w:val="20"/>
                <w:szCs w:val="20"/>
                <w:lang w:val="en-GB"/>
              </w:rPr>
            </w:pPr>
          </w:p>
          <w:p w14:paraId="3AFE09A1" w14:textId="531CB0DA" w:rsidR="00D45290" w:rsidRPr="00F40B40" w:rsidRDefault="00D45290" w:rsidP="00D45290">
            <w:pPr>
              <w:pStyle w:val="p1"/>
              <w:rPr>
                <w:rFonts w:ascii="Times New Roman" w:eastAsiaTheme="minorHAnsi" w:hAnsi="Times New Roman"/>
                <w:color w:val="000000" w:themeColor="text1"/>
                <w:kern w:val="2"/>
                <w:sz w:val="20"/>
                <w:szCs w:val="20"/>
                <w:lang w:val="en-GB" w:eastAsia="en-US"/>
                <w14:ligatures w14:val="standardContextual"/>
              </w:rPr>
            </w:pPr>
            <w:r w:rsidRPr="00F40B40">
              <w:rPr>
                <w:rFonts w:ascii="Times New Roman" w:eastAsiaTheme="minorHAnsi" w:hAnsi="Times New Roman"/>
                <w:color w:val="000000" w:themeColor="text1"/>
                <w:kern w:val="2"/>
                <w:sz w:val="20"/>
                <w:szCs w:val="20"/>
                <w:lang w:val="en-GB" w:eastAsia="en-US"/>
                <w14:ligatures w14:val="standardContextual"/>
              </w:rPr>
              <w:t>“The level of the impact of engagement varies depending on the</w:t>
            </w:r>
            <w:r w:rsidR="00F40B40" w:rsidRPr="00F40B40">
              <w:rPr>
                <w:rFonts w:ascii="Times New Roman" w:eastAsiaTheme="minorHAnsi" w:hAnsi="Times New Roman"/>
                <w:color w:val="000000" w:themeColor="text1"/>
                <w:kern w:val="2"/>
                <w:sz w:val="20"/>
                <w:szCs w:val="20"/>
                <w:lang w:val="en-GB" w:eastAsia="en-US"/>
                <w14:ligatures w14:val="standardContextual"/>
              </w:rPr>
              <w:t xml:space="preserve"> </w:t>
            </w:r>
            <w:r w:rsidRPr="00F40B40">
              <w:rPr>
                <w:rFonts w:ascii="Times New Roman" w:eastAsiaTheme="minorHAnsi" w:hAnsi="Times New Roman"/>
                <w:color w:val="000000" w:themeColor="text1"/>
                <w:kern w:val="2"/>
                <w:sz w:val="20"/>
                <w:szCs w:val="20"/>
                <w:lang w:val="en-GB" w:eastAsia="en-US"/>
                <w14:ligatures w14:val="standardContextual"/>
              </w:rPr>
              <w:t>level of maturity of our suppliers in terms of climate action.</w:t>
            </w:r>
            <w:r w:rsidR="00F40B40">
              <w:rPr>
                <w:rFonts w:ascii="Times New Roman" w:eastAsiaTheme="minorHAnsi" w:hAnsi="Times New Roman"/>
                <w:color w:val="000000" w:themeColor="text1"/>
                <w:kern w:val="2"/>
                <w:sz w:val="20"/>
                <w:szCs w:val="20"/>
                <w:lang w:val="en-GB" w:eastAsia="en-US"/>
                <w14:ligatures w14:val="standardContextual"/>
              </w:rPr>
              <w:t xml:space="preserve"> </w:t>
            </w:r>
            <w:r w:rsidRPr="00F40B40">
              <w:rPr>
                <w:rFonts w:ascii="Times New Roman" w:eastAsiaTheme="minorHAnsi" w:hAnsi="Times New Roman"/>
                <w:color w:val="000000" w:themeColor="text1"/>
                <w:kern w:val="2"/>
                <w:sz w:val="20"/>
                <w:szCs w:val="20"/>
                <w:lang w:val="en-GB" w:eastAsia="en-US"/>
                <w14:ligatures w14:val="standardContextual"/>
              </w:rPr>
              <w:t>With suppliers already leading and managing carbon-related</w:t>
            </w:r>
            <w:r w:rsidR="00F40B40" w:rsidRPr="00F40B40">
              <w:rPr>
                <w:rFonts w:ascii="Times New Roman" w:eastAsiaTheme="minorHAnsi" w:hAnsi="Times New Roman"/>
                <w:color w:val="000000" w:themeColor="text1"/>
                <w:kern w:val="2"/>
                <w:sz w:val="20"/>
                <w:szCs w:val="20"/>
                <w:lang w:val="en-GB" w:eastAsia="en-US"/>
                <w14:ligatures w14:val="standardContextual"/>
              </w:rPr>
              <w:t xml:space="preserve"> </w:t>
            </w:r>
            <w:r w:rsidRPr="00F40B40">
              <w:rPr>
                <w:rFonts w:ascii="Times New Roman" w:eastAsiaTheme="minorHAnsi" w:hAnsi="Times New Roman"/>
                <w:color w:val="000000" w:themeColor="text1"/>
                <w:kern w:val="2"/>
                <w:sz w:val="20"/>
                <w:szCs w:val="20"/>
                <w:lang w:val="en-GB" w:eastAsia="en-US"/>
                <w14:ligatures w14:val="standardContextual"/>
              </w:rPr>
              <w:t>issues, we seek to create</w:t>
            </w:r>
            <w:r w:rsidR="00F40B40">
              <w:rPr>
                <w:rFonts w:ascii="Times New Roman" w:eastAsiaTheme="minorHAnsi" w:hAnsi="Times New Roman"/>
                <w:color w:val="000000" w:themeColor="text1"/>
                <w:kern w:val="2"/>
                <w:sz w:val="20"/>
                <w:szCs w:val="20"/>
                <w:lang w:val="en-GB" w:eastAsia="en-US"/>
                <w14:ligatures w14:val="standardContextual"/>
              </w:rPr>
              <w:t xml:space="preserve"> </w:t>
            </w:r>
            <w:r w:rsidRPr="00F40B40">
              <w:rPr>
                <w:rFonts w:ascii="Times New Roman" w:eastAsiaTheme="minorHAnsi" w:hAnsi="Times New Roman"/>
                <w:color w:val="000000" w:themeColor="text1"/>
                <w:kern w:val="2"/>
                <w:sz w:val="20"/>
                <w:szCs w:val="20"/>
                <w:lang w:val="en-GB" w:eastAsia="en-US"/>
                <w14:ligatures w14:val="standardContextual"/>
              </w:rPr>
              <w:t>partnerships to put in place</w:t>
            </w:r>
            <w:r w:rsidR="00F40B40" w:rsidRPr="00F40B40">
              <w:rPr>
                <w:rFonts w:ascii="Times New Roman" w:eastAsiaTheme="minorHAnsi" w:hAnsi="Times New Roman"/>
                <w:color w:val="000000" w:themeColor="text1"/>
                <w:kern w:val="2"/>
                <w:sz w:val="20"/>
                <w:szCs w:val="20"/>
                <w:lang w:val="en-GB" w:eastAsia="en-US"/>
                <w14:ligatures w14:val="standardContextual"/>
              </w:rPr>
              <w:t xml:space="preserve"> </w:t>
            </w:r>
            <w:r w:rsidRPr="00F40B40">
              <w:rPr>
                <w:rFonts w:ascii="Times New Roman" w:eastAsiaTheme="minorHAnsi" w:hAnsi="Times New Roman"/>
                <w:color w:val="000000" w:themeColor="text1"/>
                <w:kern w:val="2"/>
                <w:sz w:val="20"/>
                <w:szCs w:val="20"/>
                <w:lang w:val="en-GB" w:eastAsia="en-US"/>
                <w14:ligatures w14:val="standardContextual"/>
              </w:rPr>
              <w:t>collaborative measures or programmes to reduce our common</w:t>
            </w:r>
            <w:r w:rsidR="00F40B40" w:rsidRPr="00F40B40">
              <w:rPr>
                <w:rFonts w:ascii="Times New Roman" w:eastAsiaTheme="minorHAnsi" w:hAnsi="Times New Roman"/>
                <w:color w:val="000000" w:themeColor="text1"/>
                <w:kern w:val="2"/>
                <w:sz w:val="20"/>
                <w:szCs w:val="20"/>
                <w:lang w:val="en-GB" w:eastAsia="en-US"/>
                <w14:ligatures w14:val="standardContextual"/>
              </w:rPr>
              <w:t xml:space="preserve"> </w:t>
            </w:r>
            <w:r w:rsidRPr="00F40B40">
              <w:rPr>
                <w:rFonts w:ascii="Times New Roman" w:eastAsiaTheme="minorHAnsi" w:hAnsi="Times New Roman"/>
                <w:color w:val="000000" w:themeColor="text1"/>
                <w:kern w:val="2"/>
                <w:sz w:val="20"/>
                <w:szCs w:val="20"/>
                <w:lang w:val="en-GB" w:eastAsia="en-US"/>
                <w14:ligatures w14:val="standardContextual"/>
              </w:rPr>
              <w:t>emissions and cascade action further down the supply chain.</w:t>
            </w:r>
            <w:r w:rsidR="00F40B40" w:rsidRPr="00F40B40">
              <w:rPr>
                <w:rFonts w:ascii="Times New Roman" w:eastAsiaTheme="minorHAnsi" w:hAnsi="Times New Roman"/>
                <w:color w:val="000000" w:themeColor="text1"/>
                <w:kern w:val="2"/>
                <w:sz w:val="20"/>
                <w:szCs w:val="20"/>
                <w:lang w:val="en-GB" w:eastAsia="en-US"/>
                <w14:ligatures w14:val="standardContextual"/>
              </w:rPr>
              <w:t xml:space="preserve"> </w:t>
            </w:r>
            <w:r w:rsidRPr="00F40B40">
              <w:rPr>
                <w:rFonts w:ascii="Times New Roman" w:eastAsiaTheme="minorHAnsi" w:hAnsi="Times New Roman"/>
                <w:color w:val="000000" w:themeColor="text1"/>
                <w:kern w:val="2"/>
                <w:sz w:val="20"/>
                <w:szCs w:val="20"/>
                <w:lang w:val="en-GB" w:eastAsia="en-US"/>
                <w14:ligatures w14:val="standardContextual"/>
              </w:rPr>
              <w:t>For suppliers starting their climate action journey, we work</w:t>
            </w:r>
            <w:r w:rsidR="00F40B40" w:rsidRPr="00F40B40">
              <w:rPr>
                <w:rFonts w:ascii="Times New Roman" w:eastAsiaTheme="minorHAnsi" w:hAnsi="Times New Roman"/>
                <w:color w:val="000000" w:themeColor="text1"/>
                <w:kern w:val="2"/>
                <w:sz w:val="20"/>
                <w:szCs w:val="20"/>
                <w:lang w:val="en-GB" w:eastAsia="en-US"/>
                <w14:ligatures w14:val="standardContextual"/>
              </w:rPr>
              <w:t xml:space="preserve"> </w:t>
            </w:r>
            <w:r w:rsidRPr="00F40B40">
              <w:rPr>
                <w:rFonts w:ascii="Times New Roman" w:eastAsiaTheme="minorHAnsi" w:hAnsi="Times New Roman"/>
                <w:color w:val="000000" w:themeColor="text1"/>
                <w:kern w:val="2"/>
                <w:sz w:val="20"/>
                <w:szCs w:val="20"/>
                <w:lang w:val="en-GB" w:eastAsia="en-US"/>
                <w14:ligatures w14:val="standardContextual"/>
              </w:rPr>
              <w:t>towards a shift in behaviour and provide support and guidance.”</w:t>
            </w:r>
            <w:r w:rsidR="00F40B40" w:rsidRPr="00F40B40">
              <w:rPr>
                <w:rFonts w:ascii="Times New Roman" w:eastAsiaTheme="minorHAnsi" w:hAnsi="Times New Roman"/>
                <w:color w:val="000000" w:themeColor="text1"/>
                <w:kern w:val="2"/>
                <w:sz w:val="20"/>
                <w:szCs w:val="20"/>
                <w:lang w:val="en-GB" w:eastAsia="en-US"/>
                <w14:ligatures w14:val="standardContextual"/>
              </w:rPr>
              <w:t xml:space="preserve"> (Givaudan, Sustainability Report 2021)</w:t>
            </w:r>
          </w:p>
        </w:tc>
      </w:tr>
    </w:tbl>
    <w:p w14:paraId="5529418F" w14:textId="77777777" w:rsidR="009D0BF3" w:rsidRPr="00BE4564" w:rsidRDefault="009D0BF3">
      <w:pPr>
        <w:rPr>
          <w:rFonts w:ascii="Times New Roman" w:hAnsi="Times New Roman" w:cs="Times New Roman"/>
          <w:lang w:val="en-GB"/>
        </w:rPr>
      </w:pPr>
    </w:p>
    <w:sectPr w:rsidR="009D0BF3" w:rsidRPr="00BE4564" w:rsidSect="009D0BF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370AF"/>
    <w:multiLevelType w:val="hybridMultilevel"/>
    <w:tmpl w:val="866C85D4"/>
    <w:lvl w:ilvl="0" w:tplc="477E002A">
      <w:start w:val="3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087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7A1"/>
    <w:rsid w:val="00051E8F"/>
    <w:rsid w:val="000A7B20"/>
    <w:rsid w:val="00121925"/>
    <w:rsid w:val="001D1AF6"/>
    <w:rsid w:val="001F2192"/>
    <w:rsid w:val="00233BDE"/>
    <w:rsid w:val="0024174D"/>
    <w:rsid w:val="002423DB"/>
    <w:rsid w:val="00242CDA"/>
    <w:rsid w:val="0025154E"/>
    <w:rsid w:val="003512D4"/>
    <w:rsid w:val="00356165"/>
    <w:rsid w:val="00394996"/>
    <w:rsid w:val="00456A62"/>
    <w:rsid w:val="00565C41"/>
    <w:rsid w:val="00580330"/>
    <w:rsid w:val="005D1E2C"/>
    <w:rsid w:val="006B5A25"/>
    <w:rsid w:val="007D5FC1"/>
    <w:rsid w:val="00803D75"/>
    <w:rsid w:val="008373CA"/>
    <w:rsid w:val="00837722"/>
    <w:rsid w:val="00841BE2"/>
    <w:rsid w:val="00857A31"/>
    <w:rsid w:val="008E27A1"/>
    <w:rsid w:val="008E3177"/>
    <w:rsid w:val="008E7A33"/>
    <w:rsid w:val="00925A9E"/>
    <w:rsid w:val="009778D0"/>
    <w:rsid w:val="009D0BF3"/>
    <w:rsid w:val="00AA1023"/>
    <w:rsid w:val="00AF467B"/>
    <w:rsid w:val="00BE4564"/>
    <w:rsid w:val="00CE1E52"/>
    <w:rsid w:val="00D45290"/>
    <w:rsid w:val="00E47838"/>
    <w:rsid w:val="00E61419"/>
    <w:rsid w:val="00EE6924"/>
    <w:rsid w:val="00F06A92"/>
    <w:rsid w:val="00F137D1"/>
    <w:rsid w:val="00F40B40"/>
    <w:rsid w:val="00F57555"/>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decimalSymbol w:val=","/>
  <w:listSeparator w:val=","/>
  <w14:docId w14:val="0B61CB23"/>
  <w15:chartTrackingRefBased/>
  <w15:docId w15:val="{EF104774-8211-D24A-930C-199A644B3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27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27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27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27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27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27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7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7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7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7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27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27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27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27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27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7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7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7A1"/>
    <w:rPr>
      <w:rFonts w:eastAsiaTheme="majorEastAsia" w:cstheme="majorBidi"/>
      <w:color w:val="272727" w:themeColor="text1" w:themeTint="D8"/>
    </w:rPr>
  </w:style>
  <w:style w:type="paragraph" w:styleId="Title">
    <w:name w:val="Title"/>
    <w:basedOn w:val="Normal"/>
    <w:next w:val="Normal"/>
    <w:link w:val="TitleChar"/>
    <w:uiPriority w:val="10"/>
    <w:qFormat/>
    <w:rsid w:val="008E27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7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7A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7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7A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27A1"/>
    <w:rPr>
      <w:i/>
      <w:iCs/>
      <w:color w:val="404040" w:themeColor="text1" w:themeTint="BF"/>
    </w:rPr>
  </w:style>
  <w:style w:type="paragraph" w:styleId="ListParagraph">
    <w:name w:val="List Paragraph"/>
    <w:basedOn w:val="Normal"/>
    <w:uiPriority w:val="34"/>
    <w:qFormat/>
    <w:rsid w:val="008E27A1"/>
    <w:pPr>
      <w:ind w:left="720"/>
      <w:contextualSpacing/>
    </w:pPr>
  </w:style>
  <w:style w:type="character" w:styleId="IntenseEmphasis">
    <w:name w:val="Intense Emphasis"/>
    <w:basedOn w:val="DefaultParagraphFont"/>
    <w:uiPriority w:val="21"/>
    <w:qFormat/>
    <w:rsid w:val="008E27A1"/>
    <w:rPr>
      <w:i/>
      <w:iCs/>
      <w:color w:val="0F4761" w:themeColor="accent1" w:themeShade="BF"/>
    </w:rPr>
  </w:style>
  <w:style w:type="paragraph" w:styleId="IntenseQuote">
    <w:name w:val="Intense Quote"/>
    <w:basedOn w:val="Normal"/>
    <w:next w:val="Normal"/>
    <w:link w:val="IntenseQuoteChar"/>
    <w:uiPriority w:val="30"/>
    <w:qFormat/>
    <w:rsid w:val="008E27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27A1"/>
    <w:rPr>
      <w:i/>
      <w:iCs/>
      <w:color w:val="0F4761" w:themeColor="accent1" w:themeShade="BF"/>
    </w:rPr>
  </w:style>
  <w:style w:type="character" w:styleId="IntenseReference">
    <w:name w:val="Intense Reference"/>
    <w:basedOn w:val="DefaultParagraphFont"/>
    <w:uiPriority w:val="32"/>
    <w:qFormat/>
    <w:rsid w:val="008E27A1"/>
    <w:rPr>
      <w:b/>
      <w:bCs/>
      <w:smallCaps/>
      <w:color w:val="0F4761" w:themeColor="accent1" w:themeShade="BF"/>
      <w:spacing w:val="5"/>
    </w:rPr>
  </w:style>
  <w:style w:type="table" w:styleId="TableGrid">
    <w:name w:val="Table Grid"/>
    <w:basedOn w:val="TableNormal"/>
    <w:uiPriority w:val="39"/>
    <w:rsid w:val="008E27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456A62"/>
    <w:rPr>
      <w:rFonts w:ascii="Helvetica" w:eastAsia="Times New Roman" w:hAnsi="Helvetica" w:cs="Times New Roman"/>
      <w:color w:val="384251"/>
      <w:kern w:val="0"/>
      <w:sz w:val="16"/>
      <w:szCs w:val="16"/>
      <w:lang w:eastAsia="en-GB"/>
      <w14:ligatures w14:val="none"/>
    </w:rPr>
  </w:style>
  <w:style w:type="character" w:customStyle="1" w:styleId="apple-converted-space">
    <w:name w:val="apple-converted-space"/>
    <w:basedOn w:val="DefaultParagraphFont"/>
    <w:rsid w:val="00456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95584">
      <w:bodyDiv w:val="1"/>
      <w:marLeft w:val="0"/>
      <w:marRight w:val="0"/>
      <w:marTop w:val="0"/>
      <w:marBottom w:val="0"/>
      <w:divBdr>
        <w:top w:val="none" w:sz="0" w:space="0" w:color="auto"/>
        <w:left w:val="none" w:sz="0" w:space="0" w:color="auto"/>
        <w:bottom w:val="none" w:sz="0" w:space="0" w:color="auto"/>
        <w:right w:val="none" w:sz="0" w:space="0" w:color="auto"/>
      </w:divBdr>
    </w:div>
    <w:div w:id="261841733">
      <w:bodyDiv w:val="1"/>
      <w:marLeft w:val="0"/>
      <w:marRight w:val="0"/>
      <w:marTop w:val="0"/>
      <w:marBottom w:val="0"/>
      <w:divBdr>
        <w:top w:val="none" w:sz="0" w:space="0" w:color="auto"/>
        <w:left w:val="none" w:sz="0" w:space="0" w:color="auto"/>
        <w:bottom w:val="none" w:sz="0" w:space="0" w:color="auto"/>
        <w:right w:val="none" w:sz="0" w:space="0" w:color="auto"/>
      </w:divBdr>
    </w:div>
    <w:div w:id="398331831">
      <w:bodyDiv w:val="1"/>
      <w:marLeft w:val="0"/>
      <w:marRight w:val="0"/>
      <w:marTop w:val="0"/>
      <w:marBottom w:val="0"/>
      <w:divBdr>
        <w:top w:val="none" w:sz="0" w:space="0" w:color="auto"/>
        <w:left w:val="none" w:sz="0" w:space="0" w:color="auto"/>
        <w:bottom w:val="none" w:sz="0" w:space="0" w:color="auto"/>
        <w:right w:val="none" w:sz="0" w:space="0" w:color="auto"/>
      </w:divBdr>
    </w:div>
    <w:div w:id="468135323">
      <w:bodyDiv w:val="1"/>
      <w:marLeft w:val="0"/>
      <w:marRight w:val="0"/>
      <w:marTop w:val="0"/>
      <w:marBottom w:val="0"/>
      <w:divBdr>
        <w:top w:val="none" w:sz="0" w:space="0" w:color="auto"/>
        <w:left w:val="none" w:sz="0" w:space="0" w:color="auto"/>
        <w:bottom w:val="none" w:sz="0" w:space="0" w:color="auto"/>
        <w:right w:val="none" w:sz="0" w:space="0" w:color="auto"/>
      </w:divBdr>
    </w:div>
    <w:div w:id="525409170">
      <w:bodyDiv w:val="1"/>
      <w:marLeft w:val="0"/>
      <w:marRight w:val="0"/>
      <w:marTop w:val="0"/>
      <w:marBottom w:val="0"/>
      <w:divBdr>
        <w:top w:val="none" w:sz="0" w:space="0" w:color="auto"/>
        <w:left w:val="none" w:sz="0" w:space="0" w:color="auto"/>
        <w:bottom w:val="none" w:sz="0" w:space="0" w:color="auto"/>
        <w:right w:val="none" w:sz="0" w:space="0" w:color="auto"/>
      </w:divBdr>
    </w:div>
    <w:div w:id="633557874">
      <w:bodyDiv w:val="1"/>
      <w:marLeft w:val="0"/>
      <w:marRight w:val="0"/>
      <w:marTop w:val="0"/>
      <w:marBottom w:val="0"/>
      <w:divBdr>
        <w:top w:val="none" w:sz="0" w:space="0" w:color="auto"/>
        <w:left w:val="none" w:sz="0" w:space="0" w:color="auto"/>
        <w:bottom w:val="none" w:sz="0" w:space="0" w:color="auto"/>
        <w:right w:val="none" w:sz="0" w:space="0" w:color="auto"/>
      </w:divBdr>
    </w:div>
    <w:div w:id="636952553">
      <w:bodyDiv w:val="1"/>
      <w:marLeft w:val="0"/>
      <w:marRight w:val="0"/>
      <w:marTop w:val="0"/>
      <w:marBottom w:val="0"/>
      <w:divBdr>
        <w:top w:val="none" w:sz="0" w:space="0" w:color="auto"/>
        <w:left w:val="none" w:sz="0" w:space="0" w:color="auto"/>
        <w:bottom w:val="none" w:sz="0" w:space="0" w:color="auto"/>
        <w:right w:val="none" w:sz="0" w:space="0" w:color="auto"/>
      </w:divBdr>
    </w:div>
    <w:div w:id="938951124">
      <w:bodyDiv w:val="1"/>
      <w:marLeft w:val="0"/>
      <w:marRight w:val="0"/>
      <w:marTop w:val="0"/>
      <w:marBottom w:val="0"/>
      <w:divBdr>
        <w:top w:val="none" w:sz="0" w:space="0" w:color="auto"/>
        <w:left w:val="none" w:sz="0" w:space="0" w:color="auto"/>
        <w:bottom w:val="none" w:sz="0" w:space="0" w:color="auto"/>
        <w:right w:val="none" w:sz="0" w:space="0" w:color="auto"/>
      </w:divBdr>
    </w:div>
    <w:div w:id="1147556252">
      <w:bodyDiv w:val="1"/>
      <w:marLeft w:val="0"/>
      <w:marRight w:val="0"/>
      <w:marTop w:val="0"/>
      <w:marBottom w:val="0"/>
      <w:divBdr>
        <w:top w:val="none" w:sz="0" w:space="0" w:color="auto"/>
        <w:left w:val="none" w:sz="0" w:space="0" w:color="auto"/>
        <w:bottom w:val="none" w:sz="0" w:space="0" w:color="auto"/>
        <w:right w:val="none" w:sz="0" w:space="0" w:color="auto"/>
      </w:divBdr>
    </w:div>
    <w:div w:id="1426266258">
      <w:bodyDiv w:val="1"/>
      <w:marLeft w:val="0"/>
      <w:marRight w:val="0"/>
      <w:marTop w:val="0"/>
      <w:marBottom w:val="0"/>
      <w:divBdr>
        <w:top w:val="none" w:sz="0" w:space="0" w:color="auto"/>
        <w:left w:val="none" w:sz="0" w:space="0" w:color="auto"/>
        <w:bottom w:val="none" w:sz="0" w:space="0" w:color="auto"/>
        <w:right w:val="none" w:sz="0" w:space="0" w:color="auto"/>
      </w:divBdr>
    </w:div>
    <w:div w:id="1720088231">
      <w:bodyDiv w:val="1"/>
      <w:marLeft w:val="0"/>
      <w:marRight w:val="0"/>
      <w:marTop w:val="0"/>
      <w:marBottom w:val="0"/>
      <w:divBdr>
        <w:top w:val="none" w:sz="0" w:space="0" w:color="auto"/>
        <w:left w:val="none" w:sz="0" w:space="0" w:color="auto"/>
        <w:bottom w:val="none" w:sz="0" w:space="0" w:color="auto"/>
        <w:right w:val="none" w:sz="0" w:space="0" w:color="auto"/>
      </w:divBdr>
    </w:div>
    <w:div w:id="1725525941">
      <w:bodyDiv w:val="1"/>
      <w:marLeft w:val="0"/>
      <w:marRight w:val="0"/>
      <w:marTop w:val="0"/>
      <w:marBottom w:val="0"/>
      <w:divBdr>
        <w:top w:val="none" w:sz="0" w:space="0" w:color="auto"/>
        <w:left w:val="none" w:sz="0" w:space="0" w:color="auto"/>
        <w:bottom w:val="none" w:sz="0" w:space="0" w:color="auto"/>
        <w:right w:val="none" w:sz="0" w:space="0" w:color="auto"/>
      </w:divBdr>
    </w:div>
    <w:div w:id="186990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7</Pages>
  <Words>2983</Words>
  <Characters>17038</Characters>
  <Application>Microsoft Office Word</Application>
  <DocSecurity>0</DocSecurity>
  <Lines>532</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Leticia Canal Vieira</dc:creator>
  <cp:keywords/>
  <dc:description/>
  <cp:lastModifiedBy>Leticia Canal Vieira</cp:lastModifiedBy>
  <cp:revision>14</cp:revision>
  <dcterms:created xsi:type="dcterms:W3CDTF">2025-08-29T07:46:00Z</dcterms:created>
  <dcterms:modified xsi:type="dcterms:W3CDTF">2025-09-17T09:28:00Z</dcterms:modified>
</cp:coreProperties>
</file>