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F6FA" w14:textId="77777777" w:rsidR="00B608BD" w:rsidRPr="00BC28B1" w:rsidRDefault="00B608BD" w:rsidP="00B608BD">
      <w:pPr>
        <w:spacing w:after="0" w:line="480" w:lineRule="auto"/>
        <w:ind w:firstLine="708"/>
        <w:jc w:val="center"/>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Appendix</w:t>
      </w:r>
    </w:p>
    <w:p w14:paraId="6E98B22E" w14:textId="77777777" w:rsidR="00B608BD" w:rsidRPr="00BC28B1" w:rsidRDefault="00B608BD" w:rsidP="00B608BD">
      <w:pPr>
        <w:spacing w:after="0" w:line="480" w:lineRule="auto"/>
        <w:ind w:firstLine="708"/>
        <w:jc w:val="center"/>
        <w:rPr>
          <w:rFonts w:ascii="Times New Roman" w:hAnsi="Times New Roman" w:cs="Times New Roman"/>
          <w:b/>
          <w:bCs/>
          <w:color w:val="000000" w:themeColor="text1"/>
          <w:lang w:val="en-GB"/>
        </w:rPr>
      </w:pPr>
    </w:p>
    <w:p w14:paraId="72F874FC"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 xml:space="preserve">Measuring neurobiological responses in practice: a proof-of-concept </w:t>
      </w:r>
    </w:p>
    <w:p w14:paraId="40ACE580" w14:textId="4B30AE70" w:rsidR="00B608BD" w:rsidRPr="00BC28B1" w:rsidRDefault="00D07EE0" w:rsidP="00B608BD">
      <w:pPr>
        <w:spacing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We</w:t>
      </w:r>
      <w:r w:rsidR="00B608BD" w:rsidRPr="00BC28B1">
        <w:rPr>
          <w:rFonts w:ascii="Times New Roman" w:hAnsi="Times New Roman" w:cs="Times New Roman"/>
          <w:color w:val="000000" w:themeColor="text1"/>
          <w:lang w:val="en-GB"/>
        </w:rPr>
        <w:t xml:space="preserve"> proposed three areas of added value</w:t>
      </w:r>
      <w:r w:rsidRPr="00BC28B1">
        <w:rPr>
          <w:rFonts w:ascii="Times New Roman" w:hAnsi="Times New Roman" w:cs="Times New Roman"/>
          <w:color w:val="000000" w:themeColor="text1"/>
          <w:lang w:val="en-GB"/>
        </w:rPr>
        <w:t xml:space="preserve"> by measuring neurobiological responses in practice: identifying mechanisms underlying workers’ performance</w:t>
      </w:r>
      <w:r w:rsidR="00B608BD" w:rsidRPr="00BC28B1">
        <w:rPr>
          <w:rFonts w:ascii="Times New Roman" w:hAnsi="Times New Roman" w:cs="Times New Roman"/>
          <w:color w:val="000000" w:themeColor="text1"/>
          <w:lang w:val="en-GB"/>
        </w:rPr>
        <w:t xml:space="preserve">, </w:t>
      </w:r>
      <w:r w:rsidRPr="00BC28B1">
        <w:rPr>
          <w:rFonts w:ascii="Times New Roman" w:hAnsi="Times New Roman" w:cs="Times New Roman"/>
          <w:color w:val="000000" w:themeColor="text1"/>
          <w:lang w:val="en-GB"/>
        </w:rPr>
        <w:t xml:space="preserve">complementing self-reports with implicit response measurement and enabling continuous, real-time data collection. To explore these three areas, </w:t>
      </w:r>
      <w:r w:rsidR="00B608BD" w:rsidRPr="00BC28B1">
        <w:rPr>
          <w:rFonts w:ascii="Times New Roman" w:hAnsi="Times New Roman" w:cs="Times New Roman"/>
          <w:color w:val="000000" w:themeColor="text1"/>
          <w:lang w:val="en-GB"/>
        </w:rPr>
        <w:t xml:space="preserve">we conducted a pilot study at an industrial facility. In this setting, participants engaged in an assembly task, as shown in Figure </w:t>
      </w:r>
      <w:r w:rsidR="00D525C8" w:rsidRPr="00BC28B1">
        <w:rPr>
          <w:rFonts w:ascii="Times New Roman" w:hAnsi="Times New Roman" w:cs="Times New Roman"/>
          <w:color w:val="000000" w:themeColor="text1"/>
          <w:lang w:val="en-GB"/>
        </w:rPr>
        <w:t>A</w:t>
      </w:r>
      <w:r w:rsidR="00B608BD" w:rsidRPr="00BC28B1">
        <w:rPr>
          <w:rFonts w:ascii="Times New Roman" w:hAnsi="Times New Roman" w:cs="Times New Roman"/>
          <w:color w:val="000000" w:themeColor="text1"/>
          <w:lang w:val="en-GB"/>
        </w:rPr>
        <w:t>1. First, we explored the value of assessing implicit biological responses in relation to explicit self-reports. We specifically examined arousal, defined as a rapid visceral response previously measured through both self-reports (Mehrabian and Russell, 1974) and cardiac responses (Immanuel</w:t>
      </w:r>
      <w:r w:rsidR="00B608BD" w:rsidRPr="00BC28B1" w:rsidDel="00D82F2A">
        <w:rPr>
          <w:rFonts w:ascii="Times New Roman" w:hAnsi="Times New Roman" w:cs="Times New Roman"/>
          <w:color w:val="000000" w:themeColor="text1"/>
          <w:lang w:val="en-GB"/>
        </w:rPr>
        <w:t xml:space="preserve"> </w:t>
      </w:r>
      <w:r w:rsidR="00B608BD" w:rsidRPr="00BC28B1">
        <w:rPr>
          <w:rFonts w:ascii="Times New Roman" w:hAnsi="Times New Roman" w:cs="Times New Roman"/>
          <w:i/>
          <w:iCs/>
          <w:color w:val="000000" w:themeColor="text1"/>
          <w:lang w:val="en-GB"/>
        </w:rPr>
        <w:t>et al.</w:t>
      </w:r>
      <w:r w:rsidR="00B608BD" w:rsidRPr="00BC28B1">
        <w:rPr>
          <w:rFonts w:ascii="Times New Roman" w:hAnsi="Times New Roman" w:cs="Times New Roman"/>
          <w:color w:val="000000" w:themeColor="text1"/>
          <w:lang w:val="en-GB"/>
        </w:rPr>
        <w:t xml:space="preserve">, 2023). Second, our pilot study investigated the potential added value of uncovering mechanisms underlying worker performance by evaluating whether cortical responses could act as mediators in a sequential process. Third, we evaluated the feasibility of real-time, continuous data collection by recording both cardiac and cortical data throughout the experiment. We focused on assessing signal quality to determine the suitability of wearable biosensors, confirming the suitability of </w:t>
      </w:r>
      <w:r w:rsidRPr="00BC28B1">
        <w:rPr>
          <w:rFonts w:ascii="Times New Roman" w:hAnsi="Times New Roman" w:cs="Times New Roman"/>
          <w:color w:val="000000" w:themeColor="text1"/>
          <w:lang w:val="en-GB"/>
        </w:rPr>
        <w:t>Electrocardiogram (</w:t>
      </w:r>
      <w:r w:rsidR="00B608BD" w:rsidRPr="00BC28B1">
        <w:rPr>
          <w:rFonts w:ascii="Times New Roman" w:hAnsi="Times New Roman" w:cs="Times New Roman"/>
          <w:color w:val="000000" w:themeColor="text1"/>
          <w:lang w:val="en-GB"/>
        </w:rPr>
        <w:t>ECG</w:t>
      </w:r>
      <w:r w:rsidRPr="00BC28B1">
        <w:rPr>
          <w:rFonts w:ascii="Times New Roman" w:hAnsi="Times New Roman" w:cs="Times New Roman"/>
          <w:color w:val="000000" w:themeColor="text1"/>
          <w:lang w:val="en-GB"/>
        </w:rPr>
        <w:t>)</w:t>
      </w:r>
      <w:r w:rsidR="00B608BD" w:rsidRPr="00BC28B1">
        <w:rPr>
          <w:rFonts w:ascii="Times New Roman" w:hAnsi="Times New Roman" w:cs="Times New Roman"/>
          <w:color w:val="000000" w:themeColor="text1"/>
          <w:lang w:val="en-GB"/>
        </w:rPr>
        <w:t xml:space="preserve"> and </w:t>
      </w:r>
      <w:r w:rsidRPr="00BC28B1">
        <w:rPr>
          <w:rFonts w:ascii="Times New Roman" w:hAnsi="Times New Roman" w:cs="Times New Roman"/>
          <w:color w:val="000000" w:themeColor="text1"/>
          <w:lang w:val="en-GB"/>
        </w:rPr>
        <w:t>Electroencephalogram (</w:t>
      </w:r>
      <w:r w:rsidR="00B608BD" w:rsidRPr="00BC28B1">
        <w:rPr>
          <w:rFonts w:ascii="Times New Roman" w:hAnsi="Times New Roman" w:cs="Times New Roman"/>
          <w:color w:val="000000" w:themeColor="text1"/>
          <w:lang w:val="en-GB"/>
        </w:rPr>
        <w:t>EEG</w:t>
      </w:r>
      <w:r w:rsidRPr="00BC28B1">
        <w:rPr>
          <w:rFonts w:ascii="Times New Roman" w:hAnsi="Times New Roman" w:cs="Times New Roman"/>
          <w:color w:val="000000" w:themeColor="text1"/>
          <w:lang w:val="en-GB"/>
        </w:rPr>
        <w:t>) measures</w:t>
      </w:r>
      <w:r w:rsidR="00B608BD" w:rsidRPr="00BC28B1">
        <w:rPr>
          <w:rFonts w:ascii="Times New Roman" w:hAnsi="Times New Roman" w:cs="Times New Roman"/>
          <w:color w:val="000000" w:themeColor="text1"/>
          <w:lang w:val="en-GB"/>
        </w:rPr>
        <w:t xml:space="preserve"> for continuous recording in a typical operational environment.</w:t>
      </w:r>
    </w:p>
    <w:p w14:paraId="43ED4660" w14:textId="77777777" w:rsidR="00B608BD" w:rsidRPr="00BC28B1" w:rsidRDefault="00B608BD" w:rsidP="00B608BD">
      <w:pPr>
        <w:rPr>
          <w:rFonts w:ascii="Times New Roman" w:hAnsi="Times New Roman" w:cs="Times New Roman"/>
          <w:color w:val="000000" w:themeColor="text1"/>
          <w:lang w:val="en-GB"/>
        </w:rPr>
      </w:pPr>
      <w:r w:rsidRPr="00BC28B1">
        <w:rPr>
          <w:rFonts w:ascii="Times New Roman" w:hAnsi="Times New Roman" w:cs="Times New Roman"/>
          <w:noProof/>
          <w:color w:val="000000" w:themeColor="text1"/>
        </w:rPr>
        <w:lastRenderedPageBreak/>
        <w:drawing>
          <wp:inline distT="0" distB="0" distL="0" distR="0" wp14:anchorId="71EAFEB4" wp14:editId="5F3A36C0">
            <wp:extent cx="5688641" cy="3105390"/>
            <wp:effectExtent l="0" t="0" r="7620" b="0"/>
            <wp:docPr id="1240903329" name="Picture 1240903329" descr="A person using a drill to drill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03329" name="Picture 1240903329" descr="A person using a drill to drill a machine&#10;&#10;AI-generated content may be incorrect."/>
                    <pic:cNvPicPr/>
                  </pic:nvPicPr>
                  <pic:blipFill>
                    <a:blip r:embed="rId4">
                      <a:extLst>
                        <a:ext uri="{28A0092B-C50C-407E-A947-70E740481C1C}">
                          <a14:useLocalDpi xmlns:a14="http://schemas.microsoft.com/office/drawing/2010/main" val="0"/>
                        </a:ext>
                      </a:extLst>
                    </a:blip>
                    <a:srcRect t="148" b="148"/>
                    <a:stretch>
                      <a:fillRect/>
                    </a:stretch>
                  </pic:blipFill>
                  <pic:spPr bwMode="auto">
                    <a:xfrm>
                      <a:off x="0" y="0"/>
                      <a:ext cx="5688641" cy="3105390"/>
                    </a:xfrm>
                    <a:prstGeom prst="rect">
                      <a:avLst/>
                    </a:prstGeom>
                    <a:ln>
                      <a:noFill/>
                    </a:ln>
                    <a:extLst>
                      <a:ext uri="{53640926-AAD7-44D8-BBD7-CCE9431645EC}">
                        <a14:shadowObscured xmlns:a14="http://schemas.microsoft.com/office/drawing/2010/main"/>
                      </a:ext>
                    </a:extLst>
                  </pic:spPr>
                </pic:pic>
              </a:graphicData>
            </a:graphic>
          </wp:inline>
        </w:drawing>
      </w:r>
    </w:p>
    <w:p w14:paraId="00B1B9C7" w14:textId="24A934EA" w:rsidR="00B608BD" w:rsidRPr="00BC28B1" w:rsidRDefault="00B608BD" w:rsidP="00B608BD">
      <w:pPr>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Figure </w:t>
      </w:r>
      <w:r w:rsidR="00D525C8" w:rsidRPr="00BC28B1">
        <w:rPr>
          <w:rFonts w:ascii="Times New Roman" w:hAnsi="Times New Roman" w:cs="Times New Roman"/>
          <w:color w:val="000000" w:themeColor="text1"/>
          <w:lang w:val="en-GB"/>
        </w:rPr>
        <w:t>A</w:t>
      </w:r>
      <w:r w:rsidRPr="00BC28B1">
        <w:rPr>
          <w:rFonts w:ascii="Times New Roman" w:hAnsi="Times New Roman" w:cs="Times New Roman"/>
          <w:color w:val="000000" w:themeColor="text1"/>
          <w:lang w:val="en-GB"/>
        </w:rPr>
        <w:t xml:space="preserve">1. </w:t>
      </w:r>
      <w:r w:rsidRPr="008117AA">
        <w:rPr>
          <w:rFonts w:ascii="Times New Roman" w:hAnsi="Times New Roman" w:cs="Times New Roman"/>
          <w:lang w:val="en-GB"/>
        </w:rPr>
        <w:t>Experimental setting.</w:t>
      </w:r>
      <w:r w:rsidR="00643FA0" w:rsidRPr="008117AA">
        <w:rPr>
          <w:rFonts w:ascii="Times New Roman" w:hAnsi="Times New Roman" w:cs="Times New Roman"/>
          <w:lang w:val="en-GB"/>
        </w:rPr>
        <w:t xml:space="preserve"> Source: Authors’ </w:t>
      </w:r>
      <w:proofErr w:type="gramStart"/>
      <w:r w:rsidR="00643FA0" w:rsidRPr="008117AA">
        <w:rPr>
          <w:rFonts w:ascii="Times New Roman" w:hAnsi="Times New Roman" w:cs="Times New Roman"/>
          <w:lang w:val="en-GB"/>
        </w:rPr>
        <w:t>own</w:t>
      </w:r>
      <w:proofErr w:type="gramEnd"/>
      <w:r w:rsidR="00643FA0" w:rsidRPr="008117AA">
        <w:rPr>
          <w:rFonts w:ascii="Times New Roman" w:hAnsi="Times New Roman" w:cs="Times New Roman"/>
          <w:lang w:val="en-GB"/>
        </w:rPr>
        <w:t xml:space="preserve"> elaboration</w:t>
      </w:r>
    </w:p>
    <w:p w14:paraId="3D30C629" w14:textId="77777777" w:rsidR="00B608BD" w:rsidRPr="00BC28B1" w:rsidRDefault="00B608BD" w:rsidP="00B608BD">
      <w:pPr>
        <w:spacing w:after="0" w:line="480" w:lineRule="auto"/>
        <w:rPr>
          <w:rFonts w:ascii="Times New Roman" w:hAnsi="Times New Roman" w:cs="Times New Roman"/>
          <w:b/>
          <w:bCs/>
          <w:color w:val="000000" w:themeColor="text1"/>
          <w:lang w:val="en-GB"/>
        </w:rPr>
      </w:pPr>
    </w:p>
    <w:p w14:paraId="132ED596"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Research design</w:t>
      </w:r>
    </w:p>
    <w:p w14:paraId="06C48D66" w14:textId="0BB3C580" w:rsidR="00B608BD" w:rsidRPr="00BC28B1" w:rsidRDefault="00D07EE0"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W</w:t>
      </w:r>
      <w:r w:rsidR="00B608BD" w:rsidRPr="00BC28B1">
        <w:rPr>
          <w:rFonts w:ascii="Times New Roman" w:hAnsi="Times New Roman" w:cs="Times New Roman"/>
          <w:color w:val="000000" w:themeColor="text1"/>
          <w:lang w:val="en-GB"/>
        </w:rPr>
        <w:t>e conducted a pilot study at an industrial facility affiliated with a leading Italian university. This facility replicates a realistic factory working environment to ensure ecological validity</w:t>
      </w:r>
      <w:r w:rsidR="002E6533" w:rsidRPr="00BC28B1">
        <w:rPr>
          <w:rFonts w:ascii="Times New Roman" w:hAnsi="Times New Roman" w:cs="Times New Roman"/>
          <w:color w:val="000000" w:themeColor="text1"/>
          <w:lang w:val="en-GB"/>
        </w:rPr>
        <w:t>, meaning that findings can be generalised to real-world operational settings</w:t>
      </w:r>
      <w:r w:rsidR="00B608BD" w:rsidRPr="00BC28B1">
        <w:rPr>
          <w:rFonts w:ascii="Times New Roman" w:hAnsi="Times New Roman" w:cs="Times New Roman"/>
          <w:color w:val="000000" w:themeColor="text1"/>
          <w:lang w:val="en-GB"/>
        </w:rPr>
        <w:t xml:space="preserve">. In this setting, participants engaged in an assembly task at a </w:t>
      </w:r>
      <w:r w:rsidR="002E6533" w:rsidRPr="00BC28B1">
        <w:rPr>
          <w:rFonts w:ascii="Times New Roman" w:hAnsi="Times New Roman" w:cs="Times New Roman"/>
          <w:color w:val="000000" w:themeColor="text1"/>
          <w:lang w:val="en-GB"/>
        </w:rPr>
        <w:t>workstation resembling a factory bench</w:t>
      </w:r>
      <w:r w:rsidR="00B608BD" w:rsidRPr="00BC28B1">
        <w:rPr>
          <w:rFonts w:ascii="Times New Roman" w:hAnsi="Times New Roman" w:cs="Times New Roman"/>
          <w:color w:val="000000" w:themeColor="text1"/>
          <w:lang w:val="en-GB"/>
        </w:rPr>
        <w:t xml:space="preserve">, where they assembled physical products in the shape of valves. These products were selected for their general relevance in operations contexts, as they involved multiple steps, including bolting and tightening, as shown in Figures </w:t>
      </w:r>
      <w:r w:rsidR="00D525C8" w:rsidRPr="00BC28B1">
        <w:rPr>
          <w:rFonts w:ascii="Times New Roman" w:hAnsi="Times New Roman" w:cs="Times New Roman"/>
          <w:color w:val="000000" w:themeColor="text1"/>
          <w:lang w:val="en-GB"/>
        </w:rPr>
        <w:t>A4</w:t>
      </w:r>
      <w:r w:rsidR="00B608BD" w:rsidRPr="00BC28B1">
        <w:rPr>
          <w:rFonts w:ascii="Times New Roman" w:hAnsi="Times New Roman" w:cs="Times New Roman"/>
          <w:color w:val="000000" w:themeColor="text1"/>
          <w:lang w:val="en-GB"/>
        </w:rPr>
        <w:t xml:space="preserve"> and </w:t>
      </w:r>
      <w:r w:rsidR="00D525C8" w:rsidRPr="00BC28B1">
        <w:rPr>
          <w:rFonts w:ascii="Times New Roman" w:hAnsi="Times New Roman" w:cs="Times New Roman"/>
          <w:color w:val="000000" w:themeColor="text1"/>
          <w:lang w:val="en-GB"/>
        </w:rPr>
        <w:t>A5</w:t>
      </w:r>
      <w:r w:rsidR="00B608BD" w:rsidRPr="00BC28B1">
        <w:rPr>
          <w:rFonts w:ascii="Times New Roman" w:hAnsi="Times New Roman" w:cs="Times New Roman"/>
          <w:color w:val="000000" w:themeColor="text1"/>
          <w:lang w:val="en-GB"/>
        </w:rPr>
        <w:t xml:space="preserve">. The assembly station (Figure </w:t>
      </w:r>
      <w:r w:rsidR="00D525C8" w:rsidRPr="00BC28B1">
        <w:rPr>
          <w:rFonts w:ascii="Times New Roman" w:hAnsi="Times New Roman" w:cs="Times New Roman"/>
          <w:color w:val="000000" w:themeColor="text1"/>
          <w:lang w:val="en-GB"/>
        </w:rPr>
        <w:t>A</w:t>
      </w:r>
      <w:r w:rsidR="00B608BD" w:rsidRPr="00BC28B1">
        <w:rPr>
          <w:rFonts w:ascii="Times New Roman" w:hAnsi="Times New Roman" w:cs="Times New Roman"/>
          <w:color w:val="000000" w:themeColor="text1"/>
          <w:lang w:val="en-GB"/>
        </w:rPr>
        <w:t>2) included various components: a workbench with containers for assembly parts (A), a screwdriver (B), a screen displaying experimental instructions (C), the main parts of three valves (D), and written instructions for assembly (E). Completed valves were then placed on a table adjacent to the workbench.</w:t>
      </w:r>
    </w:p>
    <w:p w14:paraId="3D71347B" w14:textId="77777777" w:rsidR="00B608BD" w:rsidRPr="00BC28B1" w:rsidRDefault="00B608BD" w:rsidP="00B608BD">
      <w:pPr>
        <w:jc w:val="both"/>
        <w:rPr>
          <w:rFonts w:ascii="Times New Roman" w:hAnsi="Times New Roman" w:cs="Times New Roman"/>
          <w:color w:val="000000" w:themeColor="text1"/>
          <w:lang w:val="en-GB"/>
        </w:rPr>
      </w:pPr>
    </w:p>
    <w:p w14:paraId="3AF735E4" w14:textId="10713792" w:rsidR="00B608BD" w:rsidRPr="00BC28B1" w:rsidRDefault="00B608BD" w:rsidP="00B608BD">
      <w:pPr>
        <w:rPr>
          <w:rFonts w:ascii="Times New Roman" w:hAnsi="Times New Roman" w:cs="Times New Roman"/>
          <w:color w:val="000000" w:themeColor="text1"/>
          <w:lang w:val="en-GB"/>
        </w:rPr>
      </w:pPr>
      <w:r w:rsidRPr="00BC28B1">
        <w:rPr>
          <w:noProof/>
          <w:color w:val="000000" w:themeColor="text1"/>
        </w:rPr>
        <w:lastRenderedPageBreak/>
        <w:drawing>
          <wp:inline distT="0" distB="0" distL="0" distR="0" wp14:anchorId="57534B3A" wp14:editId="3179C3FE">
            <wp:extent cx="5760720" cy="3405478"/>
            <wp:effectExtent l="0" t="0" r="0" b="0"/>
            <wp:docPr id="317226758" name="Picture 317226758" descr="A machine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226758"/>
                    <pic:cNvPicPr/>
                  </pic:nvPicPr>
                  <pic:blipFill>
                    <a:blip r:embed="rId5">
                      <a:extLst>
                        <a:ext uri="{28A0092B-C50C-407E-A947-70E740481C1C}">
                          <a14:useLocalDpi xmlns:a14="http://schemas.microsoft.com/office/drawing/2010/main" val="0"/>
                        </a:ext>
                      </a:extLst>
                    </a:blip>
                    <a:stretch>
                      <a:fillRect/>
                    </a:stretch>
                  </pic:blipFill>
                  <pic:spPr>
                    <a:xfrm>
                      <a:off x="0" y="0"/>
                      <a:ext cx="5760720" cy="3405478"/>
                    </a:xfrm>
                    <a:prstGeom prst="rect">
                      <a:avLst/>
                    </a:prstGeom>
                  </pic:spPr>
                </pic:pic>
              </a:graphicData>
            </a:graphic>
          </wp:inline>
        </w:drawing>
      </w:r>
      <w:r w:rsidRPr="00BC28B1">
        <w:rPr>
          <w:rFonts w:ascii="Times New Roman" w:hAnsi="Times New Roman" w:cs="Times New Roman"/>
          <w:color w:val="000000" w:themeColor="text1"/>
          <w:lang w:val="en-GB"/>
        </w:rPr>
        <w:t xml:space="preserve">Figure </w:t>
      </w:r>
      <w:r w:rsidR="00D525C8" w:rsidRPr="00BC28B1">
        <w:rPr>
          <w:rFonts w:ascii="Times New Roman" w:hAnsi="Times New Roman" w:cs="Times New Roman"/>
          <w:color w:val="000000" w:themeColor="text1"/>
          <w:lang w:val="en-GB"/>
        </w:rPr>
        <w:t>A</w:t>
      </w:r>
      <w:r w:rsidRPr="00BC28B1">
        <w:rPr>
          <w:rFonts w:ascii="Times New Roman" w:hAnsi="Times New Roman" w:cs="Times New Roman"/>
          <w:color w:val="000000" w:themeColor="text1"/>
          <w:lang w:val="en-GB"/>
        </w:rPr>
        <w:t>2. Assembly station</w:t>
      </w:r>
      <w:r w:rsidRPr="008117AA">
        <w:rPr>
          <w:rFonts w:ascii="Times New Roman" w:hAnsi="Times New Roman" w:cs="Times New Roman"/>
          <w:lang w:val="en-GB"/>
        </w:rPr>
        <w:t>.</w:t>
      </w:r>
      <w:r w:rsidR="00643FA0" w:rsidRPr="008117AA">
        <w:rPr>
          <w:rFonts w:ascii="Times New Roman" w:hAnsi="Times New Roman" w:cs="Times New Roman"/>
          <w:lang w:val="en-GB"/>
        </w:rPr>
        <w:t xml:space="preserve"> Source: Authors’ </w:t>
      </w:r>
      <w:proofErr w:type="gramStart"/>
      <w:r w:rsidR="00643FA0" w:rsidRPr="008117AA">
        <w:rPr>
          <w:rFonts w:ascii="Times New Roman" w:hAnsi="Times New Roman" w:cs="Times New Roman"/>
          <w:lang w:val="en-GB"/>
        </w:rPr>
        <w:t>own</w:t>
      </w:r>
      <w:proofErr w:type="gramEnd"/>
      <w:r w:rsidR="00643FA0" w:rsidRPr="008117AA">
        <w:rPr>
          <w:rFonts w:ascii="Times New Roman" w:hAnsi="Times New Roman" w:cs="Times New Roman"/>
          <w:lang w:val="en-GB"/>
        </w:rPr>
        <w:t xml:space="preserve"> elaboration</w:t>
      </w:r>
    </w:p>
    <w:p w14:paraId="38DB3230" w14:textId="77777777" w:rsidR="00B608BD" w:rsidRPr="00BC28B1" w:rsidRDefault="00B608BD" w:rsidP="00B608BD">
      <w:pPr>
        <w:rPr>
          <w:rFonts w:ascii="Times New Roman" w:hAnsi="Times New Roman" w:cs="Times New Roman"/>
          <w:color w:val="000000" w:themeColor="text1"/>
          <w:lang w:val="en-GB"/>
        </w:rPr>
      </w:pPr>
    </w:p>
    <w:p w14:paraId="4C21246B" w14:textId="1504023F" w:rsidR="00B608BD" w:rsidRPr="00BC28B1" w:rsidRDefault="00B608BD" w:rsidP="00B608BD">
      <w:pPr>
        <w:spacing w:after="0" w:line="480" w:lineRule="auto"/>
        <w:ind w:firstLine="708"/>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Our research design employed a within-subject manipulation, differentiating between two task sequences: a Simple Task Sequence (S) and a Complex Task Sequence (C). In the S</w:t>
      </w:r>
      <w:r w:rsidR="002E6533" w:rsidRPr="00BC28B1">
        <w:rPr>
          <w:rFonts w:ascii="Times New Roman" w:hAnsi="Times New Roman" w:cs="Times New Roman"/>
          <w:color w:val="000000" w:themeColor="text1"/>
          <w:lang w:val="en-GB"/>
        </w:rPr>
        <w:t>-</w:t>
      </w:r>
      <w:r w:rsidRPr="00BC28B1">
        <w:rPr>
          <w:rFonts w:ascii="Times New Roman" w:hAnsi="Times New Roman" w:cs="Times New Roman"/>
          <w:color w:val="000000" w:themeColor="text1"/>
          <w:lang w:val="en-GB"/>
        </w:rPr>
        <w:t>condition, participants assembled valves sequentially, completing all steps for one valve before moving to the next. Conversely, the C</w:t>
      </w:r>
      <w:r w:rsidR="002E6533" w:rsidRPr="00BC28B1">
        <w:rPr>
          <w:rFonts w:ascii="Times New Roman" w:hAnsi="Times New Roman" w:cs="Times New Roman"/>
          <w:color w:val="000000" w:themeColor="text1"/>
          <w:lang w:val="en-GB"/>
        </w:rPr>
        <w:t>-</w:t>
      </w:r>
      <w:r w:rsidRPr="00BC28B1">
        <w:rPr>
          <w:rFonts w:ascii="Times New Roman" w:hAnsi="Times New Roman" w:cs="Times New Roman"/>
          <w:color w:val="000000" w:themeColor="text1"/>
          <w:lang w:val="en-GB"/>
        </w:rPr>
        <w:t xml:space="preserve">condition required participants to assemble valves in a scrambled order of steps and valves, as indicated by the screen. The sequence of steps was maintained in order, ensuring for instance that step 4 could </w:t>
      </w:r>
      <w:r w:rsidR="002E6533" w:rsidRPr="00BC28B1">
        <w:rPr>
          <w:rFonts w:ascii="Times New Roman" w:hAnsi="Times New Roman" w:cs="Times New Roman"/>
          <w:color w:val="000000" w:themeColor="text1"/>
          <w:lang w:val="en-GB"/>
        </w:rPr>
        <w:t xml:space="preserve">not </w:t>
      </w:r>
      <w:r w:rsidRPr="00BC28B1">
        <w:rPr>
          <w:rFonts w:ascii="Times New Roman" w:hAnsi="Times New Roman" w:cs="Times New Roman"/>
          <w:color w:val="000000" w:themeColor="text1"/>
          <w:lang w:val="en-GB"/>
        </w:rPr>
        <w:t>precede step 3. This manipulation aimed to test neurobiological responses to varying complexities in the assembly sequence, focusing on cardiac and cortical responses due to the ease of recording these via wireless wearable biosensors (see section 3.3). We monitored the error rate in assembly (i.e., deviations from the instruction manual) as a measure of operational performance.</w:t>
      </w:r>
    </w:p>
    <w:p w14:paraId="2E7EF391" w14:textId="77777777" w:rsidR="00B608BD" w:rsidRPr="00BC28B1" w:rsidRDefault="00B608BD" w:rsidP="00B608BD">
      <w:pPr>
        <w:spacing w:after="0" w:line="480" w:lineRule="auto"/>
        <w:ind w:firstLine="708"/>
        <w:rPr>
          <w:rFonts w:ascii="Times New Roman" w:hAnsi="Times New Roman" w:cs="Times New Roman"/>
          <w:color w:val="000000" w:themeColor="text1"/>
          <w:lang w:val="en-GB"/>
        </w:rPr>
      </w:pPr>
    </w:p>
    <w:p w14:paraId="5752BB38"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Participants</w:t>
      </w:r>
    </w:p>
    <w:p w14:paraId="1BE5405E" w14:textId="77777777" w:rsidR="00B608BD" w:rsidRPr="00BC28B1" w:rsidRDefault="00B608BD"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We recorded data from twelve participants (6 F; M</w:t>
      </w:r>
      <w:r w:rsidRPr="00BC28B1">
        <w:rPr>
          <w:rFonts w:ascii="Times New Roman" w:hAnsi="Times New Roman" w:cs="Times New Roman"/>
          <w:color w:val="000000" w:themeColor="text1"/>
          <w:vertAlign w:val="subscript"/>
          <w:lang w:val="en-GB"/>
        </w:rPr>
        <w:t>age</w:t>
      </w:r>
      <w:r w:rsidRPr="00BC28B1">
        <w:rPr>
          <w:rFonts w:ascii="Times New Roman" w:hAnsi="Times New Roman" w:cs="Times New Roman"/>
          <w:color w:val="000000" w:themeColor="text1"/>
          <w:lang w:val="en-GB"/>
        </w:rPr>
        <w:t xml:space="preserve"> = 25.33 years, SD = 3.99), aligning with similar studies on neurophysiological responses during standing and movement </w:t>
      </w:r>
      <w:r w:rsidRPr="00BC28B1">
        <w:rPr>
          <w:rFonts w:ascii="Times New Roman" w:hAnsi="Times New Roman" w:cs="Times New Roman"/>
          <w:color w:val="000000" w:themeColor="text1"/>
          <w:lang w:val="en-GB"/>
        </w:rPr>
        <w:lastRenderedPageBreak/>
        <w:t xml:space="preserve">activities (Scanlon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2021). Participants reported no neurological or cardiovascular disorders and had normal or corrected-to-normal vision. </w:t>
      </w:r>
    </w:p>
    <w:p w14:paraId="44E314A3" w14:textId="77777777" w:rsidR="00B608BD" w:rsidRPr="00BC28B1" w:rsidRDefault="00B608BD" w:rsidP="00B608BD">
      <w:pPr>
        <w:spacing w:after="0" w:line="480" w:lineRule="auto"/>
        <w:rPr>
          <w:rFonts w:ascii="Times New Roman" w:hAnsi="Times New Roman" w:cs="Times New Roman"/>
          <w:color w:val="000000" w:themeColor="text1"/>
          <w:lang w:val="en-GB"/>
        </w:rPr>
      </w:pPr>
    </w:p>
    <w:p w14:paraId="569B9DC9"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Instrumentation and measures</w:t>
      </w:r>
    </w:p>
    <w:p w14:paraId="2B01096E" w14:textId="47122278" w:rsidR="00B608BD" w:rsidRPr="00BC28B1" w:rsidRDefault="00B608BD"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We employed a Polar H10 chest belt (Polar Electro, Finland) to record cardiac (ECG) signal at a sampling rate of 1000 Hz. The ECG signal was processed using </w:t>
      </w:r>
      <w:proofErr w:type="spellStart"/>
      <w:r w:rsidRPr="00BC28B1">
        <w:rPr>
          <w:rFonts w:ascii="Times New Roman" w:hAnsi="Times New Roman" w:cs="Times New Roman"/>
          <w:color w:val="000000" w:themeColor="text1"/>
          <w:lang w:val="en-GB"/>
        </w:rPr>
        <w:t>Kubios</w:t>
      </w:r>
      <w:proofErr w:type="spellEnd"/>
      <w:r w:rsidRPr="00BC28B1">
        <w:rPr>
          <w:rFonts w:ascii="Times New Roman" w:hAnsi="Times New Roman" w:cs="Times New Roman"/>
          <w:color w:val="000000" w:themeColor="text1"/>
          <w:lang w:val="en-GB"/>
        </w:rPr>
        <w:t xml:space="preserve"> HRV version 2.2 to perform Heart Rate Variability (HRV) analysis. From the ECG signal, the sequence of RR intervals was extracted from the recording device. </w:t>
      </w:r>
      <w:r w:rsidR="00583C76" w:rsidRPr="00BC28B1">
        <w:rPr>
          <w:rFonts w:ascii="Times New Roman" w:hAnsi="Times New Roman" w:cs="Times New Roman"/>
          <w:color w:val="000000" w:themeColor="text1"/>
          <w:lang w:val="en-GB"/>
        </w:rPr>
        <w:t xml:space="preserve">An RR interval refers to the time interval between two successive R-peaks in the heart’s electrical cycle, reflecting heart rate variability. </w:t>
      </w:r>
      <w:r w:rsidRPr="00BC28B1">
        <w:rPr>
          <w:rFonts w:ascii="Times New Roman" w:hAnsi="Times New Roman" w:cs="Times New Roman"/>
          <w:color w:val="000000" w:themeColor="text1"/>
          <w:lang w:val="en-GB"/>
        </w:rPr>
        <w:t xml:space="preserve">Raw data was first inspected visually and then pre-processed using a 0.15s threshold-based artifact correction. In this process, artifacts and ectopic beats were corrected by comparing each RR interval to a local average, removing movement-related artifacts and signal noise. We calculated the number of RR intervals corrected and the percentage of artifacts removed for each task sequence completed by a participant. Observations from any analysis window shorter than five minutes were discarded, in line with HRV processing guidelines (Malik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1996). The processed signal was used to calculate the Standard Deviation of all RR intervals (SDNN), which was extracted for each block and adjusted against baseline levels by subtracting the average values recorded during the baseline period. SDNN is commonly employed to assess arousal through cardiac responses, and it is generally inversely related to arousal (Immanuel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2023).</w:t>
      </w:r>
    </w:p>
    <w:p w14:paraId="61D37988" w14:textId="55D6E39B" w:rsidR="00B608BD" w:rsidRPr="00BC28B1" w:rsidRDefault="00B608BD" w:rsidP="00B608BD">
      <w:pPr>
        <w:spacing w:after="0" w:line="480" w:lineRule="auto"/>
        <w:ind w:firstLine="708"/>
        <w:rPr>
          <w:rFonts w:ascii="Times New Roman" w:hAnsi="Times New Roman" w:cs="Times New Roman"/>
          <w:color w:val="000000" w:themeColor="text1"/>
          <w:lang w:val="en-GB"/>
        </w:rPr>
      </w:pPr>
      <w:r w:rsidRPr="00BC28B1">
        <w:rPr>
          <w:rFonts w:ascii="Times New Roman" w:eastAsiaTheme="minorEastAsia" w:hAnsi="Times New Roman" w:cs="Times New Roman"/>
          <w:color w:val="000000" w:themeColor="text1"/>
          <w:lang w:val="en-GB"/>
        </w:rPr>
        <w:t xml:space="preserve">Cortical signals were recorded using the </w:t>
      </w:r>
      <w:proofErr w:type="spellStart"/>
      <w:r w:rsidRPr="00BC28B1">
        <w:rPr>
          <w:rFonts w:ascii="Times New Roman" w:eastAsiaTheme="minorEastAsia" w:hAnsi="Times New Roman" w:cs="Times New Roman"/>
          <w:color w:val="000000" w:themeColor="text1"/>
          <w:lang w:val="en-GB"/>
        </w:rPr>
        <w:t>cEEGrid</w:t>
      </w:r>
      <w:proofErr w:type="spellEnd"/>
      <w:r w:rsidRPr="00BC28B1">
        <w:rPr>
          <w:rFonts w:ascii="Times New Roman" w:eastAsiaTheme="minorEastAsia" w:hAnsi="Times New Roman" w:cs="Times New Roman"/>
          <w:color w:val="000000" w:themeColor="text1"/>
          <w:lang w:val="en-GB"/>
        </w:rPr>
        <w:t xml:space="preserve"> system, which features 20 Ag/AgCl electrodes affixed with an adhesive sticker and connected to an amplifier transmitting signals via Bluetooth to the recording laptop at a sampling rate of 250 Hz. Both ECG and EEG data were recorded and </w:t>
      </w:r>
      <w:r w:rsidR="00D07EE0" w:rsidRPr="00BC28B1">
        <w:rPr>
          <w:rFonts w:ascii="Times New Roman" w:eastAsiaTheme="minorEastAsia" w:hAnsi="Times New Roman" w:cs="Times New Roman"/>
          <w:color w:val="000000" w:themeColor="text1"/>
          <w:lang w:val="en-GB"/>
        </w:rPr>
        <w:t xml:space="preserve">synchronised </w:t>
      </w:r>
      <w:r w:rsidRPr="00BC28B1">
        <w:rPr>
          <w:rFonts w:ascii="Times New Roman" w:eastAsiaTheme="minorEastAsia" w:hAnsi="Times New Roman" w:cs="Times New Roman"/>
          <w:color w:val="000000" w:themeColor="text1"/>
          <w:lang w:val="en-GB"/>
        </w:rPr>
        <w:t xml:space="preserve">using </w:t>
      </w:r>
      <w:proofErr w:type="spellStart"/>
      <w:r w:rsidRPr="00BC28B1">
        <w:rPr>
          <w:rFonts w:ascii="Times New Roman" w:eastAsiaTheme="minorEastAsia" w:hAnsi="Times New Roman" w:cs="Times New Roman"/>
          <w:color w:val="000000" w:themeColor="text1"/>
          <w:lang w:val="en-GB"/>
        </w:rPr>
        <w:t>iMotions</w:t>
      </w:r>
      <w:proofErr w:type="spellEnd"/>
      <w:r w:rsidRPr="00BC28B1">
        <w:rPr>
          <w:rFonts w:ascii="Times New Roman" w:eastAsiaTheme="minorEastAsia" w:hAnsi="Times New Roman" w:cs="Times New Roman"/>
          <w:color w:val="000000" w:themeColor="text1"/>
          <w:lang w:val="en-GB"/>
        </w:rPr>
        <w:t xml:space="preserve"> (9.3). EEG analysis was subsequently conducted in </w:t>
      </w:r>
      <w:proofErr w:type="spellStart"/>
      <w:r w:rsidRPr="00BC28B1">
        <w:rPr>
          <w:rFonts w:ascii="Times New Roman" w:eastAsiaTheme="minorEastAsia" w:hAnsi="Times New Roman" w:cs="Times New Roman"/>
          <w:color w:val="000000" w:themeColor="text1"/>
          <w:lang w:val="en-GB"/>
        </w:rPr>
        <w:t>Matlab</w:t>
      </w:r>
      <w:proofErr w:type="spellEnd"/>
      <w:r w:rsidRPr="00BC28B1">
        <w:rPr>
          <w:rFonts w:ascii="Times New Roman" w:eastAsiaTheme="minorEastAsia" w:hAnsi="Times New Roman" w:cs="Times New Roman"/>
          <w:color w:val="000000" w:themeColor="text1"/>
          <w:lang w:val="en-GB"/>
        </w:rPr>
        <w:t xml:space="preserve"> (version: 23.2.0.2459199). Data was re-referenced to the electrode </w:t>
      </w:r>
      <w:r w:rsidRPr="00BC28B1">
        <w:rPr>
          <w:rFonts w:ascii="Times New Roman" w:eastAsiaTheme="minorEastAsia" w:hAnsi="Times New Roman" w:cs="Times New Roman"/>
          <w:color w:val="000000" w:themeColor="text1"/>
          <w:lang w:val="en-GB"/>
        </w:rPr>
        <w:lastRenderedPageBreak/>
        <w:t xml:space="preserve">opposite to the reference and bandpass filtered between 0.1 Hz and 30 Hz. Bad channels were detected using the </w:t>
      </w:r>
      <w:proofErr w:type="spellStart"/>
      <w:r w:rsidRPr="00BC28B1">
        <w:rPr>
          <w:rFonts w:ascii="Times New Roman" w:eastAsiaTheme="minorEastAsia" w:hAnsi="Times New Roman" w:cs="Times New Roman"/>
          <w:color w:val="000000" w:themeColor="text1"/>
          <w:lang w:val="en-GB"/>
        </w:rPr>
        <w:t>clean_rawdata</w:t>
      </w:r>
      <w:proofErr w:type="spellEnd"/>
      <w:r w:rsidRPr="00BC28B1">
        <w:rPr>
          <w:rFonts w:ascii="Times New Roman" w:eastAsiaTheme="minorEastAsia" w:hAnsi="Times New Roman" w:cs="Times New Roman"/>
          <w:color w:val="000000" w:themeColor="text1"/>
          <w:lang w:val="en-GB"/>
        </w:rPr>
        <w:t xml:space="preserve"> function for EEGLAB (Delorme and </w:t>
      </w:r>
      <w:proofErr w:type="spellStart"/>
      <w:r w:rsidRPr="00BC28B1">
        <w:rPr>
          <w:rFonts w:ascii="Times New Roman" w:eastAsiaTheme="minorEastAsia" w:hAnsi="Times New Roman" w:cs="Times New Roman"/>
          <w:color w:val="000000" w:themeColor="text1"/>
          <w:lang w:val="en-GB"/>
        </w:rPr>
        <w:t>Makeig</w:t>
      </w:r>
      <w:proofErr w:type="spellEnd"/>
      <w:r w:rsidRPr="00BC28B1">
        <w:rPr>
          <w:rFonts w:ascii="Times New Roman" w:eastAsiaTheme="minorEastAsia" w:hAnsi="Times New Roman" w:cs="Times New Roman"/>
          <w:color w:val="000000" w:themeColor="text1"/>
          <w:lang w:val="en-GB"/>
        </w:rPr>
        <w:t xml:space="preserve">, 2004). Data was then cut to 1 second epochs and we used the </w:t>
      </w:r>
      <w:proofErr w:type="spellStart"/>
      <w:r w:rsidRPr="00BC28B1">
        <w:rPr>
          <w:rFonts w:ascii="Times New Roman" w:eastAsiaTheme="minorEastAsia" w:hAnsi="Times New Roman" w:cs="Times New Roman"/>
          <w:color w:val="000000" w:themeColor="text1"/>
          <w:lang w:val="en-GB"/>
        </w:rPr>
        <w:t>pop_jointprob</w:t>
      </w:r>
      <w:proofErr w:type="spellEnd"/>
      <w:r w:rsidRPr="00BC28B1">
        <w:rPr>
          <w:rFonts w:ascii="Times New Roman" w:eastAsiaTheme="minorEastAsia" w:hAnsi="Times New Roman" w:cs="Times New Roman"/>
          <w:color w:val="000000" w:themeColor="text1"/>
          <w:lang w:val="en-GB"/>
        </w:rPr>
        <w:t xml:space="preserve"> function to identify bad epochs. Data was then transformed into frequency space using a Fast Fourier Transformation (FFT). We averaged the resulting spectra and identified peaks in the alpha frequency band (8-12Hz). Alpha peak values were z-transformed across experimental blocks for normalization. </w:t>
      </w:r>
    </w:p>
    <w:p w14:paraId="08EA3592" w14:textId="77777777" w:rsidR="00B608BD" w:rsidRPr="00BC28B1" w:rsidRDefault="00B608BD" w:rsidP="00B608BD">
      <w:pPr>
        <w:spacing w:after="0" w:line="480" w:lineRule="auto"/>
        <w:ind w:firstLine="708"/>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We assessed individual responses after each block through explicit self-reports on 7-point Likert scales. These included a 4-item construct investigating Fluency of Performance (</w:t>
      </w:r>
      <w:proofErr w:type="spellStart"/>
      <w:r w:rsidRPr="00BC28B1">
        <w:rPr>
          <w:rFonts w:ascii="Times New Roman" w:hAnsi="Times New Roman" w:cs="Times New Roman"/>
          <w:color w:val="000000" w:themeColor="text1"/>
          <w:lang w:val="en-GB"/>
        </w:rPr>
        <w:t>Rheinberg</w:t>
      </w:r>
      <w:proofErr w:type="spellEnd"/>
      <w:r w:rsidRPr="00BC28B1">
        <w:rPr>
          <w:rFonts w:ascii="Times New Roman" w:hAnsi="Times New Roman" w:cs="Times New Roman"/>
          <w:color w:val="000000" w:themeColor="text1"/>
          <w:lang w:val="en-GB"/>
        </w:rPr>
        <w:t xml:space="preserve">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2003), a 3-item construct investigating Arousal (Mehrabian and Russell, 1974), and a single item investigating Cognitive Workload (Gualtieri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2022). Lastly, assembly errors were assessed by a researcher who inspected each completed valve, comparing each step against the provided visual instructions.</w:t>
      </w:r>
    </w:p>
    <w:p w14:paraId="1C15C961" w14:textId="77777777" w:rsidR="00B608BD" w:rsidRPr="00BC28B1" w:rsidRDefault="00B608BD" w:rsidP="00B608BD">
      <w:pPr>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  </w:t>
      </w:r>
    </w:p>
    <w:p w14:paraId="0ADB4F94"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 xml:space="preserve">Experimental protocol  </w:t>
      </w:r>
    </w:p>
    <w:p w14:paraId="1A88A33B" w14:textId="2FE69E68" w:rsidR="00B608BD" w:rsidRPr="00BC28B1" w:rsidRDefault="00B608BD"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Participants were welcomed to the experimental site where they were briefed on the study procedures and provided written informed consent. To prepare for data collection, an ECG chest belt was fitted to ensure proper skin contact, and EEG electrodes were applied. The preparation for EEG involved cleaning the areas around each ear with abrasive gel and alcohol, followed by drying and placing an adhesive electrode grid around the ears. The impedance of each electrode was checked and adjusted to below 10kΩ. Before starting the experimental tasks, participants underwent a three-minute resting period to record baseline cardiac and cortical responses. Next, participants underwent a training phase where they assembled three test valves and received feedback on any errors they made. Following this, they began the main task, assembling three valves across four blocks in a within-subject design. The blocks were split into </w:t>
      </w:r>
      <w:r w:rsidR="00583C76" w:rsidRPr="00BC28B1">
        <w:rPr>
          <w:rFonts w:ascii="Times New Roman" w:hAnsi="Times New Roman" w:cs="Times New Roman"/>
          <w:color w:val="000000" w:themeColor="text1"/>
          <w:lang w:val="en-GB"/>
        </w:rPr>
        <w:t xml:space="preserve">the </w:t>
      </w:r>
      <w:r w:rsidRPr="00BC28B1">
        <w:rPr>
          <w:rFonts w:ascii="Times New Roman" w:hAnsi="Times New Roman" w:cs="Times New Roman"/>
          <w:color w:val="000000" w:themeColor="text1"/>
          <w:lang w:val="en-GB"/>
        </w:rPr>
        <w:t xml:space="preserve">two conditions, C and S, with two blocks for each. The </w:t>
      </w:r>
      <w:r w:rsidRPr="00BC28B1">
        <w:rPr>
          <w:rFonts w:ascii="Times New Roman" w:hAnsi="Times New Roman" w:cs="Times New Roman"/>
          <w:color w:val="000000" w:themeColor="text1"/>
          <w:lang w:val="en-GB"/>
        </w:rPr>
        <w:lastRenderedPageBreak/>
        <w:t>sequence of the blocks was quasi-</w:t>
      </w:r>
      <w:r w:rsidR="00D07EE0" w:rsidRPr="00BC28B1">
        <w:rPr>
          <w:rFonts w:ascii="Times New Roman" w:hAnsi="Times New Roman" w:cs="Times New Roman"/>
          <w:color w:val="000000" w:themeColor="text1"/>
          <w:lang w:val="en-GB"/>
        </w:rPr>
        <w:t xml:space="preserve">randomised </w:t>
      </w:r>
      <w:r w:rsidRPr="00BC28B1">
        <w:rPr>
          <w:rFonts w:ascii="Times New Roman" w:hAnsi="Times New Roman" w:cs="Times New Roman"/>
          <w:color w:val="000000" w:themeColor="text1"/>
          <w:lang w:val="en-GB"/>
        </w:rPr>
        <w:t xml:space="preserve">to prevent any condition from appearing consecutively. After each block, participants completed self-reports. With the fourth block completed, participants had a second resting period for three minutes. </w:t>
      </w:r>
      <w:r w:rsidR="004E0CE8" w:rsidRPr="00BC28B1">
        <w:rPr>
          <w:rFonts w:ascii="Times New Roman" w:hAnsi="Times New Roman" w:cs="Times New Roman"/>
          <w:color w:val="000000" w:themeColor="text1"/>
          <w:lang w:val="en-GB"/>
        </w:rPr>
        <w:t xml:space="preserve">This second resting period enables the recording of post-task baseline data which allows a comparison with the first resting state before the experiment. </w:t>
      </w:r>
      <w:r w:rsidRPr="00BC28B1">
        <w:rPr>
          <w:rFonts w:ascii="Times New Roman" w:hAnsi="Times New Roman" w:cs="Times New Roman"/>
          <w:color w:val="000000" w:themeColor="text1"/>
          <w:lang w:val="en-GB"/>
        </w:rPr>
        <w:t>The procedure was developed in line with the principles of the Helsinki Declaration.</w:t>
      </w:r>
    </w:p>
    <w:p w14:paraId="06EAC655" w14:textId="77777777" w:rsidR="00B608BD" w:rsidRPr="00BC28B1" w:rsidRDefault="00B608BD" w:rsidP="00B608BD">
      <w:pPr>
        <w:spacing w:after="0" w:line="480" w:lineRule="auto"/>
        <w:rPr>
          <w:rFonts w:ascii="Times New Roman" w:hAnsi="Times New Roman" w:cs="Times New Roman"/>
          <w:color w:val="000000" w:themeColor="text1"/>
          <w:lang w:val="en-GB"/>
        </w:rPr>
      </w:pPr>
    </w:p>
    <w:p w14:paraId="77C771AF" w14:textId="77777777" w:rsidR="00B608BD" w:rsidRPr="00BC28B1" w:rsidRDefault="00B608BD" w:rsidP="00B608BD">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 xml:space="preserve">Results </w:t>
      </w:r>
    </w:p>
    <w:p w14:paraId="3961395D" w14:textId="77777777" w:rsidR="00B608BD" w:rsidRPr="00BC28B1" w:rsidRDefault="00B608BD"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The assembly task displayed adequate variation in terms of completion times, ranging from 32 minutes and 29 seconds to 49 minutes and 20 seconds, with an average of 40 minutes. Error rates were also well distributed across the four blocks among participants (M = 4.1, SD = 4.9; min = 0; max = 18). As anticipated, the blocks under the C (vs S) condition were perceived as more challenging, confirmed by a manipulation check on perceived cognitive workload (</w:t>
      </w:r>
      <w:proofErr w:type="gramStart"/>
      <w:r w:rsidRPr="00BC28B1">
        <w:rPr>
          <w:rFonts w:ascii="Times New Roman" w:hAnsi="Times New Roman" w:cs="Times New Roman"/>
          <w:color w:val="000000" w:themeColor="text1"/>
          <w:lang w:val="en-GB"/>
        </w:rPr>
        <w:t>t(</w:t>
      </w:r>
      <w:proofErr w:type="gramEnd"/>
      <w:r w:rsidRPr="00BC28B1">
        <w:rPr>
          <w:rFonts w:ascii="Times New Roman" w:hAnsi="Times New Roman" w:cs="Times New Roman"/>
          <w:color w:val="000000" w:themeColor="text1"/>
          <w:lang w:val="en-GB"/>
        </w:rPr>
        <w:t>23) = -3.607, p &lt; .001). Significant differences were observed in self-reported arousal (</w:t>
      </w:r>
      <w:proofErr w:type="gramStart"/>
      <w:r w:rsidRPr="00BC28B1">
        <w:rPr>
          <w:rFonts w:ascii="Times New Roman" w:hAnsi="Times New Roman" w:cs="Times New Roman"/>
          <w:color w:val="000000" w:themeColor="text1"/>
          <w:lang w:val="en-GB"/>
        </w:rPr>
        <w:t>t(</w:t>
      </w:r>
      <w:proofErr w:type="gramEnd"/>
      <w:r w:rsidRPr="00BC28B1">
        <w:rPr>
          <w:rFonts w:ascii="Times New Roman" w:hAnsi="Times New Roman" w:cs="Times New Roman"/>
          <w:color w:val="000000" w:themeColor="text1"/>
          <w:lang w:val="en-GB"/>
        </w:rPr>
        <w:t>23) = -2.378, p = .013), while differences in self-reported fluency were not significant (</w:t>
      </w:r>
      <w:proofErr w:type="gramStart"/>
      <w:r w:rsidRPr="00BC28B1">
        <w:rPr>
          <w:rFonts w:ascii="Times New Roman" w:hAnsi="Times New Roman" w:cs="Times New Roman"/>
          <w:color w:val="000000" w:themeColor="text1"/>
          <w:lang w:val="en-GB"/>
        </w:rPr>
        <w:t>t(</w:t>
      </w:r>
      <w:proofErr w:type="gramEnd"/>
      <w:r w:rsidRPr="00BC28B1">
        <w:rPr>
          <w:rFonts w:ascii="Times New Roman" w:hAnsi="Times New Roman" w:cs="Times New Roman"/>
          <w:color w:val="000000" w:themeColor="text1"/>
          <w:lang w:val="en-GB"/>
        </w:rPr>
        <w:t>23) = -.819, p = .211). Physiological measurements revealed statistically significant differences in cortical alpha activity (</w:t>
      </w:r>
      <w:proofErr w:type="gramStart"/>
      <w:r w:rsidRPr="00BC28B1">
        <w:rPr>
          <w:rFonts w:ascii="Times New Roman" w:hAnsi="Times New Roman" w:cs="Times New Roman"/>
          <w:color w:val="000000" w:themeColor="text1"/>
          <w:lang w:val="en-GB"/>
        </w:rPr>
        <w:t>t(</w:t>
      </w:r>
      <w:proofErr w:type="gramEnd"/>
      <w:r w:rsidRPr="00BC28B1">
        <w:rPr>
          <w:rFonts w:ascii="Times New Roman" w:hAnsi="Times New Roman" w:cs="Times New Roman"/>
          <w:color w:val="000000" w:themeColor="text1"/>
          <w:lang w:val="en-GB"/>
        </w:rPr>
        <w:t>23) = -2.413, p = .012), where the C condition resulted in only marginally higher physiological arousal (</w:t>
      </w:r>
      <w:proofErr w:type="gramStart"/>
      <w:r w:rsidRPr="00BC28B1">
        <w:rPr>
          <w:rFonts w:ascii="Times New Roman" w:hAnsi="Times New Roman" w:cs="Times New Roman"/>
          <w:color w:val="000000" w:themeColor="text1"/>
          <w:lang w:val="en-GB"/>
        </w:rPr>
        <w:t>t(</w:t>
      </w:r>
      <w:proofErr w:type="gramEnd"/>
      <w:r w:rsidRPr="00BC28B1">
        <w:rPr>
          <w:rFonts w:ascii="Times New Roman" w:hAnsi="Times New Roman" w:cs="Times New Roman"/>
          <w:color w:val="000000" w:themeColor="text1"/>
          <w:lang w:val="en-GB"/>
        </w:rPr>
        <w:t>23) = -1.539, p = .069) across the two conditions.</w:t>
      </w:r>
    </w:p>
    <w:p w14:paraId="61E2891D" w14:textId="204720E0" w:rsidR="00B608BD" w:rsidRPr="00BC28B1" w:rsidRDefault="00B608BD" w:rsidP="00B608BD">
      <w:pPr>
        <w:spacing w:after="0" w:line="480" w:lineRule="auto"/>
        <w:ind w:firstLine="708"/>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In our evaluation of the three proposed areas of added value, we first assessed the utility of measuring implicit processes through biological responses by comparing self-reported arousal with physiological measures. Self-reported and physiological arousal were not significantly correlated (r = .156, p = .153), aligning with previous literature that indicates self-reported metrics do not always linearly relate to physiological responses (Epel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2018). Subsequently, we conducted three linear regression models to examine the </w:t>
      </w:r>
      <w:r w:rsidRPr="00BC28B1">
        <w:rPr>
          <w:rFonts w:ascii="Times New Roman" w:hAnsi="Times New Roman" w:cs="Times New Roman"/>
          <w:color w:val="000000" w:themeColor="text1"/>
          <w:lang w:val="en-GB"/>
        </w:rPr>
        <w:lastRenderedPageBreak/>
        <w:t xml:space="preserve">contributions of explicit and implicit responses to error rates. Our analysis initially tested the effects of self-reported arousal (model 1) and physiological arousal (model 2) as separate independent variables. We then analysed both variables together in model 3 to determine their combined effect. The results indicated that both explicit and implicit responses were related to error rates, supporting the hypothesis that arousal levels are related to assembly mistakes, aligning with prior empirical studies (Bruccoleri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2014). Interestingly, when the predictive contributions of both models were compared, implicit responses provided a stronger significant contribution to predicting error rates, thus suggesting that implicit processes measured through cardiac data may provide added value over explicit responses in understanding error rates. Table </w:t>
      </w:r>
      <w:r w:rsidR="00D525C8" w:rsidRPr="00BC28B1">
        <w:rPr>
          <w:rFonts w:ascii="Times New Roman" w:hAnsi="Times New Roman" w:cs="Times New Roman"/>
          <w:color w:val="000000" w:themeColor="text1"/>
          <w:lang w:val="en-GB"/>
        </w:rPr>
        <w:t>A</w:t>
      </w:r>
      <w:r w:rsidRPr="00BC28B1">
        <w:rPr>
          <w:rFonts w:ascii="Times New Roman" w:hAnsi="Times New Roman" w:cs="Times New Roman"/>
          <w:color w:val="000000" w:themeColor="text1"/>
          <w:lang w:val="en-GB"/>
        </w:rPr>
        <w:t>1 reports the full results. Overall, these results support the hypothesis that physiological responses can be effective in measuring implicit responses that are linked to operational outcomes.</w:t>
      </w:r>
    </w:p>
    <w:p w14:paraId="4AB2FFB1" w14:textId="77777777" w:rsidR="00B608BD" w:rsidRPr="00BC28B1" w:rsidRDefault="00B608BD" w:rsidP="00B608BD">
      <w:pPr>
        <w:spacing w:after="0" w:line="480" w:lineRule="auto"/>
        <w:ind w:firstLine="708"/>
        <w:rPr>
          <w:rFonts w:ascii="Times New Roman" w:hAnsi="Times New Roman" w:cs="Times New Roman"/>
          <w:color w:val="000000" w:themeColor="text1"/>
          <w:lang w:val="en-GB"/>
        </w:rPr>
      </w:pPr>
    </w:p>
    <w:p w14:paraId="50080131" w14:textId="77777777" w:rsidR="00B608BD" w:rsidRPr="00BC28B1" w:rsidRDefault="00B608BD" w:rsidP="00B608BD">
      <w:pPr>
        <w:rPr>
          <w:rFonts w:ascii="Times New Roman" w:hAnsi="Times New Roman" w:cs="Times New Roman"/>
          <w:color w:val="000000" w:themeColor="text1"/>
          <w:lang w:val="en-GB"/>
        </w:rPr>
      </w:pPr>
      <w:r w:rsidRPr="00BC28B1">
        <w:rPr>
          <w:noProof/>
          <w:color w:val="000000" w:themeColor="text1"/>
        </w:rPr>
        <w:drawing>
          <wp:inline distT="0" distB="0" distL="0" distR="0" wp14:anchorId="2760AB89" wp14:editId="42A16C74">
            <wp:extent cx="5730440" cy="2960255"/>
            <wp:effectExtent l="0" t="0" r="3810" b="0"/>
            <wp:docPr id="52693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8473" b="2486"/>
                    <a:stretch/>
                  </pic:blipFill>
                  <pic:spPr bwMode="auto">
                    <a:xfrm>
                      <a:off x="0" y="0"/>
                      <a:ext cx="5730875" cy="2960480"/>
                    </a:xfrm>
                    <a:prstGeom prst="rect">
                      <a:avLst/>
                    </a:prstGeom>
                    <a:noFill/>
                    <a:ln>
                      <a:noFill/>
                    </a:ln>
                    <a:extLst>
                      <a:ext uri="{53640926-AAD7-44D8-BBD7-CCE9431645EC}">
                        <a14:shadowObscured xmlns:a14="http://schemas.microsoft.com/office/drawing/2010/main"/>
                      </a:ext>
                    </a:extLst>
                  </pic:spPr>
                </pic:pic>
              </a:graphicData>
            </a:graphic>
          </wp:inline>
        </w:drawing>
      </w:r>
    </w:p>
    <w:p w14:paraId="5E22911C" w14:textId="5A19866E" w:rsidR="00B608BD" w:rsidRPr="00BC28B1" w:rsidRDefault="00B608BD" w:rsidP="00B608BD">
      <w:pPr>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Table </w:t>
      </w:r>
      <w:r w:rsidR="00D525C8" w:rsidRPr="00BC28B1">
        <w:rPr>
          <w:rFonts w:ascii="Times New Roman" w:hAnsi="Times New Roman" w:cs="Times New Roman"/>
          <w:color w:val="000000" w:themeColor="text1"/>
          <w:lang w:val="en-GB"/>
        </w:rPr>
        <w:t>A</w:t>
      </w:r>
      <w:r w:rsidRPr="00BC28B1">
        <w:rPr>
          <w:rFonts w:ascii="Times New Roman" w:hAnsi="Times New Roman" w:cs="Times New Roman"/>
          <w:color w:val="000000" w:themeColor="text1"/>
          <w:lang w:val="en-GB"/>
        </w:rPr>
        <w:t>1. Regression analysis comparing the contribution of Self-reported and physiological arousal</w:t>
      </w:r>
    </w:p>
    <w:p w14:paraId="19B54609" w14:textId="15105F69" w:rsidR="00B608BD" w:rsidRPr="00BC28B1" w:rsidRDefault="00B608BD" w:rsidP="00B608BD">
      <w:pPr>
        <w:spacing w:line="480" w:lineRule="auto"/>
        <w:ind w:firstLine="708"/>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To explore the added value of identifying mechanisms underlying worker performance, we employed Hayes’ PROCESS macro. We ran model 6 with two mediators in </w:t>
      </w:r>
      <w:r w:rsidRPr="00BC28B1">
        <w:rPr>
          <w:rFonts w:ascii="Times New Roman" w:hAnsi="Times New Roman" w:cs="Times New Roman"/>
          <w:color w:val="000000" w:themeColor="text1"/>
          <w:lang w:val="en-GB"/>
        </w:rPr>
        <w:lastRenderedPageBreak/>
        <w:t xml:space="preserve">PROCESS v4.1 with 10,000 bootstrap samples. We included the workplace manipulation as the independent variable; cortical activity and perceived self-reported fluency as sequential mediators; and error rate as the dependent variable. A significant indirect effect was observed (indirect effect = - 0.601, BootSE = 0.491, 95% BCBCI [-1.868, -0.004]). Both mediators displayed significant effects. Specifically, condition C increased the cortical activity during the task (b = 0.487, SE = 0.182, t = 2.678, p = .010), which subsequently improved perceived fluency (b = 0.583, SE = 0.222, t = 2.638, p = .012), leading to reduced error rates (b = -2.116, SE = 0.73, t = -2.899, p = .006). No other significant effects were noted. These findings validate a mediation process where task sequence complexity affects physiological responses, which then influence self-reported and ultimately operational performance. The related path model is shown in Figure </w:t>
      </w:r>
      <w:r w:rsidR="00D525C8" w:rsidRPr="00BC28B1">
        <w:rPr>
          <w:rFonts w:ascii="Times New Roman" w:hAnsi="Times New Roman" w:cs="Times New Roman"/>
          <w:color w:val="000000" w:themeColor="text1"/>
          <w:lang w:val="en-GB"/>
        </w:rPr>
        <w:t>A</w:t>
      </w:r>
      <w:r w:rsidRPr="00BC28B1">
        <w:rPr>
          <w:rFonts w:ascii="Times New Roman" w:hAnsi="Times New Roman" w:cs="Times New Roman"/>
          <w:color w:val="000000" w:themeColor="text1"/>
          <w:lang w:val="en-GB"/>
        </w:rPr>
        <w:t>3. Although the results are preliminary and the interpretation of physiological responses requires careful consideration, they support the hypothesis that physiological responses can effectively serve as mediating variables to explain the mechanisms underlying workers' performance.</w:t>
      </w:r>
    </w:p>
    <w:p w14:paraId="5A4C7BA5" w14:textId="77777777" w:rsidR="00B608BD" w:rsidRPr="00BC28B1" w:rsidRDefault="00B608BD" w:rsidP="00B608BD">
      <w:pPr>
        <w:spacing w:line="480" w:lineRule="auto"/>
        <w:ind w:firstLine="708"/>
        <w:rPr>
          <w:rFonts w:ascii="Times New Roman" w:hAnsi="Times New Roman" w:cs="Times New Roman"/>
          <w:color w:val="000000" w:themeColor="text1"/>
          <w:lang w:val="en-GB"/>
        </w:rPr>
      </w:pPr>
    </w:p>
    <w:p w14:paraId="43304182" w14:textId="77777777" w:rsidR="00B608BD" w:rsidRPr="00BC28B1" w:rsidRDefault="00B608BD" w:rsidP="00B608BD">
      <w:pPr>
        <w:rPr>
          <w:rFonts w:ascii="Times New Roman" w:hAnsi="Times New Roman" w:cs="Times New Roman"/>
          <w:color w:val="000000" w:themeColor="text1"/>
          <w:lang w:val="en-GB"/>
        </w:rPr>
      </w:pPr>
      <w:r w:rsidRPr="00BC28B1">
        <w:rPr>
          <w:noProof/>
          <w:color w:val="000000" w:themeColor="text1"/>
        </w:rPr>
        <w:drawing>
          <wp:inline distT="0" distB="0" distL="0" distR="0" wp14:anchorId="45CA7522" wp14:editId="02FC6EC6">
            <wp:extent cx="5760382" cy="1996440"/>
            <wp:effectExtent l="0" t="0" r="0" b="3810"/>
            <wp:docPr id="221975816" name="Picture 13" descr="A black screen with whit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75816" name="Picture 13" descr="A black screen with white squar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60382" cy="1996440"/>
                    </a:xfrm>
                    <a:prstGeom prst="rect">
                      <a:avLst/>
                    </a:prstGeom>
                  </pic:spPr>
                </pic:pic>
              </a:graphicData>
            </a:graphic>
          </wp:inline>
        </w:drawing>
      </w:r>
    </w:p>
    <w:p w14:paraId="2D4DE687" w14:textId="5B7A39A2" w:rsidR="00B608BD" w:rsidRPr="008117AA" w:rsidRDefault="00B608BD" w:rsidP="00B608BD">
      <w:pPr>
        <w:rPr>
          <w:rFonts w:ascii="Times New Roman" w:hAnsi="Times New Roman" w:cs="Times New Roman"/>
          <w:lang w:val="en-GB"/>
        </w:rPr>
      </w:pPr>
      <w:r w:rsidRPr="008117AA">
        <w:rPr>
          <w:rFonts w:ascii="Times New Roman" w:hAnsi="Times New Roman" w:cs="Times New Roman"/>
          <w:lang w:val="en-GB"/>
        </w:rPr>
        <w:t xml:space="preserve">Figure </w:t>
      </w:r>
      <w:r w:rsidR="00D525C8" w:rsidRPr="008117AA">
        <w:rPr>
          <w:rFonts w:ascii="Times New Roman" w:hAnsi="Times New Roman" w:cs="Times New Roman"/>
          <w:lang w:val="en-GB"/>
        </w:rPr>
        <w:t>A</w:t>
      </w:r>
      <w:r w:rsidRPr="008117AA">
        <w:rPr>
          <w:rFonts w:ascii="Times New Roman" w:hAnsi="Times New Roman" w:cs="Times New Roman"/>
          <w:lang w:val="en-GB"/>
        </w:rPr>
        <w:t xml:space="preserve">3. </w:t>
      </w:r>
      <w:r w:rsidRPr="008117AA">
        <w:rPr>
          <w:rFonts w:ascii="Times New Roman" w:eastAsia="Times New Roman" w:hAnsi="Times New Roman" w:cs="Times New Roman"/>
          <w:lang w:val="en-US"/>
        </w:rPr>
        <w:t>Path model testing the effects of task sequency complexity on error rate</w:t>
      </w:r>
      <w:r w:rsidR="00643FA0" w:rsidRPr="008117AA">
        <w:rPr>
          <w:rFonts w:ascii="Times New Roman" w:eastAsia="Times New Roman" w:hAnsi="Times New Roman" w:cs="Times New Roman"/>
          <w:lang w:val="en-US"/>
        </w:rPr>
        <w:t xml:space="preserve">. Source: Authors’ </w:t>
      </w:r>
      <w:proofErr w:type="gramStart"/>
      <w:r w:rsidR="00643FA0" w:rsidRPr="008117AA">
        <w:rPr>
          <w:rFonts w:ascii="Times New Roman" w:eastAsia="Times New Roman" w:hAnsi="Times New Roman" w:cs="Times New Roman"/>
          <w:lang w:val="en-US"/>
        </w:rPr>
        <w:t>own</w:t>
      </w:r>
      <w:proofErr w:type="gramEnd"/>
      <w:r w:rsidR="00643FA0" w:rsidRPr="008117AA">
        <w:rPr>
          <w:rFonts w:ascii="Times New Roman" w:eastAsia="Times New Roman" w:hAnsi="Times New Roman" w:cs="Times New Roman"/>
          <w:lang w:val="en-US"/>
        </w:rPr>
        <w:t xml:space="preserve"> elaboration</w:t>
      </w:r>
    </w:p>
    <w:p w14:paraId="20919BC4" w14:textId="77777777" w:rsidR="00B608BD" w:rsidRPr="00BC28B1" w:rsidRDefault="00B608BD" w:rsidP="00B608BD">
      <w:pPr>
        <w:spacing w:line="480" w:lineRule="auto"/>
        <w:rPr>
          <w:rFonts w:ascii="Times New Roman" w:hAnsi="Times New Roman" w:cs="Times New Roman"/>
          <w:color w:val="000000" w:themeColor="text1"/>
          <w:lang w:val="en-GB"/>
        </w:rPr>
      </w:pPr>
    </w:p>
    <w:p w14:paraId="0D117610" w14:textId="77777777" w:rsidR="00B608BD" w:rsidRPr="00BC28B1" w:rsidRDefault="00B608BD" w:rsidP="00B608BD">
      <w:pPr>
        <w:spacing w:after="0"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lastRenderedPageBreak/>
        <w:t xml:space="preserve">Third, the study explored the feasibility of real-time, continuous monitoring of cardiac and cortical data during the session. We evaluated the consistency of signal quality for both cardiac and cortical measurements, alongside any discomfort reported by participants. Regarding cardiac signals, the average of RR intervals corrected per block was 13.5 (SD = 27.6) and the average percentage corrected per participant was 1.42%. Only three blocks from the same individual exhibited significant noise, yielding less than five continuous minutes of usable data, and were consequently excluded from the analysis. These results align well with, and even surpass, previous findings on cardiac signal quality in standing and motion conditions (Gilgen-Ammann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2019), confirming the feasibility of real-time, continuous monitoring of cardiac responses. Regarding cortical signals, an average of 3.46 channels were identified as bad across participants (SD=1.70). Four participants had to be excluded from analysis due to insufficient data quality based on exclusion criteria. From the remaining participants, 93.15% of the data was used on average for further analysis (SD=3.09). 93.49% of the remaining sequences across participants contained alpha peaks (SD=7.08) usable for analysis. The percentage of acceptable data is in line with previous investigations using EEG in a standing position with simple tasks (Kerick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xml:space="preserve">, 2009; Scanlon </w:t>
      </w:r>
      <w:r w:rsidRPr="00BC28B1">
        <w:rPr>
          <w:rFonts w:ascii="Times New Roman" w:hAnsi="Times New Roman" w:cs="Times New Roman"/>
          <w:i/>
          <w:iCs/>
          <w:color w:val="000000" w:themeColor="text1"/>
          <w:lang w:val="en-GB"/>
        </w:rPr>
        <w:t>et al.</w:t>
      </w:r>
      <w:r w:rsidRPr="00BC28B1">
        <w:rPr>
          <w:rFonts w:ascii="Times New Roman" w:hAnsi="Times New Roman" w:cs="Times New Roman"/>
          <w:color w:val="000000" w:themeColor="text1"/>
          <w:lang w:val="en-GB"/>
        </w:rPr>
        <w:t>, 2021). We conclude that mobile EEG is suitable for continuous recording of cortical activity. Although this pilot study was confined to a single setting, the results support the hypothesis that neurobiological responses can be continuously measured during operational tasks lasting more than 30 minutes.</w:t>
      </w:r>
    </w:p>
    <w:p w14:paraId="06A2D272" w14:textId="77777777" w:rsidR="00770825" w:rsidRPr="00BC28B1" w:rsidRDefault="00770825">
      <w:pPr>
        <w:rPr>
          <w:color w:val="000000" w:themeColor="text1"/>
          <w:lang w:val="en-GB"/>
        </w:rPr>
      </w:pPr>
    </w:p>
    <w:p w14:paraId="528E12BE" w14:textId="29B49396" w:rsidR="00D525C8" w:rsidRPr="00BC28B1" w:rsidRDefault="00D525C8">
      <w:pPr>
        <w:rPr>
          <w:color w:val="000000" w:themeColor="text1"/>
          <w:lang w:val="en-GB"/>
        </w:rPr>
      </w:pPr>
      <w:r w:rsidRPr="00BC28B1">
        <w:rPr>
          <w:color w:val="000000" w:themeColor="text1"/>
          <w:lang w:val="en-GB"/>
        </w:rPr>
        <w:br w:type="page"/>
      </w:r>
    </w:p>
    <w:p w14:paraId="4015FFBD" w14:textId="77777777" w:rsidR="00D525C8" w:rsidRPr="00BC28B1" w:rsidRDefault="00D525C8" w:rsidP="00D525C8">
      <w:pPr>
        <w:spacing w:line="480" w:lineRule="auto"/>
        <w:rPr>
          <w:rFonts w:ascii="Times New Roman" w:hAnsi="Times New Roman" w:cs="Times New Roman"/>
          <w:b/>
          <w:bCs/>
          <w:color w:val="000000" w:themeColor="text1"/>
          <w:lang w:val="en-GB"/>
        </w:rPr>
      </w:pPr>
      <w:r w:rsidRPr="00BC28B1">
        <w:rPr>
          <w:rFonts w:ascii="Times New Roman" w:hAnsi="Times New Roman" w:cs="Times New Roman"/>
          <w:b/>
          <w:bCs/>
          <w:noProof/>
          <w:color w:val="000000" w:themeColor="text1"/>
          <w:lang w:val="en-GB"/>
        </w:rPr>
        <w:lastRenderedPageBreak/>
        <w:drawing>
          <wp:inline distT="0" distB="0" distL="0" distR="0" wp14:anchorId="7A67BB5F" wp14:editId="788C190E">
            <wp:extent cx="5181600" cy="8182890"/>
            <wp:effectExtent l="0" t="0" r="0" b="8890"/>
            <wp:docPr id="2127713866" name="Picture 15" descr="A page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13866" name="Picture 15" descr="A page of a book&#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3485" cy="8201660"/>
                    </a:xfrm>
                    <a:prstGeom prst="rect">
                      <a:avLst/>
                    </a:prstGeom>
                    <a:noFill/>
                    <a:ln>
                      <a:noFill/>
                    </a:ln>
                  </pic:spPr>
                </pic:pic>
              </a:graphicData>
            </a:graphic>
          </wp:inline>
        </w:drawing>
      </w:r>
    </w:p>
    <w:p w14:paraId="2700C78F" w14:textId="77777777" w:rsidR="00D525C8" w:rsidRPr="00BC28B1" w:rsidRDefault="00D525C8" w:rsidP="00D525C8">
      <w:pPr>
        <w:spacing w:line="480" w:lineRule="auto"/>
        <w:rPr>
          <w:rFonts w:ascii="Times New Roman" w:hAnsi="Times New Roman" w:cs="Times New Roman"/>
          <w:b/>
          <w:bCs/>
          <w:color w:val="000000" w:themeColor="text1"/>
          <w:lang w:val="en-GB"/>
        </w:rPr>
      </w:pPr>
      <w:r w:rsidRPr="00BC28B1">
        <w:rPr>
          <w:rFonts w:ascii="Times New Roman" w:hAnsi="Times New Roman" w:cs="Times New Roman"/>
          <w:b/>
          <w:bCs/>
          <w:noProof/>
          <w:color w:val="000000" w:themeColor="text1"/>
          <w:lang w:val="en-GB"/>
        </w:rPr>
        <w:lastRenderedPageBreak/>
        <w:drawing>
          <wp:inline distT="0" distB="0" distL="0" distR="0" wp14:anchorId="31AA1D81" wp14:editId="2F71F464">
            <wp:extent cx="5238750" cy="7726810"/>
            <wp:effectExtent l="0" t="0" r="0" b="7620"/>
            <wp:docPr id="1236806615" name="Picture 16" descr="A page of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06615" name="Picture 16" descr="A page of a toy&#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7612" cy="7739880"/>
                    </a:xfrm>
                    <a:prstGeom prst="rect">
                      <a:avLst/>
                    </a:prstGeom>
                    <a:noFill/>
                    <a:ln>
                      <a:noFill/>
                    </a:ln>
                  </pic:spPr>
                </pic:pic>
              </a:graphicData>
            </a:graphic>
          </wp:inline>
        </w:drawing>
      </w:r>
    </w:p>
    <w:p w14:paraId="63F480E1" w14:textId="259F98D5" w:rsidR="00D525C8" w:rsidRPr="00BC28B1" w:rsidRDefault="00D525C8" w:rsidP="00D525C8">
      <w:pPr>
        <w:spacing w:line="480" w:lineRule="auto"/>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Figure A4. Assembly steps and instructions for </w:t>
      </w:r>
      <w:r w:rsidRPr="008117AA">
        <w:rPr>
          <w:rFonts w:ascii="Times New Roman" w:hAnsi="Times New Roman" w:cs="Times New Roman"/>
          <w:lang w:val="en-GB"/>
        </w:rPr>
        <w:t>each valve</w:t>
      </w:r>
      <w:r w:rsidR="00643FA0" w:rsidRPr="008117AA">
        <w:rPr>
          <w:rFonts w:ascii="Times New Roman" w:hAnsi="Times New Roman" w:cs="Times New Roman"/>
          <w:lang w:val="en-GB"/>
        </w:rPr>
        <w:t xml:space="preserve">. </w:t>
      </w:r>
      <w:r w:rsidR="00643FA0" w:rsidRPr="008117AA">
        <w:rPr>
          <w:rFonts w:ascii="Times New Roman" w:eastAsia="Times New Roman" w:hAnsi="Times New Roman" w:cs="Times New Roman"/>
          <w:lang w:val="en-US"/>
        </w:rPr>
        <w:t xml:space="preserve">Source: Authors’ </w:t>
      </w:r>
      <w:proofErr w:type="gramStart"/>
      <w:r w:rsidR="00643FA0" w:rsidRPr="008117AA">
        <w:rPr>
          <w:rFonts w:ascii="Times New Roman" w:eastAsia="Times New Roman" w:hAnsi="Times New Roman" w:cs="Times New Roman"/>
          <w:lang w:val="en-US"/>
        </w:rPr>
        <w:t>own</w:t>
      </w:r>
      <w:proofErr w:type="gramEnd"/>
      <w:r w:rsidR="00643FA0" w:rsidRPr="008117AA">
        <w:rPr>
          <w:rFonts w:ascii="Times New Roman" w:eastAsia="Times New Roman" w:hAnsi="Times New Roman" w:cs="Times New Roman"/>
          <w:lang w:val="en-US"/>
        </w:rPr>
        <w:t xml:space="preserve"> elaboration</w:t>
      </w:r>
    </w:p>
    <w:p w14:paraId="36011FF7" w14:textId="77777777" w:rsidR="00D525C8" w:rsidRPr="00BC28B1" w:rsidRDefault="00D525C8" w:rsidP="00D525C8">
      <w:pPr>
        <w:spacing w:line="480" w:lineRule="auto"/>
        <w:rPr>
          <w:rFonts w:ascii="Times New Roman" w:hAnsi="Times New Roman" w:cs="Times New Roman"/>
          <w:color w:val="000000" w:themeColor="text1"/>
          <w:lang w:val="en-GB"/>
        </w:rPr>
      </w:pPr>
    </w:p>
    <w:p w14:paraId="6434139B" w14:textId="77777777" w:rsidR="00D525C8" w:rsidRPr="00BC28B1" w:rsidRDefault="00D525C8" w:rsidP="00BC28B1">
      <w:pPr>
        <w:spacing w:after="0" w:line="480" w:lineRule="auto"/>
        <w:rPr>
          <w:rFonts w:ascii="Times New Roman" w:hAnsi="Times New Roman" w:cs="Times New Roman"/>
          <w:color w:val="000000" w:themeColor="text1"/>
          <w:lang w:val="en-GB"/>
        </w:rPr>
      </w:pPr>
      <w:r w:rsidRPr="00BC28B1">
        <w:rPr>
          <w:rFonts w:ascii="Times New Roman" w:hAnsi="Times New Roman" w:cs="Times New Roman"/>
          <w:noProof/>
          <w:color w:val="000000" w:themeColor="text1"/>
        </w:rPr>
        <w:lastRenderedPageBreak/>
        <w:drawing>
          <wp:inline distT="0" distB="0" distL="0" distR="0" wp14:anchorId="763BBF56" wp14:editId="79C3D959">
            <wp:extent cx="1845065" cy="3448050"/>
            <wp:effectExtent l="0" t="0" r="3175" b="0"/>
            <wp:docPr id="9" name="Picture 8" descr="A close-up of a mechanical valve&#10;&#10;Description automatically generated">
              <a:extLst xmlns:a="http://schemas.openxmlformats.org/drawingml/2006/main">
                <a:ext uri="{FF2B5EF4-FFF2-40B4-BE49-F238E27FC236}">
                  <a16:creationId xmlns:a16="http://schemas.microsoft.com/office/drawing/2014/main" id="{5A867F6E-9E76-3733-1B64-E9AE6104E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up of a mechanical valve&#10;&#10;Description automatically generated">
                      <a:extLst>
                        <a:ext uri="{FF2B5EF4-FFF2-40B4-BE49-F238E27FC236}">
                          <a16:creationId xmlns:a16="http://schemas.microsoft.com/office/drawing/2014/main" id="{5A867F6E-9E76-3733-1B64-E9AE6104E8D6}"/>
                        </a:ext>
                      </a:extLst>
                    </pic:cNvPr>
                    <pic:cNvPicPr>
                      <a:picLocks noChangeAspect="1"/>
                    </pic:cNvPicPr>
                  </pic:nvPicPr>
                  <pic:blipFill>
                    <a:blip r:embed="rId10"/>
                    <a:stretch>
                      <a:fillRect/>
                    </a:stretch>
                  </pic:blipFill>
                  <pic:spPr>
                    <a:xfrm>
                      <a:off x="0" y="0"/>
                      <a:ext cx="1865266" cy="3485802"/>
                    </a:xfrm>
                    <a:prstGeom prst="rect">
                      <a:avLst/>
                    </a:prstGeom>
                  </pic:spPr>
                </pic:pic>
              </a:graphicData>
            </a:graphic>
          </wp:inline>
        </w:drawing>
      </w:r>
    </w:p>
    <w:p w14:paraId="3CE10916" w14:textId="7060487E" w:rsidR="00D525C8" w:rsidRPr="00BC28B1" w:rsidRDefault="00D525C8" w:rsidP="00D525C8">
      <w:pPr>
        <w:spacing w:line="480" w:lineRule="auto"/>
        <w:rPr>
          <w:rFonts w:ascii="Times New Roman" w:hAnsi="Times New Roman" w:cs="Times New Roman"/>
          <w:color w:val="000000" w:themeColor="text1"/>
          <w:lang w:val="en-GB"/>
        </w:rPr>
      </w:pPr>
      <w:r w:rsidRPr="008117AA">
        <w:rPr>
          <w:rFonts w:ascii="Times New Roman" w:hAnsi="Times New Roman" w:cs="Times New Roman"/>
          <w:lang w:val="en-GB"/>
        </w:rPr>
        <w:t>Figure A5. Assembly product in shape of a valve</w:t>
      </w:r>
      <w:r w:rsidR="00643FA0" w:rsidRPr="008117AA">
        <w:rPr>
          <w:rFonts w:ascii="Times New Roman" w:hAnsi="Times New Roman" w:cs="Times New Roman"/>
          <w:lang w:val="en-GB"/>
        </w:rPr>
        <w:t xml:space="preserve">. </w:t>
      </w:r>
      <w:r w:rsidR="00643FA0" w:rsidRPr="008117AA">
        <w:rPr>
          <w:rFonts w:ascii="Times New Roman" w:eastAsia="Times New Roman" w:hAnsi="Times New Roman" w:cs="Times New Roman"/>
          <w:lang w:val="en-US"/>
        </w:rPr>
        <w:t xml:space="preserve">Source: Authors’ </w:t>
      </w:r>
      <w:proofErr w:type="gramStart"/>
      <w:r w:rsidR="00643FA0" w:rsidRPr="008117AA">
        <w:rPr>
          <w:rFonts w:ascii="Times New Roman" w:eastAsia="Times New Roman" w:hAnsi="Times New Roman" w:cs="Times New Roman"/>
          <w:lang w:val="en-US"/>
        </w:rPr>
        <w:t>own</w:t>
      </w:r>
      <w:proofErr w:type="gramEnd"/>
      <w:r w:rsidR="00643FA0" w:rsidRPr="008117AA">
        <w:rPr>
          <w:rFonts w:ascii="Times New Roman" w:eastAsia="Times New Roman" w:hAnsi="Times New Roman" w:cs="Times New Roman"/>
          <w:lang w:val="en-US"/>
        </w:rPr>
        <w:t xml:space="preserve"> elaboration</w:t>
      </w:r>
    </w:p>
    <w:p w14:paraId="3D349506" w14:textId="77777777" w:rsidR="00BC28B1" w:rsidRDefault="00BC28B1" w:rsidP="00456F30">
      <w:pPr>
        <w:spacing w:after="0" w:line="480" w:lineRule="auto"/>
        <w:rPr>
          <w:rFonts w:ascii="Times New Roman" w:hAnsi="Times New Roman" w:cs="Times New Roman"/>
          <w:b/>
          <w:bCs/>
          <w:color w:val="000000" w:themeColor="text1"/>
          <w:lang w:val="en-GB"/>
        </w:rPr>
      </w:pPr>
    </w:p>
    <w:p w14:paraId="02F57E2A" w14:textId="722CD6AD" w:rsidR="00456F30" w:rsidRPr="00BC28B1" w:rsidRDefault="00456F30" w:rsidP="00456F30">
      <w:pPr>
        <w:spacing w:after="0" w:line="480" w:lineRule="auto"/>
        <w:rPr>
          <w:rFonts w:ascii="Times New Roman" w:hAnsi="Times New Roman" w:cs="Times New Roman"/>
          <w:b/>
          <w:bCs/>
          <w:color w:val="000000" w:themeColor="text1"/>
          <w:lang w:val="en-GB"/>
        </w:rPr>
      </w:pPr>
      <w:r w:rsidRPr="00BC28B1">
        <w:rPr>
          <w:rFonts w:ascii="Times New Roman" w:hAnsi="Times New Roman" w:cs="Times New Roman"/>
          <w:b/>
          <w:bCs/>
          <w:color w:val="000000" w:themeColor="text1"/>
          <w:lang w:val="en-GB"/>
        </w:rPr>
        <w:t>References for online appendix</w:t>
      </w:r>
    </w:p>
    <w:p w14:paraId="1EF5CF4D"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Bruccoleri, M., Cannella, S., and La Porta, G. (2014), “Inventory record inaccuracy in supply chains: the role of workers’ </w:t>
      </w:r>
      <w:proofErr w:type="spellStart"/>
      <w:r w:rsidRPr="00BC28B1">
        <w:rPr>
          <w:rFonts w:ascii="Times New Roman" w:hAnsi="Times New Roman" w:cs="Times New Roman"/>
          <w:color w:val="000000" w:themeColor="text1"/>
          <w:lang w:val="en-GB"/>
        </w:rPr>
        <w:t>behavior</w:t>
      </w:r>
      <w:proofErr w:type="spellEnd"/>
      <w:r w:rsidRPr="00BC28B1">
        <w:rPr>
          <w:rFonts w:ascii="Times New Roman" w:hAnsi="Times New Roman" w:cs="Times New Roman"/>
          <w:color w:val="000000" w:themeColor="text1"/>
          <w:lang w:val="en-GB"/>
        </w:rPr>
        <w:t>”. </w:t>
      </w:r>
      <w:r w:rsidRPr="00BC28B1">
        <w:rPr>
          <w:rFonts w:ascii="Times New Roman" w:hAnsi="Times New Roman" w:cs="Times New Roman"/>
          <w:i/>
          <w:iCs/>
          <w:color w:val="000000" w:themeColor="text1"/>
          <w:lang w:val="en-GB"/>
        </w:rPr>
        <w:t>International Journal of Physical Distribution and Logistics Management</w:t>
      </w:r>
      <w:r w:rsidRPr="00BC28B1">
        <w:rPr>
          <w:rFonts w:ascii="Times New Roman" w:hAnsi="Times New Roman" w:cs="Times New Roman"/>
          <w:color w:val="000000" w:themeColor="text1"/>
          <w:lang w:val="en-GB"/>
        </w:rPr>
        <w:t xml:space="preserve">, Vol. </w:t>
      </w:r>
      <w:r w:rsidRPr="00BC28B1">
        <w:rPr>
          <w:rFonts w:ascii="Times New Roman" w:hAnsi="Times New Roman" w:cs="Times New Roman"/>
          <w:i/>
          <w:iCs/>
          <w:color w:val="000000" w:themeColor="text1"/>
          <w:lang w:val="en-GB"/>
        </w:rPr>
        <w:t xml:space="preserve">44 No. </w:t>
      </w:r>
      <w:r w:rsidRPr="00BC28B1">
        <w:rPr>
          <w:rFonts w:ascii="Times New Roman" w:hAnsi="Times New Roman" w:cs="Times New Roman"/>
          <w:color w:val="000000" w:themeColor="text1"/>
          <w:lang w:val="en-GB"/>
        </w:rPr>
        <w:t>10, pp. 796-819. https://doi.org/10.1108/IJPDLM-09-2013-0240.</w:t>
      </w:r>
    </w:p>
    <w:p w14:paraId="571E7FBC" w14:textId="39E98ECA"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Delorme, A., and </w:t>
      </w:r>
      <w:proofErr w:type="spellStart"/>
      <w:r w:rsidRPr="00BC28B1">
        <w:rPr>
          <w:rFonts w:ascii="Times New Roman" w:hAnsi="Times New Roman" w:cs="Times New Roman"/>
          <w:color w:val="000000" w:themeColor="text1"/>
          <w:lang w:val="en-GB"/>
        </w:rPr>
        <w:t>Makeig</w:t>
      </w:r>
      <w:proofErr w:type="spellEnd"/>
      <w:r w:rsidRPr="00BC28B1">
        <w:rPr>
          <w:rFonts w:ascii="Times New Roman" w:hAnsi="Times New Roman" w:cs="Times New Roman"/>
          <w:color w:val="000000" w:themeColor="text1"/>
          <w:lang w:val="en-GB"/>
        </w:rPr>
        <w:t xml:space="preserve">, S. (2004). “EEGLAB: an </w:t>
      </w:r>
      <w:proofErr w:type="gramStart"/>
      <w:r w:rsidRPr="00BC28B1">
        <w:rPr>
          <w:rFonts w:ascii="Times New Roman" w:hAnsi="Times New Roman" w:cs="Times New Roman"/>
          <w:color w:val="000000" w:themeColor="text1"/>
          <w:lang w:val="en-GB"/>
        </w:rPr>
        <w:t>open source</w:t>
      </w:r>
      <w:proofErr w:type="gramEnd"/>
      <w:r w:rsidRPr="00BC28B1">
        <w:rPr>
          <w:rFonts w:ascii="Times New Roman" w:hAnsi="Times New Roman" w:cs="Times New Roman"/>
          <w:color w:val="000000" w:themeColor="text1"/>
          <w:lang w:val="en-GB"/>
        </w:rPr>
        <w:t xml:space="preserve"> toolbox for analysis of single-trial EEG dynamics including independent component analysis”, </w:t>
      </w:r>
      <w:r w:rsidRPr="00BC28B1">
        <w:rPr>
          <w:rFonts w:ascii="Times New Roman" w:hAnsi="Times New Roman" w:cs="Times New Roman"/>
          <w:i/>
          <w:iCs/>
          <w:color w:val="000000" w:themeColor="text1"/>
          <w:lang w:val="en-GB"/>
        </w:rPr>
        <w:t xml:space="preserve">Journal of </w:t>
      </w:r>
      <w:r w:rsidR="00BC28B1">
        <w:rPr>
          <w:rFonts w:ascii="Times New Roman" w:hAnsi="Times New Roman" w:cs="Times New Roman"/>
          <w:i/>
          <w:iCs/>
          <w:color w:val="000000" w:themeColor="text1"/>
          <w:lang w:val="en-GB"/>
        </w:rPr>
        <w:t>N</w:t>
      </w:r>
      <w:r w:rsidRPr="00BC28B1">
        <w:rPr>
          <w:rFonts w:ascii="Times New Roman" w:hAnsi="Times New Roman" w:cs="Times New Roman"/>
          <w:i/>
          <w:iCs/>
          <w:color w:val="000000" w:themeColor="text1"/>
          <w:lang w:val="en-GB"/>
        </w:rPr>
        <w:t xml:space="preserve">euroscience </w:t>
      </w:r>
      <w:r w:rsidR="00BC28B1">
        <w:rPr>
          <w:rFonts w:ascii="Times New Roman" w:hAnsi="Times New Roman" w:cs="Times New Roman"/>
          <w:i/>
          <w:iCs/>
          <w:color w:val="000000" w:themeColor="text1"/>
          <w:lang w:val="en-GB"/>
        </w:rPr>
        <w:t>M</w:t>
      </w:r>
      <w:r w:rsidRPr="00BC28B1">
        <w:rPr>
          <w:rFonts w:ascii="Times New Roman" w:hAnsi="Times New Roman" w:cs="Times New Roman"/>
          <w:i/>
          <w:iCs/>
          <w:color w:val="000000" w:themeColor="text1"/>
          <w:lang w:val="en-GB"/>
        </w:rPr>
        <w:t>ethods</w:t>
      </w:r>
      <w:r w:rsidRPr="00BC28B1">
        <w:rPr>
          <w:rFonts w:ascii="Times New Roman" w:hAnsi="Times New Roman" w:cs="Times New Roman"/>
          <w:color w:val="000000" w:themeColor="text1"/>
          <w:lang w:val="en-GB"/>
        </w:rPr>
        <w:t>, Vol. 134 No. 1, pp. 9-21.</w:t>
      </w:r>
      <w:r w:rsidR="00BC28B1">
        <w:rPr>
          <w:rFonts w:ascii="Times New Roman" w:hAnsi="Times New Roman" w:cs="Times New Roman"/>
          <w:color w:val="000000" w:themeColor="text1"/>
          <w:lang w:val="en-GB"/>
        </w:rPr>
        <w:t xml:space="preserve"> h</w:t>
      </w:r>
      <w:r w:rsidRPr="00BC28B1">
        <w:rPr>
          <w:rFonts w:ascii="Times New Roman" w:hAnsi="Times New Roman" w:cs="Times New Roman"/>
          <w:color w:val="000000" w:themeColor="text1"/>
          <w:lang w:val="en-GB"/>
        </w:rPr>
        <w:t>ttps://doi.org/10.1016/j.jneumeth.2003.10.009.</w:t>
      </w:r>
    </w:p>
    <w:p w14:paraId="48173A12" w14:textId="0C00C6A5"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Epel, E., Crosswell, A., Mayer, S., Prather, A., Slavich, G., </w:t>
      </w:r>
      <w:proofErr w:type="spellStart"/>
      <w:r w:rsidRPr="00BC28B1">
        <w:rPr>
          <w:rFonts w:ascii="Times New Roman" w:hAnsi="Times New Roman" w:cs="Times New Roman"/>
          <w:color w:val="000000" w:themeColor="text1"/>
          <w:lang w:val="en-GB"/>
        </w:rPr>
        <w:t>Puterman</w:t>
      </w:r>
      <w:proofErr w:type="spellEnd"/>
      <w:r w:rsidRPr="00BC28B1">
        <w:rPr>
          <w:rFonts w:ascii="Times New Roman" w:hAnsi="Times New Roman" w:cs="Times New Roman"/>
          <w:color w:val="000000" w:themeColor="text1"/>
          <w:lang w:val="en-GB"/>
        </w:rPr>
        <w:t>, E., and Mendes, W. (2018), “More than a feeling: A unified view of stress measurement for population science”, </w:t>
      </w:r>
      <w:r w:rsidRPr="00BC28B1">
        <w:rPr>
          <w:rFonts w:ascii="Times New Roman" w:hAnsi="Times New Roman" w:cs="Times New Roman"/>
          <w:i/>
          <w:iCs/>
          <w:color w:val="000000" w:themeColor="text1"/>
          <w:lang w:val="en-GB"/>
        </w:rPr>
        <w:t xml:space="preserve">Frontiers in </w:t>
      </w:r>
      <w:r w:rsidR="00BC28B1">
        <w:rPr>
          <w:rFonts w:ascii="Times New Roman" w:hAnsi="Times New Roman" w:cs="Times New Roman"/>
          <w:i/>
          <w:iCs/>
          <w:color w:val="000000" w:themeColor="text1"/>
          <w:lang w:val="en-GB"/>
        </w:rPr>
        <w:t>N</w:t>
      </w:r>
      <w:r w:rsidRPr="00BC28B1">
        <w:rPr>
          <w:rFonts w:ascii="Times New Roman" w:hAnsi="Times New Roman" w:cs="Times New Roman"/>
          <w:i/>
          <w:iCs/>
          <w:color w:val="000000" w:themeColor="text1"/>
          <w:lang w:val="en-GB"/>
        </w:rPr>
        <w:t>euroendocrinology</w:t>
      </w:r>
      <w:r w:rsidRPr="00BC28B1">
        <w:rPr>
          <w:rFonts w:ascii="Times New Roman" w:hAnsi="Times New Roman" w:cs="Times New Roman"/>
          <w:color w:val="000000" w:themeColor="text1"/>
          <w:lang w:val="en-GB"/>
        </w:rPr>
        <w:t>, Vol. 49, pp. 146-169. https://doi.org/10.1016/j.yfrne.2018.03.001.</w:t>
      </w:r>
    </w:p>
    <w:p w14:paraId="3E1B9829"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lastRenderedPageBreak/>
        <w:t>Gilgen-Ammann, R., Schweizer, T., &amp; Wyss, T. (2019), “RR interval signal quality of a heart rate monitor and an ECG Holter at rest and during exercise”. </w:t>
      </w:r>
      <w:r w:rsidRPr="00BC28B1">
        <w:rPr>
          <w:rFonts w:ascii="Times New Roman" w:hAnsi="Times New Roman" w:cs="Times New Roman"/>
          <w:i/>
          <w:iCs/>
          <w:color w:val="000000" w:themeColor="text1"/>
          <w:lang w:val="en-GB"/>
        </w:rPr>
        <w:t>European journal of applied physiology</w:t>
      </w:r>
      <w:r w:rsidRPr="00BC28B1">
        <w:rPr>
          <w:rFonts w:ascii="Times New Roman" w:hAnsi="Times New Roman" w:cs="Times New Roman"/>
          <w:color w:val="000000" w:themeColor="text1"/>
          <w:lang w:val="en-GB"/>
        </w:rPr>
        <w:t>, Vol. 119 No. 7, pp. 1525-1532. https://doi.org/10.1007/s00421-019-04142-5.</w:t>
      </w:r>
    </w:p>
    <w:p w14:paraId="43A92BA5"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Gualtieri, L., Fraboni, F., De Marchi, M. and Rauch, E. (2022), "Development and evaluation of design guidelines for cognitive ergonomics in human-robot collaborative assembly systems", </w:t>
      </w:r>
      <w:r w:rsidRPr="00BC28B1">
        <w:rPr>
          <w:rFonts w:ascii="Times New Roman" w:hAnsi="Times New Roman" w:cs="Times New Roman"/>
          <w:i/>
          <w:iCs/>
          <w:color w:val="000000" w:themeColor="text1"/>
          <w:lang w:val="en-GB"/>
        </w:rPr>
        <w:t>Applied Ergonomics</w:t>
      </w:r>
      <w:r w:rsidRPr="00BC28B1">
        <w:rPr>
          <w:rFonts w:ascii="Times New Roman" w:hAnsi="Times New Roman" w:cs="Times New Roman"/>
          <w:color w:val="000000" w:themeColor="text1"/>
          <w:lang w:val="en-GB"/>
        </w:rPr>
        <w:t>, Vol. 104. https://doi.org/10.1016/j.apergo.2022.103807.</w:t>
      </w:r>
    </w:p>
    <w:p w14:paraId="4BFC2F1C" w14:textId="0B16B62B"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Kerick, S., Oie, K., and McDowell, K. (2009), “Assessment of EEG signal quality in motion environments”, </w:t>
      </w:r>
      <w:r w:rsidRPr="00BC28B1">
        <w:rPr>
          <w:rFonts w:ascii="Times New Roman" w:hAnsi="Times New Roman" w:cs="Times New Roman"/>
          <w:i/>
          <w:iCs/>
          <w:color w:val="000000" w:themeColor="text1"/>
          <w:lang w:val="en-GB"/>
        </w:rPr>
        <w:t>Aberdeen Proving Ground: US Research Laboratory</w:t>
      </w:r>
      <w:r w:rsidR="00BC28B1">
        <w:rPr>
          <w:rFonts w:ascii="Times New Roman" w:hAnsi="Times New Roman" w:cs="Times New Roman"/>
          <w:i/>
          <w:iCs/>
          <w:color w:val="000000" w:themeColor="text1"/>
          <w:lang w:val="en-GB"/>
        </w:rPr>
        <w:t xml:space="preserve">, </w:t>
      </w:r>
      <w:r w:rsidRPr="00BC28B1">
        <w:rPr>
          <w:rFonts w:ascii="Times New Roman" w:hAnsi="Times New Roman" w:cs="Times New Roman"/>
          <w:i/>
          <w:iCs/>
          <w:color w:val="000000" w:themeColor="text1"/>
          <w:lang w:val="en-GB"/>
        </w:rPr>
        <w:t>No.: ARLTN-355</w:t>
      </w:r>
      <w:r w:rsidRPr="00BC28B1">
        <w:rPr>
          <w:rFonts w:ascii="Times New Roman" w:hAnsi="Times New Roman" w:cs="Times New Roman"/>
          <w:color w:val="000000" w:themeColor="text1"/>
          <w:lang w:val="en-GB"/>
        </w:rPr>
        <w:t>.</w:t>
      </w:r>
    </w:p>
    <w:p w14:paraId="24A81AAB"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Immanuel, S., Teferra, M., Baumert, M., and Bidargaddi, N. (2023), “Heart rate variability for evaluating psychological stress changes in healthy adults: a scoping review”, </w:t>
      </w:r>
      <w:proofErr w:type="spellStart"/>
      <w:r w:rsidRPr="00BC28B1">
        <w:rPr>
          <w:rFonts w:ascii="Times New Roman" w:hAnsi="Times New Roman" w:cs="Times New Roman"/>
          <w:i/>
          <w:iCs/>
          <w:color w:val="000000" w:themeColor="text1"/>
          <w:lang w:val="en-GB"/>
        </w:rPr>
        <w:t>Neuropsychobiology</w:t>
      </w:r>
      <w:proofErr w:type="spellEnd"/>
      <w:r w:rsidRPr="00BC28B1">
        <w:rPr>
          <w:rFonts w:ascii="Times New Roman" w:hAnsi="Times New Roman" w:cs="Times New Roman"/>
          <w:color w:val="000000" w:themeColor="text1"/>
          <w:lang w:val="en-GB"/>
        </w:rPr>
        <w:t xml:space="preserve">, Vol. </w:t>
      </w:r>
      <w:r w:rsidRPr="00BC28B1">
        <w:rPr>
          <w:rFonts w:ascii="Times New Roman" w:hAnsi="Times New Roman" w:cs="Times New Roman"/>
          <w:i/>
          <w:iCs/>
          <w:color w:val="000000" w:themeColor="text1"/>
          <w:lang w:val="en-GB"/>
        </w:rPr>
        <w:t xml:space="preserve">82 </w:t>
      </w:r>
      <w:r w:rsidRPr="00BC28B1">
        <w:rPr>
          <w:rFonts w:ascii="Times New Roman" w:hAnsi="Times New Roman" w:cs="Times New Roman"/>
          <w:color w:val="000000" w:themeColor="text1"/>
          <w:lang w:val="en-GB"/>
        </w:rPr>
        <w:t>No.</w:t>
      </w:r>
      <w:r w:rsidRPr="00BC28B1">
        <w:rPr>
          <w:rFonts w:ascii="Times New Roman" w:hAnsi="Times New Roman" w:cs="Times New Roman"/>
          <w:i/>
          <w:iCs/>
          <w:color w:val="000000" w:themeColor="text1"/>
          <w:lang w:val="en-GB"/>
        </w:rPr>
        <w:t xml:space="preserve"> </w:t>
      </w:r>
      <w:r w:rsidRPr="00BC28B1">
        <w:rPr>
          <w:rFonts w:ascii="Times New Roman" w:hAnsi="Times New Roman" w:cs="Times New Roman"/>
          <w:color w:val="000000" w:themeColor="text1"/>
          <w:lang w:val="en-GB"/>
        </w:rPr>
        <w:t>4, pp. 187-202. https://doi.org/10.1159/000530376.</w:t>
      </w:r>
    </w:p>
    <w:p w14:paraId="6013CF43"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Malik, M., Bigger, J.T., Camm, A.J., Kleiger, R.E., </w:t>
      </w:r>
      <w:proofErr w:type="spellStart"/>
      <w:r w:rsidRPr="00BC28B1">
        <w:rPr>
          <w:rFonts w:ascii="Times New Roman" w:hAnsi="Times New Roman" w:cs="Times New Roman"/>
          <w:color w:val="000000" w:themeColor="text1"/>
          <w:lang w:val="en-GB"/>
        </w:rPr>
        <w:t>Malliani</w:t>
      </w:r>
      <w:proofErr w:type="spellEnd"/>
      <w:r w:rsidRPr="00BC28B1">
        <w:rPr>
          <w:rFonts w:ascii="Times New Roman" w:hAnsi="Times New Roman" w:cs="Times New Roman"/>
          <w:color w:val="000000" w:themeColor="text1"/>
          <w:lang w:val="en-GB"/>
        </w:rPr>
        <w:t xml:space="preserve">, A., Moss, A.J. and Schwartz, P.J. (1996), "Heart rate variability: Standards of measurement, physiological interpretation, and clinical use", </w:t>
      </w:r>
      <w:r w:rsidRPr="00BC28B1">
        <w:rPr>
          <w:rFonts w:ascii="Times New Roman" w:hAnsi="Times New Roman" w:cs="Times New Roman"/>
          <w:i/>
          <w:iCs/>
          <w:color w:val="000000" w:themeColor="text1"/>
          <w:lang w:val="en-GB"/>
        </w:rPr>
        <w:t>European Heart Journal</w:t>
      </w:r>
      <w:r w:rsidRPr="00BC28B1">
        <w:rPr>
          <w:rFonts w:ascii="Times New Roman" w:hAnsi="Times New Roman" w:cs="Times New Roman"/>
          <w:color w:val="000000" w:themeColor="text1"/>
          <w:lang w:val="en-GB"/>
        </w:rPr>
        <w:t>, Vol. 17 No. 3, pp. 354-381. https://doi.org/10.1093/oxfordjournals.eurheartj.a014868.</w:t>
      </w:r>
    </w:p>
    <w:p w14:paraId="73031F91" w14:textId="01573AC9"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Mehrabian, A. and Russell, J.A. (1974), </w:t>
      </w:r>
      <w:r w:rsidRPr="00BC28B1">
        <w:rPr>
          <w:rFonts w:ascii="Times New Roman" w:hAnsi="Times New Roman" w:cs="Times New Roman"/>
          <w:i/>
          <w:iCs/>
          <w:color w:val="000000" w:themeColor="text1"/>
          <w:lang w:val="en-GB"/>
        </w:rPr>
        <w:t>An Approach to Environmental Psychology</w:t>
      </w:r>
      <w:r w:rsidRPr="00BC28B1">
        <w:rPr>
          <w:rFonts w:ascii="Times New Roman" w:hAnsi="Times New Roman" w:cs="Times New Roman"/>
          <w:color w:val="000000" w:themeColor="text1"/>
          <w:lang w:val="en-GB"/>
        </w:rPr>
        <w:t>, MIT Press.</w:t>
      </w:r>
    </w:p>
    <w:p w14:paraId="59DF02E6"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proofErr w:type="spellStart"/>
      <w:r w:rsidRPr="00BC28B1">
        <w:rPr>
          <w:rFonts w:ascii="Times New Roman" w:hAnsi="Times New Roman" w:cs="Times New Roman"/>
          <w:color w:val="000000" w:themeColor="text1"/>
          <w:lang w:val="en-GB"/>
        </w:rPr>
        <w:t>Rheinberg</w:t>
      </w:r>
      <w:proofErr w:type="spellEnd"/>
      <w:r w:rsidRPr="00BC28B1">
        <w:rPr>
          <w:rFonts w:ascii="Times New Roman" w:hAnsi="Times New Roman" w:cs="Times New Roman"/>
          <w:color w:val="000000" w:themeColor="text1"/>
          <w:lang w:val="en-GB"/>
        </w:rPr>
        <w:t xml:space="preserve">, F., </w:t>
      </w:r>
      <w:proofErr w:type="spellStart"/>
      <w:r w:rsidRPr="00BC28B1">
        <w:rPr>
          <w:rFonts w:ascii="Times New Roman" w:hAnsi="Times New Roman" w:cs="Times New Roman"/>
          <w:color w:val="000000" w:themeColor="text1"/>
          <w:lang w:val="en-GB"/>
        </w:rPr>
        <w:t>Vollmeyer</w:t>
      </w:r>
      <w:proofErr w:type="spellEnd"/>
      <w:r w:rsidRPr="00BC28B1">
        <w:rPr>
          <w:rFonts w:ascii="Times New Roman" w:hAnsi="Times New Roman" w:cs="Times New Roman"/>
          <w:color w:val="000000" w:themeColor="text1"/>
          <w:lang w:val="en-GB"/>
        </w:rPr>
        <w:t xml:space="preserve">, R. and </w:t>
      </w:r>
      <w:proofErr w:type="spellStart"/>
      <w:r w:rsidRPr="00BC28B1">
        <w:rPr>
          <w:rFonts w:ascii="Times New Roman" w:hAnsi="Times New Roman" w:cs="Times New Roman"/>
          <w:color w:val="000000" w:themeColor="text1"/>
          <w:lang w:val="en-GB"/>
        </w:rPr>
        <w:t>Engeser</w:t>
      </w:r>
      <w:proofErr w:type="spellEnd"/>
      <w:r w:rsidRPr="00BC28B1">
        <w:rPr>
          <w:rFonts w:ascii="Times New Roman" w:hAnsi="Times New Roman" w:cs="Times New Roman"/>
          <w:color w:val="000000" w:themeColor="text1"/>
          <w:lang w:val="en-GB"/>
        </w:rPr>
        <w:t xml:space="preserve">, S. (2003), "Flow Short Scale APA </w:t>
      </w:r>
      <w:proofErr w:type="spellStart"/>
      <w:r w:rsidRPr="00BC28B1">
        <w:rPr>
          <w:rFonts w:ascii="Times New Roman" w:hAnsi="Times New Roman" w:cs="Times New Roman"/>
          <w:color w:val="000000" w:themeColor="text1"/>
          <w:lang w:val="en-GB"/>
        </w:rPr>
        <w:t>PsycTests</w:t>
      </w:r>
      <w:proofErr w:type="spellEnd"/>
      <w:r w:rsidRPr="00BC28B1">
        <w:rPr>
          <w:rFonts w:ascii="Times New Roman" w:hAnsi="Times New Roman" w:cs="Times New Roman"/>
          <w:color w:val="000000" w:themeColor="text1"/>
          <w:lang w:val="en-GB"/>
        </w:rPr>
        <w:t>".</w:t>
      </w:r>
    </w:p>
    <w:p w14:paraId="5B7F09E5" w14:textId="77777777" w:rsidR="00456F30" w:rsidRPr="00BC28B1" w:rsidRDefault="00456F30" w:rsidP="00456F30">
      <w:pPr>
        <w:spacing w:after="0" w:line="480" w:lineRule="auto"/>
        <w:ind w:left="567" w:hanging="567"/>
        <w:rPr>
          <w:rFonts w:ascii="Times New Roman" w:hAnsi="Times New Roman" w:cs="Times New Roman"/>
          <w:color w:val="000000" w:themeColor="text1"/>
          <w:lang w:val="en-GB"/>
        </w:rPr>
      </w:pPr>
      <w:r w:rsidRPr="00BC28B1">
        <w:rPr>
          <w:rFonts w:ascii="Times New Roman" w:hAnsi="Times New Roman" w:cs="Times New Roman"/>
          <w:color w:val="000000" w:themeColor="text1"/>
          <w:lang w:val="en-GB"/>
        </w:rPr>
        <w:t xml:space="preserve">Scanlon, J., Jacobsen, N., Maack, M., and </w:t>
      </w:r>
      <w:proofErr w:type="spellStart"/>
      <w:r w:rsidRPr="00BC28B1">
        <w:rPr>
          <w:rFonts w:ascii="Times New Roman" w:hAnsi="Times New Roman" w:cs="Times New Roman"/>
          <w:color w:val="000000" w:themeColor="text1"/>
          <w:lang w:val="en-GB"/>
        </w:rPr>
        <w:t>Debener</w:t>
      </w:r>
      <w:proofErr w:type="spellEnd"/>
      <w:r w:rsidRPr="00BC28B1">
        <w:rPr>
          <w:rFonts w:ascii="Times New Roman" w:hAnsi="Times New Roman" w:cs="Times New Roman"/>
          <w:color w:val="000000" w:themeColor="text1"/>
          <w:lang w:val="en-GB"/>
        </w:rPr>
        <w:t>, S. (2021), “Does the electrode amplification style matter? A comparison of active and passive EEG system configurations during standing and walking”, </w:t>
      </w:r>
      <w:r w:rsidRPr="00BC28B1">
        <w:rPr>
          <w:rFonts w:ascii="Times New Roman" w:hAnsi="Times New Roman" w:cs="Times New Roman"/>
          <w:i/>
          <w:iCs/>
          <w:color w:val="000000" w:themeColor="text1"/>
          <w:lang w:val="en-GB"/>
        </w:rPr>
        <w:t>European Journal of Neuroscience</w:t>
      </w:r>
      <w:r w:rsidRPr="00BC28B1">
        <w:rPr>
          <w:rFonts w:ascii="Times New Roman" w:hAnsi="Times New Roman" w:cs="Times New Roman"/>
          <w:color w:val="000000" w:themeColor="text1"/>
          <w:lang w:val="en-GB"/>
        </w:rPr>
        <w:t>, Vol. 54 No. 12, pp. 8381-8395. https://doi.org/10.1111/ejn.15037.</w:t>
      </w:r>
    </w:p>
    <w:sectPr w:rsidR="00456F30" w:rsidRPr="00BC28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8BD"/>
    <w:rsid w:val="002E6533"/>
    <w:rsid w:val="004049A0"/>
    <w:rsid w:val="00456F30"/>
    <w:rsid w:val="004A7E03"/>
    <w:rsid w:val="004E0CE8"/>
    <w:rsid w:val="00583C76"/>
    <w:rsid w:val="00643FA0"/>
    <w:rsid w:val="00770825"/>
    <w:rsid w:val="008117AA"/>
    <w:rsid w:val="00903A7A"/>
    <w:rsid w:val="009F0A17"/>
    <w:rsid w:val="00B311C9"/>
    <w:rsid w:val="00B608BD"/>
    <w:rsid w:val="00BC28B1"/>
    <w:rsid w:val="00D07EE0"/>
    <w:rsid w:val="00D525C8"/>
    <w:rsid w:val="00DB1896"/>
    <w:rsid w:val="00EF6B47"/>
    <w:rsid w:val="00F47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15A6"/>
  <w15:chartTrackingRefBased/>
  <w15:docId w15:val="{506286FE-5262-45BA-85E8-981666B9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BD"/>
    <w:rPr>
      <w:lang w:val="de-DE"/>
    </w:rPr>
  </w:style>
  <w:style w:type="paragraph" w:styleId="Heading1">
    <w:name w:val="heading 1"/>
    <w:basedOn w:val="Normal"/>
    <w:next w:val="Normal"/>
    <w:link w:val="Heading1Char"/>
    <w:uiPriority w:val="9"/>
    <w:qFormat/>
    <w:rsid w:val="00B608BD"/>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B608BD"/>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B608BD"/>
    <w:pPr>
      <w:keepNext/>
      <w:keepLines/>
      <w:spacing w:before="160" w:after="80"/>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B608BD"/>
    <w:pPr>
      <w:keepNext/>
      <w:keepLines/>
      <w:spacing w:before="80" w:after="40"/>
      <w:outlineLvl w:val="3"/>
    </w:pPr>
    <w:rPr>
      <w:rFonts w:eastAsiaTheme="majorEastAsia"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B608BD"/>
    <w:pPr>
      <w:keepNext/>
      <w:keepLines/>
      <w:spacing w:before="80" w:after="40"/>
      <w:outlineLvl w:val="4"/>
    </w:pPr>
    <w:rPr>
      <w:rFonts w:eastAsiaTheme="majorEastAsia"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B608BD"/>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B608BD"/>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B608BD"/>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B608BD"/>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8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8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8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8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8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8BD"/>
    <w:rPr>
      <w:rFonts w:eastAsiaTheme="majorEastAsia" w:cstheme="majorBidi"/>
      <w:color w:val="272727" w:themeColor="text1" w:themeTint="D8"/>
    </w:rPr>
  </w:style>
  <w:style w:type="paragraph" w:styleId="Title">
    <w:name w:val="Title"/>
    <w:basedOn w:val="Normal"/>
    <w:next w:val="Normal"/>
    <w:link w:val="TitleChar"/>
    <w:uiPriority w:val="10"/>
    <w:qFormat/>
    <w:rsid w:val="00B608BD"/>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60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8BD"/>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B60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8BD"/>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B608BD"/>
    <w:rPr>
      <w:i/>
      <w:iCs/>
      <w:color w:val="404040" w:themeColor="text1" w:themeTint="BF"/>
    </w:rPr>
  </w:style>
  <w:style w:type="paragraph" w:styleId="ListParagraph">
    <w:name w:val="List Paragraph"/>
    <w:basedOn w:val="Normal"/>
    <w:uiPriority w:val="34"/>
    <w:qFormat/>
    <w:rsid w:val="00B608BD"/>
    <w:pPr>
      <w:ind w:left="720"/>
      <w:contextualSpacing/>
    </w:pPr>
    <w:rPr>
      <w:lang w:val="en-GB"/>
    </w:rPr>
  </w:style>
  <w:style w:type="character" w:styleId="IntenseEmphasis">
    <w:name w:val="Intense Emphasis"/>
    <w:basedOn w:val="DefaultParagraphFont"/>
    <w:uiPriority w:val="21"/>
    <w:qFormat/>
    <w:rsid w:val="00B608BD"/>
    <w:rPr>
      <w:i/>
      <w:iCs/>
      <w:color w:val="0F4761" w:themeColor="accent1" w:themeShade="BF"/>
    </w:rPr>
  </w:style>
  <w:style w:type="paragraph" w:styleId="IntenseQuote">
    <w:name w:val="Intense Quote"/>
    <w:basedOn w:val="Normal"/>
    <w:next w:val="Normal"/>
    <w:link w:val="IntenseQuoteChar"/>
    <w:uiPriority w:val="30"/>
    <w:qFormat/>
    <w:rsid w:val="00B60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IntenseQuoteChar">
    <w:name w:val="Intense Quote Char"/>
    <w:basedOn w:val="DefaultParagraphFont"/>
    <w:link w:val="IntenseQuote"/>
    <w:uiPriority w:val="30"/>
    <w:rsid w:val="00B608BD"/>
    <w:rPr>
      <w:i/>
      <w:iCs/>
      <w:color w:val="0F4761" w:themeColor="accent1" w:themeShade="BF"/>
    </w:rPr>
  </w:style>
  <w:style w:type="character" w:styleId="IntenseReference">
    <w:name w:val="Intense Reference"/>
    <w:basedOn w:val="DefaultParagraphFont"/>
    <w:uiPriority w:val="32"/>
    <w:qFormat/>
    <w:rsid w:val="00B608BD"/>
    <w:rPr>
      <w:b/>
      <w:bCs/>
      <w:smallCaps/>
      <w:color w:val="0F4761" w:themeColor="accent1" w:themeShade="BF"/>
      <w:spacing w:val="5"/>
    </w:rPr>
  </w:style>
  <w:style w:type="paragraph" w:styleId="Revision">
    <w:name w:val="Revision"/>
    <w:hidden/>
    <w:uiPriority w:val="99"/>
    <w:semiHidden/>
    <w:rsid w:val="00D07EE0"/>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2515</Words>
  <Characters>14338</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Mandolfo</dc:creator>
  <cp:keywords/>
  <dc:description/>
  <cp:lastModifiedBy>Marco Mandolfo</cp:lastModifiedBy>
  <cp:revision>7</cp:revision>
  <dcterms:created xsi:type="dcterms:W3CDTF">2025-08-12T09:30:00Z</dcterms:created>
  <dcterms:modified xsi:type="dcterms:W3CDTF">2025-12-02T15:34:00Z</dcterms:modified>
</cp:coreProperties>
</file>