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02421" w14:textId="78D083B8" w:rsidR="00683A62" w:rsidRPr="00567E07" w:rsidRDefault="0032481F" w:rsidP="00CD7D39">
      <w:pPr>
        <w:tabs>
          <w:tab w:val="left" w:pos="264"/>
          <w:tab w:val="center" w:pos="4680"/>
        </w:tabs>
        <w:spacing w:after="240"/>
        <w:jc w:val="center"/>
      </w:pPr>
      <w:bookmarkStart w:id="0" w:name="_Toc136522960"/>
      <w:r w:rsidRPr="0056220B">
        <w:rPr>
          <w:b/>
          <w:bCs/>
        </w:rPr>
        <w:t xml:space="preserve">SUPPLEMENTARY </w:t>
      </w:r>
      <w:r w:rsidRPr="00965D6A">
        <w:rPr>
          <w:b/>
          <w:bCs/>
        </w:rPr>
        <w:t>MATERIALS</w:t>
      </w:r>
      <w:r w:rsidR="00E95126" w:rsidRPr="00965D6A">
        <w:rPr>
          <w:b/>
          <w:bCs/>
        </w:rPr>
        <w:t xml:space="preserve"> </w:t>
      </w:r>
      <w:r w:rsidR="00E95126" w:rsidRPr="00567E07">
        <w:rPr>
          <w:b/>
          <w:bCs/>
        </w:rPr>
        <w:t>SECTION I</w:t>
      </w:r>
      <w:r w:rsidRPr="00567E07">
        <w:rPr>
          <w:b/>
          <w:bCs/>
        </w:rPr>
        <w:t>: RURAL/URBAN E-COMMERCE USE LITERATURE</w:t>
      </w:r>
    </w:p>
    <w:p w14:paraId="1F565622" w14:textId="2AB6859D" w:rsidR="002A5EBE" w:rsidRPr="00567E07" w:rsidRDefault="0032481F" w:rsidP="002A5EBE">
      <w:r w:rsidRPr="00567E07">
        <w:rPr>
          <w:b/>
          <w:bCs/>
        </w:rPr>
        <w:t>Table A.</w:t>
      </w:r>
      <w:r w:rsidR="002A5EBE" w:rsidRPr="00567E07">
        <w:t xml:space="preserve"> Empirical literature exploring the impact of rural-urban on </w:t>
      </w:r>
      <w:r w:rsidR="008C3E5E" w:rsidRPr="00567E07">
        <w:t xml:space="preserve">use of e-commerce </w:t>
      </w:r>
    </w:p>
    <w:tbl>
      <w:tblPr>
        <w:tblW w:w="12690" w:type="dxa"/>
        <w:tblCellMar>
          <w:top w:w="29" w:type="dxa"/>
          <w:left w:w="29" w:type="dxa"/>
          <w:bottom w:w="29" w:type="dxa"/>
          <w:right w:w="29" w:type="dxa"/>
        </w:tblCellMar>
        <w:tblLook w:val="04A0" w:firstRow="1" w:lastRow="0" w:firstColumn="1" w:lastColumn="0" w:noHBand="0" w:noVBand="1"/>
      </w:tblPr>
      <w:tblGrid>
        <w:gridCol w:w="964"/>
        <w:gridCol w:w="903"/>
        <w:gridCol w:w="1553"/>
        <w:gridCol w:w="1620"/>
        <w:gridCol w:w="1710"/>
        <w:gridCol w:w="1980"/>
        <w:gridCol w:w="2790"/>
        <w:gridCol w:w="1170"/>
      </w:tblGrid>
      <w:tr w:rsidR="00965D6A" w:rsidRPr="00965D6A" w14:paraId="052409B5" w14:textId="77777777" w:rsidTr="00683A62">
        <w:trPr>
          <w:trHeight w:val="460"/>
        </w:trPr>
        <w:tc>
          <w:tcPr>
            <w:tcW w:w="964" w:type="dxa"/>
            <w:tcBorders>
              <w:top w:val="single" w:sz="4" w:space="0" w:color="auto"/>
              <w:left w:val="nil"/>
              <w:bottom w:val="single" w:sz="4" w:space="0" w:color="auto"/>
              <w:right w:val="nil"/>
            </w:tcBorders>
            <w:vAlign w:val="center"/>
            <w:hideMark/>
          </w:tcPr>
          <w:p w14:paraId="4E332BD8" w14:textId="77777777" w:rsidR="002A5EBE" w:rsidRPr="00965D6A" w:rsidRDefault="002A5EBE" w:rsidP="00054FEA">
            <w:pPr>
              <w:jc w:val="center"/>
              <w:rPr>
                <w:rFonts w:eastAsia="Times New Roman" w:cs="Times New Roman"/>
                <w:b/>
                <w:bCs/>
                <w:sz w:val="20"/>
                <w:szCs w:val="20"/>
              </w:rPr>
            </w:pPr>
            <w:r w:rsidRPr="00965D6A">
              <w:rPr>
                <w:rFonts w:eastAsia="Times New Roman" w:cs="Times New Roman"/>
                <w:b/>
                <w:bCs/>
                <w:sz w:val="20"/>
                <w:szCs w:val="20"/>
              </w:rPr>
              <w:t>Citation</w:t>
            </w:r>
          </w:p>
        </w:tc>
        <w:tc>
          <w:tcPr>
            <w:tcW w:w="903" w:type="dxa"/>
            <w:tcBorders>
              <w:top w:val="single" w:sz="4" w:space="0" w:color="auto"/>
              <w:left w:val="nil"/>
              <w:bottom w:val="single" w:sz="4" w:space="0" w:color="auto"/>
              <w:right w:val="nil"/>
            </w:tcBorders>
            <w:vAlign w:val="center"/>
            <w:hideMark/>
          </w:tcPr>
          <w:p w14:paraId="1C25E0FA" w14:textId="77777777" w:rsidR="002A5EBE" w:rsidRPr="00965D6A" w:rsidRDefault="002A5EBE" w:rsidP="00054FEA">
            <w:pPr>
              <w:jc w:val="center"/>
              <w:rPr>
                <w:rFonts w:eastAsia="Times New Roman" w:cs="Times New Roman"/>
                <w:b/>
                <w:bCs/>
                <w:sz w:val="20"/>
                <w:szCs w:val="20"/>
              </w:rPr>
            </w:pPr>
            <w:r w:rsidRPr="00965D6A">
              <w:rPr>
                <w:rFonts w:eastAsia="Times New Roman" w:cs="Times New Roman"/>
                <w:b/>
                <w:bCs/>
                <w:sz w:val="20"/>
                <w:szCs w:val="20"/>
              </w:rPr>
              <w:t>Online shopping data type</w:t>
            </w:r>
          </w:p>
        </w:tc>
        <w:tc>
          <w:tcPr>
            <w:tcW w:w="1553" w:type="dxa"/>
            <w:tcBorders>
              <w:top w:val="single" w:sz="4" w:space="0" w:color="auto"/>
              <w:left w:val="nil"/>
              <w:bottom w:val="single" w:sz="4" w:space="0" w:color="auto"/>
              <w:right w:val="nil"/>
            </w:tcBorders>
            <w:vAlign w:val="center"/>
            <w:hideMark/>
          </w:tcPr>
          <w:p w14:paraId="743492AF" w14:textId="77777777" w:rsidR="002A5EBE" w:rsidRPr="00965D6A" w:rsidRDefault="002A5EBE" w:rsidP="00054FEA">
            <w:pPr>
              <w:jc w:val="center"/>
              <w:rPr>
                <w:rFonts w:eastAsia="Times New Roman" w:cs="Times New Roman"/>
                <w:b/>
                <w:bCs/>
                <w:sz w:val="20"/>
                <w:szCs w:val="20"/>
              </w:rPr>
            </w:pPr>
            <w:r w:rsidRPr="00965D6A">
              <w:rPr>
                <w:rFonts w:eastAsia="Times New Roman" w:cs="Times New Roman"/>
                <w:b/>
                <w:bCs/>
                <w:sz w:val="20"/>
                <w:szCs w:val="20"/>
              </w:rPr>
              <w:t>Perspective</w:t>
            </w:r>
          </w:p>
        </w:tc>
        <w:tc>
          <w:tcPr>
            <w:tcW w:w="1620" w:type="dxa"/>
            <w:tcBorders>
              <w:top w:val="single" w:sz="4" w:space="0" w:color="auto"/>
              <w:left w:val="nil"/>
              <w:bottom w:val="single" w:sz="4" w:space="0" w:color="auto"/>
              <w:right w:val="nil"/>
            </w:tcBorders>
            <w:vAlign w:val="center"/>
            <w:hideMark/>
          </w:tcPr>
          <w:p w14:paraId="1FEC48CD" w14:textId="77777777" w:rsidR="002A5EBE" w:rsidRPr="00965D6A" w:rsidRDefault="002A5EBE" w:rsidP="00054FEA">
            <w:pPr>
              <w:jc w:val="center"/>
              <w:rPr>
                <w:rFonts w:eastAsia="Times New Roman" w:cs="Times New Roman"/>
                <w:b/>
                <w:bCs/>
                <w:sz w:val="20"/>
                <w:szCs w:val="20"/>
              </w:rPr>
            </w:pPr>
            <w:r w:rsidRPr="00965D6A">
              <w:rPr>
                <w:rFonts w:eastAsia="Times New Roman" w:cs="Times New Roman"/>
                <w:b/>
                <w:bCs/>
                <w:sz w:val="20"/>
                <w:szCs w:val="20"/>
              </w:rPr>
              <w:t>Sample</w:t>
            </w:r>
          </w:p>
        </w:tc>
        <w:tc>
          <w:tcPr>
            <w:tcW w:w="1710" w:type="dxa"/>
            <w:tcBorders>
              <w:top w:val="single" w:sz="4" w:space="0" w:color="auto"/>
              <w:left w:val="nil"/>
              <w:bottom w:val="single" w:sz="4" w:space="0" w:color="auto"/>
              <w:right w:val="nil"/>
            </w:tcBorders>
            <w:vAlign w:val="center"/>
            <w:hideMark/>
          </w:tcPr>
          <w:p w14:paraId="46B19273" w14:textId="77777777" w:rsidR="002A5EBE" w:rsidRPr="00965D6A" w:rsidRDefault="002A5EBE" w:rsidP="00054FEA">
            <w:pPr>
              <w:jc w:val="center"/>
              <w:rPr>
                <w:rFonts w:eastAsia="Times New Roman" w:cs="Times New Roman"/>
                <w:b/>
                <w:bCs/>
                <w:sz w:val="20"/>
                <w:szCs w:val="20"/>
              </w:rPr>
            </w:pPr>
            <w:r w:rsidRPr="00965D6A">
              <w:rPr>
                <w:rFonts w:eastAsia="Times New Roman" w:cs="Times New Roman"/>
                <w:b/>
                <w:bCs/>
                <w:sz w:val="20"/>
                <w:szCs w:val="20"/>
              </w:rPr>
              <w:t>Measure of online shopping</w:t>
            </w:r>
          </w:p>
        </w:tc>
        <w:tc>
          <w:tcPr>
            <w:tcW w:w="1980" w:type="dxa"/>
            <w:tcBorders>
              <w:top w:val="single" w:sz="4" w:space="0" w:color="auto"/>
              <w:left w:val="nil"/>
              <w:bottom w:val="single" w:sz="4" w:space="0" w:color="auto"/>
              <w:right w:val="nil"/>
            </w:tcBorders>
            <w:vAlign w:val="center"/>
            <w:hideMark/>
          </w:tcPr>
          <w:p w14:paraId="254C258A" w14:textId="77777777" w:rsidR="002A5EBE" w:rsidRPr="00965D6A" w:rsidRDefault="002A5EBE" w:rsidP="00054FEA">
            <w:pPr>
              <w:jc w:val="center"/>
              <w:rPr>
                <w:rFonts w:eastAsia="Times New Roman" w:cs="Times New Roman"/>
                <w:b/>
                <w:bCs/>
                <w:sz w:val="20"/>
                <w:szCs w:val="20"/>
              </w:rPr>
            </w:pPr>
            <w:r w:rsidRPr="00965D6A">
              <w:rPr>
                <w:rFonts w:eastAsia="Times New Roman" w:cs="Times New Roman"/>
                <w:b/>
                <w:bCs/>
                <w:sz w:val="20"/>
                <w:szCs w:val="20"/>
              </w:rPr>
              <w:t>Measure of urban/rural</w:t>
            </w:r>
          </w:p>
        </w:tc>
        <w:tc>
          <w:tcPr>
            <w:tcW w:w="2790" w:type="dxa"/>
            <w:tcBorders>
              <w:top w:val="single" w:sz="4" w:space="0" w:color="auto"/>
              <w:left w:val="nil"/>
              <w:bottom w:val="single" w:sz="4" w:space="0" w:color="auto"/>
              <w:right w:val="nil"/>
            </w:tcBorders>
            <w:vAlign w:val="center"/>
            <w:hideMark/>
          </w:tcPr>
          <w:p w14:paraId="7548D7DA" w14:textId="77777777" w:rsidR="002A5EBE" w:rsidRPr="00965D6A" w:rsidRDefault="002A5EBE" w:rsidP="00054FEA">
            <w:pPr>
              <w:jc w:val="center"/>
              <w:rPr>
                <w:rFonts w:eastAsia="Times New Roman" w:cs="Times New Roman"/>
                <w:b/>
                <w:bCs/>
                <w:sz w:val="20"/>
                <w:szCs w:val="20"/>
              </w:rPr>
            </w:pPr>
            <w:r w:rsidRPr="00965D6A">
              <w:rPr>
                <w:rFonts w:eastAsia="Times New Roman" w:cs="Times New Roman"/>
                <w:b/>
                <w:bCs/>
                <w:sz w:val="20"/>
                <w:szCs w:val="20"/>
              </w:rPr>
              <w:t>Findings regarding e-commerce use in urban vs. rural areas</w:t>
            </w:r>
          </w:p>
        </w:tc>
        <w:tc>
          <w:tcPr>
            <w:tcW w:w="1170" w:type="dxa"/>
            <w:tcBorders>
              <w:top w:val="single" w:sz="4" w:space="0" w:color="auto"/>
              <w:left w:val="nil"/>
              <w:bottom w:val="single" w:sz="4" w:space="0" w:color="auto"/>
              <w:right w:val="nil"/>
            </w:tcBorders>
            <w:vAlign w:val="center"/>
          </w:tcPr>
          <w:p w14:paraId="068DB34B" w14:textId="77777777" w:rsidR="002A5EBE" w:rsidRPr="00965D6A" w:rsidRDefault="002A5EBE" w:rsidP="00054FEA">
            <w:pPr>
              <w:jc w:val="center"/>
              <w:rPr>
                <w:rFonts w:eastAsia="Times New Roman" w:cs="Times New Roman"/>
                <w:b/>
                <w:bCs/>
                <w:sz w:val="20"/>
                <w:szCs w:val="20"/>
              </w:rPr>
            </w:pPr>
            <w:r w:rsidRPr="00965D6A">
              <w:rPr>
                <w:rFonts w:eastAsia="Times New Roman" w:cs="Times New Roman"/>
                <w:b/>
                <w:bCs/>
                <w:sz w:val="20"/>
                <w:szCs w:val="20"/>
              </w:rPr>
              <w:t>Hypothesis supported</w:t>
            </w:r>
          </w:p>
        </w:tc>
      </w:tr>
      <w:tr w:rsidR="00965D6A" w:rsidRPr="00965D6A" w14:paraId="5127AB7A" w14:textId="77777777" w:rsidTr="00683A62">
        <w:trPr>
          <w:trHeight w:val="737"/>
        </w:trPr>
        <w:tc>
          <w:tcPr>
            <w:tcW w:w="964" w:type="dxa"/>
            <w:tcBorders>
              <w:top w:val="single" w:sz="4" w:space="0" w:color="auto"/>
              <w:left w:val="nil"/>
              <w:bottom w:val="nil"/>
              <w:right w:val="nil"/>
            </w:tcBorders>
            <w:hideMark/>
          </w:tcPr>
          <w:p w14:paraId="529526D7"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 xml:space="preserve">Farag </w:t>
            </w:r>
            <w:r w:rsidRPr="00965D6A">
              <w:rPr>
                <w:rFonts w:eastAsia="Times New Roman" w:cs="Times New Roman"/>
                <w:i/>
                <w:iCs/>
                <w:sz w:val="20"/>
                <w:szCs w:val="20"/>
              </w:rPr>
              <w:t>et al</w:t>
            </w:r>
            <w:r w:rsidRPr="00965D6A">
              <w:rPr>
                <w:rFonts w:eastAsia="Times New Roman" w:cs="Times New Roman"/>
                <w:sz w:val="20"/>
                <w:szCs w:val="20"/>
              </w:rPr>
              <w:t>. (2003)</w:t>
            </w:r>
          </w:p>
        </w:tc>
        <w:tc>
          <w:tcPr>
            <w:tcW w:w="903" w:type="dxa"/>
            <w:tcBorders>
              <w:top w:val="single" w:sz="4" w:space="0" w:color="auto"/>
              <w:left w:val="nil"/>
              <w:bottom w:val="nil"/>
              <w:right w:val="nil"/>
            </w:tcBorders>
            <w:hideMark/>
          </w:tcPr>
          <w:p w14:paraId="3EFFE7E3"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Survey</w:t>
            </w:r>
          </w:p>
        </w:tc>
        <w:tc>
          <w:tcPr>
            <w:tcW w:w="1553" w:type="dxa"/>
            <w:tcBorders>
              <w:top w:val="single" w:sz="4" w:space="0" w:color="auto"/>
              <w:left w:val="nil"/>
              <w:bottom w:val="nil"/>
              <w:right w:val="nil"/>
            </w:tcBorders>
            <w:hideMark/>
          </w:tcPr>
          <w:p w14:paraId="7A6FCAE0"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Cross-sectional</w:t>
            </w:r>
          </w:p>
        </w:tc>
        <w:tc>
          <w:tcPr>
            <w:tcW w:w="1620" w:type="dxa"/>
            <w:tcBorders>
              <w:top w:val="single" w:sz="4" w:space="0" w:color="auto"/>
              <w:left w:val="nil"/>
              <w:bottom w:val="nil"/>
              <w:right w:val="nil"/>
            </w:tcBorders>
            <w:hideMark/>
          </w:tcPr>
          <w:p w14:paraId="2DC6E44B"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Consumers in the Netherlands</w:t>
            </w:r>
          </w:p>
        </w:tc>
        <w:tc>
          <w:tcPr>
            <w:tcW w:w="1710" w:type="dxa"/>
            <w:tcBorders>
              <w:top w:val="single" w:sz="4" w:space="0" w:color="auto"/>
              <w:left w:val="nil"/>
              <w:bottom w:val="nil"/>
              <w:right w:val="nil"/>
            </w:tcBorders>
            <w:hideMark/>
          </w:tcPr>
          <w:p w14:paraId="4230E0E5"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Whether the consumer has shopped online</w:t>
            </w:r>
          </w:p>
        </w:tc>
        <w:tc>
          <w:tcPr>
            <w:tcW w:w="1980" w:type="dxa"/>
            <w:tcBorders>
              <w:top w:val="single" w:sz="4" w:space="0" w:color="auto"/>
              <w:left w:val="nil"/>
              <w:bottom w:val="nil"/>
              <w:right w:val="nil"/>
            </w:tcBorders>
            <w:hideMark/>
          </w:tcPr>
          <w:p w14:paraId="68308E40"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5 categories based on location in relation to urban area at focus</w:t>
            </w:r>
          </w:p>
        </w:tc>
        <w:tc>
          <w:tcPr>
            <w:tcW w:w="2790" w:type="dxa"/>
            <w:tcBorders>
              <w:top w:val="single" w:sz="4" w:space="0" w:color="auto"/>
              <w:left w:val="nil"/>
              <w:bottom w:val="nil"/>
              <w:right w:val="nil"/>
            </w:tcBorders>
            <w:hideMark/>
          </w:tcPr>
          <w:p w14:paraId="29CE1E05"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Consumers in less urbanized areas shopped online more than those in more urban areas.</w:t>
            </w:r>
          </w:p>
        </w:tc>
        <w:tc>
          <w:tcPr>
            <w:tcW w:w="1170" w:type="dxa"/>
            <w:tcBorders>
              <w:top w:val="single" w:sz="4" w:space="0" w:color="auto"/>
              <w:left w:val="nil"/>
              <w:bottom w:val="nil"/>
              <w:right w:val="nil"/>
            </w:tcBorders>
          </w:tcPr>
          <w:p w14:paraId="63626774"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Efficiency</w:t>
            </w:r>
          </w:p>
        </w:tc>
      </w:tr>
      <w:tr w:rsidR="00965D6A" w:rsidRPr="00965D6A" w14:paraId="084471CA" w14:textId="77777777" w:rsidTr="00683A62">
        <w:trPr>
          <w:trHeight w:val="70"/>
        </w:trPr>
        <w:tc>
          <w:tcPr>
            <w:tcW w:w="964" w:type="dxa"/>
            <w:tcBorders>
              <w:top w:val="nil"/>
              <w:left w:val="nil"/>
              <w:bottom w:val="nil"/>
              <w:right w:val="nil"/>
            </w:tcBorders>
            <w:noWrap/>
            <w:hideMark/>
          </w:tcPr>
          <w:p w14:paraId="79EA3518"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 xml:space="preserve">Krizek </w:t>
            </w:r>
            <w:r w:rsidRPr="00965D6A">
              <w:rPr>
                <w:rFonts w:eastAsia="Times New Roman" w:cs="Times New Roman"/>
                <w:i/>
                <w:iCs/>
                <w:sz w:val="20"/>
                <w:szCs w:val="20"/>
              </w:rPr>
              <w:t>et al</w:t>
            </w:r>
            <w:r w:rsidRPr="00965D6A">
              <w:rPr>
                <w:rFonts w:eastAsia="Times New Roman" w:cs="Times New Roman"/>
                <w:sz w:val="20"/>
                <w:szCs w:val="20"/>
              </w:rPr>
              <w:t>. (2005)</w:t>
            </w:r>
          </w:p>
        </w:tc>
        <w:tc>
          <w:tcPr>
            <w:tcW w:w="903" w:type="dxa"/>
            <w:tcBorders>
              <w:top w:val="nil"/>
              <w:left w:val="nil"/>
              <w:bottom w:val="nil"/>
              <w:right w:val="nil"/>
            </w:tcBorders>
            <w:hideMark/>
          </w:tcPr>
          <w:p w14:paraId="2903C864"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Survey</w:t>
            </w:r>
          </w:p>
        </w:tc>
        <w:tc>
          <w:tcPr>
            <w:tcW w:w="1553" w:type="dxa"/>
            <w:tcBorders>
              <w:top w:val="nil"/>
              <w:left w:val="nil"/>
              <w:bottom w:val="nil"/>
              <w:right w:val="nil"/>
            </w:tcBorders>
            <w:hideMark/>
          </w:tcPr>
          <w:p w14:paraId="112B62BF"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Cross-sectional</w:t>
            </w:r>
          </w:p>
        </w:tc>
        <w:tc>
          <w:tcPr>
            <w:tcW w:w="1620" w:type="dxa"/>
            <w:tcBorders>
              <w:top w:val="nil"/>
              <w:left w:val="nil"/>
              <w:bottom w:val="nil"/>
              <w:right w:val="nil"/>
            </w:tcBorders>
            <w:hideMark/>
          </w:tcPr>
          <w:p w14:paraId="4877F8A0"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Consumers in three metro areas in the U.S.</w:t>
            </w:r>
          </w:p>
        </w:tc>
        <w:tc>
          <w:tcPr>
            <w:tcW w:w="1710" w:type="dxa"/>
            <w:tcBorders>
              <w:top w:val="nil"/>
              <w:left w:val="nil"/>
              <w:bottom w:val="nil"/>
              <w:right w:val="nil"/>
            </w:tcBorders>
            <w:hideMark/>
          </w:tcPr>
          <w:p w14:paraId="3D89F7A7"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Has shopped online versus not</w:t>
            </w:r>
          </w:p>
        </w:tc>
        <w:tc>
          <w:tcPr>
            <w:tcW w:w="1980" w:type="dxa"/>
            <w:tcBorders>
              <w:top w:val="nil"/>
              <w:left w:val="nil"/>
              <w:bottom w:val="nil"/>
              <w:right w:val="nil"/>
            </w:tcBorders>
            <w:hideMark/>
          </w:tcPr>
          <w:p w14:paraId="70EEA03A"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Urban, suburban</w:t>
            </w:r>
          </w:p>
        </w:tc>
        <w:tc>
          <w:tcPr>
            <w:tcW w:w="2790" w:type="dxa"/>
            <w:tcBorders>
              <w:top w:val="nil"/>
              <w:left w:val="nil"/>
              <w:bottom w:val="nil"/>
              <w:right w:val="nil"/>
            </w:tcBorders>
            <w:hideMark/>
          </w:tcPr>
          <w:p w14:paraId="0D85B3C1"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Suburban consumers were more likely to shop online than urban consumers.</w:t>
            </w:r>
          </w:p>
        </w:tc>
        <w:tc>
          <w:tcPr>
            <w:tcW w:w="1170" w:type="dxa"/>
            <w:tcBorders>
              <w:top w:val="nil"/>
              <w:left w:val="nil"/>
              <w:bottom w:val="nil"/>
              <w:right w:val="nil"/>
            </w:tcBorders>
          </w:tcPr>
          <w:p w14:paraId="5D4DAF21"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 xml:space="preserve">Efficiency </w:t>
            </w:r>
          </w:p>
        </w:tc>
      </w:tr>
      <w:tr w:rsidR="00965D6A" w:rsidRPr="00965D6A" w14:paraId="26239679" w14:textId="77777777" w:rsidTr="00683A62">
        <w:trPr>
          <w:trHeight w:val="70"/>
        </w:trPr>
        <w:tc>
          <w:tcPr>
            <w:tcW w:w="964" w:type="dxa"/>
            <w:tcBorders>
              <w:top w:val="nil"/>
              <w:left w:val="nil"/>
              <w:bottom w:val="nil"/>
              <w:right w:val="nil"/>
            </w:tcBorders>
            <w:hideMark/>
          </w:tcPr>
          <w:p w14:paraId="44CDFBF8"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 xml:space="preserve">Farag </w:t>
            </w:r>
            <w:r w:rsidRPr="00965D6A">
              <w:rPr>
                <w:rFonts w:eastAsia="Times New Roman" w:cs="Times New Roman"/>
                <w:i/>
                <w:iCs/>
                <w:sz w:val="20"/>
                <w:szCs w:val="20"/>
              </w:rPr>
              <w:t>et al</w:t>
            </w:r>
            <w:r w:rsidRPr="00965D6A">
              <w:rPr>
                <w:rFonts w:eastAsia="Times New Roman" w:cs="Times New Roman"/>
                <w:sz w:val="20"/>
                <w:szCs w:val="20"/>
              </w:rPr>
              <w:t>. (2006a)</w:t>
            </w:r>
          </w:p>
        </w:tc>
        <w:tc>
          <w:tcPr>
            <w:tcW w:w="903" w:type="dxa"/>
            <w:tcBorders>
              <w:top w:val="nil"/>
              <w:left w:val="nil"/>
              <w:bottom w:val="nil"/>
              <w:right w:val="nil"/>
            </w:tcBorders>
            <w:hideMark/>
          </w:tcPr>
          <w:p w14:paraId="2D482BAB"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Survey</w:t>
            </w:r>
          </w:p>
        </w:tc>
        <w:tc>
          <w:tcPr>
            <w:tcW w:w="1553" w:type="dxa"/>
            <w:tcBorders>
              <w:top w:val="nil"/>
              <w:left w:val="nil"/>
              <w:bottom w:val="nil"/>
              <w:right w:val="nil"/>
            </w:tcBorders>
            <w:hideMark/>
          </w:tcPr>
          <w:p w14:paraId="44BFF90A"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Cross-sectional</w:t>
            </w:r>
          </w:p>
        </w:tc>
        <w:tc>
          <w:tcPr>
            <w:tcW w:w="1620" w:type="dxa"/>
            <w:tcBorders>
              <w:top w:val="nil"/>
              <w:left w:val="nil"/>
              <w:bottom w:val="nil"/>
              <w:right w:val="nil"/>
            </w:tcBorders>
            <w:hideMark/>
          </w:tcPr>
          <w:p w14:paraId="13C1DE23"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Consumers in the U.S. (Minneapolis) and the Netherlands (Utrecht)</w:t>
            </w:r>
          </w:p>
        </w:tc>
        <w:tc>
          <w:tcPr>
            <w:tcW w:w="1710" w:type="dxa"/>
            <w:tcBorders>
              <w:top w:val="nil"/>
              <w:left w:val="nil"/>
              <w:bottom w:val="nil"/>
              <w:right w:val="nil"/>
            </w:tcBorders>
            <w:hideMark/>
          </w:tcPr>
          <w:p w14:paraId="0F738E9A"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Online shopping frequency; have shopped online before vs. have not</w:t>
            </w:r>
          </w:p>
        </w:tc>
        <w:tc>
          <w:tcPr>
            <w:tcW w:w="1980" w:type="dxa"/>
            <w:tcBorders>
              <w:top w:val="nil"/>
              <w:left w:val="nil"/>
              <w:bottom w:val="nil"/>
              <w:right w:val="nil"/>
            </w:tcBorders>
            <w:hideMark/>
          </w:tcPr>
          <w:p w14:paraId="5F327206"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No specific measure; evaluates distance to shops</w:t>
            </w:r>
          </w:p>
        </w:tc>
        <w:tc>
          <w:tcPr>
            <w:tcW w:w="2790" w:type="dxa"/>
            <w:tcBorders>
              <w:top w:val="nil"/>
              <w:left w:val="nil"/>
              <w:bottom w:val="nil"/>
              <w:right w:val="nil"/>
            </w:tcBorders>
            <w:hideMark/>
          </w:tcPr>
          <w:p w14:paraId="2D4D4658"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Dutch consumers who live farther from stores are less likely to shop online, indicating some positive relationship between urban-ness and online shopping.</w:t>
            </w:r>
          </w:p>
        </w:tc>
        <w:tc>
          <w:tcPr>
            <w:tcW w:w="1170" w:type="dxa"/>
            <w:tcBorders>
              <w:top w:val="nil"/>
              <w:left w:val="nil"/>
              <w:bottom w:val="nil"/>
              <w:right w:val="nil"/>
            </w:tcBorders>
          </w:tcPr>
          <w:p w14:paraId="0890629B"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 xml:space="preserve">Innovation-diffusion </w:t>
            </w:r>
          </w:p>
        </w:tc>
      </w:tr>
      <w:tr w:rsidR="00965D6A" w:rsidRPr="00965D6A" w14:paraId="47C28713" w14:textId="77777777" w:rsidTr="00683A62">
        <w:trPr>
          <w:trHeight w:val="70"/>
        </w:trPr>
        <w:tc>
          <w:tcPr>
            <w:tcW w:w="964" w:type="dxa"/>
            <w:tcBorders>
              <w:top w:val="nil"/>
              <w:left w:val="nil"/>
              <w:bottom w:val="nil"/>
              <w:right w:val="nil"/>
            </w:tcBorders>
            <w:hideMark/>
          </w:tcPr>
          <w:p w14:paraId="3E506258"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 xml:space="preserve">Farag </w:t>
            </w:r>
            <w:r w:rsidRPr="00965D6A">
              <w:rPr>
                <w:rFonts w:eastAsia="Times New Roman" w:cs="Times New Roman"/>
                <w:i/>
                <w:iCs/>
                <w:sz w:val="20"/>
                <w:szCs w:val="20"/>
              </w:rPr>
              <w:t>et al</w:t>
            </w:r>
            <w:r w:rsidRPr="00965D6A">
              <w:rPr>
                <w:rFonts w:eastAsia="Times New Roman" w:cs="Times New Roman"/>
                <w:sz w:val="20"/>
                <w:szCs w:val="20"/>
              </w:rPr>
              <w:t>. (2006b)</w:t>
            </w:r>
          </w:p>
        </w:tc>
        <w:tc>
          <w:tcPr>
            <w:tcW w:w="903" w:type="dxa"/>
            <w:tcBorders>
              <w:top w:val="nil"/>
              <w:left w:val="nil"/>
              <w:bottom w:val="nil"/>
              <w:right w:val="nil"/>
            </w:tcBorders>
            <w:hideMark/>
          </w:tcPr>
          <w:p w14:paraId="2CD9A143"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Survey</w:t>
            </w:r>
          </w:p>
        </w:tc>
        <w:tc>
          <w:tcPr>
            <w:tcW w:w="1553" w:type="dxa"/>
            <w:tcBorders>
              <w:top w:val="nil"/>
              <w:left w:val="nil"/>
              <w:bottom w:val="nil"/>
              <w:right w:val="nil"/>
            </w:tcBorders>
            <w:hideMark/>
          </w:tcPr>
          <w:p w14:paraId="340C5245"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Cross-sectional</w:t>
            </w:r>
          </w:p>
        </w:tc>
        <w:tc>
          <w:tcPr>
            <w:tcW w:w="1620" w:type="dxa"/>
            <w:tcBorders>
              <w:top w:val="nil"/>
              <w:left w:val="nil"/>
              <w:bottom w:val="nil"/>
              <w:right w:val="nil"/>
            </w:tcBorders>
            <w:hideMark/>
          </w:tcPr>
          <w:p w14:paraId="57BCED1E"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Consumers in the Netherlands</w:t>
            </w:r>
          </w:p>
        </w:tc>
        <w:tc>
          <w:tcPr>
            <w:tcW w:w="1710" w:type="dxa"/>
            <w:tcBorders>
              <w:top w:val="nil"/>
              <w:left w:val="nil"/>
              <w:bottom w:val="nil"/>
              <w:right w:val="nil"/>
            </w:tcBorders>
            <w:hideMark/>
          </w:tcPr>
          <w:p w14:paraId="05E17FC1"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Online shopping frequency; have shopped online before vs. have not</w:t>
            </w:r>
          </w:p>
        </w:tc>
        <w:tc>
          <w:tcPr>
            <w:tcW w:w="1980" w:type="dxa"/>
            <w:tcBorders>
              <w:top w:val="nil"/>
              <w:left w:val="nil"/>
              <w:bottom w:val="nil"/>
              <w:right w:val="nil"/>
            </w:tcBorders>
            <w:hideMark/>
          </w:tcPr>
          <w:p w14:paraId="36EEB926"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5 categories based on number of addresses in a square kilometer</w:t>
            </w:r>
          </w:p>
        </w:tc>
        <w:tc>
          <w:tcPr>
            <w:tcW w:w="2790" w:type="dxa"/>
            <w:tcBorders>
              <w:top w:val="nil"/>
              <w:left w:val="nil"/>
              <w:bottom w:val="nil"/>
              <w:right w:val="nil"/>
            </w:tcBorders>
            <w:hideMark/>
          </w:tcPr>
          <w:p w14:paraId="7F41BCD2"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 xml:space="preserve">While online shopping is largely an urban </w:t>
            </w:r>
            <w:proofErr w:type="gramStart"/>
            <w:r w:rsidRPr="00965D6A">
              <w:rPr>
                <w:rFonts w:eastAsia="Times New Roman" w:cs="Times New Roman"/>
                <w:sz w:val="20"/>
                <w:szCs w:val="20"/>
              </w:rPr>
              <w:t>phenomena</w:t>
            </w:r>
            <w:proofErr w:type="gramEnd"/>
            <w:r w:rsidRPr="00965D6A">
              <w:rPr>
                <w:rFonts w:eastAsia="Times New Roman" w:cs="Times New Roman"/>
                <w:sz w:val="20"/>
                <w:szCs w:val="20"/>
              </w:rPr>
              <w:t xml:space="preserve"> and people living in heavily urban areas are more likely to shop online, consumers with low accessibility to stores shop online more often.</w:t>
            </w:r>
          </w:p>
        </w:tc>
        <w:tc>
          <w:tcPr>
            <w:tcW w:w="1170" w:type="dxa"/>
            <w:tcBorders>
              <w:top w:val="nil"/>
              <w:left w:val="nil"/>
              <w:bottom w:val="nil"/>
              <w:right w:val="nil"/>
            </w:tcBorders>
          </w:tcPr>
          <w:p w14:paraId="17F5B236"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Both</w:t>
            </w:r>
          </w:p>
        </w:tc>
      </w:tr>
      <w:tr w:rsidR="00965D6A" w:rsidRPr="00965D6A" w14:paraId="7DAF737E" w14:textId="77777777" w:rsidTr="00683A62">
        <w:trPr>
          <w:trHeight w:val="70"/>
        </w:trPr>
        <w:tc>
          <w:tcPr>
            <w:tcW w:w="964" w:type="dxa"/>
            <w:tcBorders>
              <w:top w:val="nil"/>
              <w:left w:val="nil"/>
              <w:bottom w:val="nil"/>
              <w:right w:val="nil"/>
            </w:tcBorders>
            <w:hideMark/>
          </w:tcPr>
          <w:p w14:paraId="0CC4CC5B" w14:textId="7F85D213" w:rsidR="002A5EBE" w:rsidRPr="00965D6A" w:rsidRDefault="002A5EBE" w:rsidP="00054FEA">
            <w:pPr>
              <w:rPr>
                <w:rFonts w:eastAsia="Times New Roman" w:cs="Times New Roman"/>
                <w:sz w:val="20"/>
                <w:szCs w:val="20"/>
              </w:rPr>
            </w:pPr>
            <w:r w:rsidRPr="00965D6A">
              <w:rPr>
                <w:rFonts w:eastAsia="Times New Roman" w:cs="Times New Roman"/>
                <w:sz w:val="20"/>
                <w:szCs w:val="20"/>
              </w:rPr>
              <w:t>Cao</w:t>
            </w:r>
            <w:r w:rsidR="00F71515" w:rsidRPr="00965D6A">
              <w:rPr>
                <w:rFonts w:eastAsia="Times New Roman" w:cs="Times New Roman"/>
                <w:sz w:val="20"/>
                <w:szCs w:val="20"/>
              </w:rPr>
              <w:t xml:space="preserve"> </w:t>
            </w:r>
            <w:r w:rsidR="00F71515" w:rsidRPr="00965D6A">
              <w:rPr>
                <w:rFonts w:eastAsia="Times New Roman" w:cs="Times New Roman"/>
                <w:i/>
                <w:iCs/>
                <w:sz w:val="20"/>
                <w:szCs w:val="20"/>
              </w:rPr>
              <w:t>et al.</w:t>
            </w:r>
            <w:r w:rsidRPr="00965D6A">
              <w:rPr>
                <w:rFonts w:eastAsia="Times New Roman" w:cs="Times New Roman"/>
                <w:sz w:val="20"/>
                <w:szCs w:val="20"/>
              </w:rPr>
              <w:t xml:space="preserve"> (2013)</w:t>
            </w:r>
          </w:p>
        </w:tc>
        <w:tc>
          <w:tcPr>
            <w:tcW w:w="903" w:type="dxa"/>
            <w:tcBorders>
              <w:top w:val="nil"/>
              <w:left w:val="nil"/>
              <w:bottom w:val="nil"/>
              <w:right w:val="nil"/>
            </w:tcBorders>
            <w:hideMark/>
          </w:tcPr>
          <w:p w14:paraId="74E07A79"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Survey</w:t>
            </w:r>
          </w:p>
        </w:tc>
        <w:tc>
          <w:tcPr>
            <w:tcW w:w="1553" w:type="dxa"/>
            <w:tcBorders>
              <w:top w:val="nil"/>
              <w:left w:val="nil"/>
              <w:bottom w:val="nil"/>
              <w:right w:val="nil"/>
            </w:tcBorders>
            <w:hideMark/>
          </w:tcPr>
          <w:p w14:paraId="62C775BB"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Cross-sectional</w:t>
            </w:r>
          </w:p>
        </w:tc>
        <w:tc>
          <w:tcPr>
            <w:tcW w:w="1620" w:type="dxa"/>
            <w:tcBorders>
              <w:top w:val="nil"/>
              <w:left w:val="nil"/>
              <w:bottom w:val="nil"/>
              <w:right w:val="nil"/>
            </w:tcBorders>
            <w:hideMark/>
          </w:tcPr>
          <w:p w14:paraId="18FC77DA"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High-income consumers in the U.S. (Minneapolis)</w:t>
            </w:r>
          </w:p>
        </w:tc>
        <w:tc>
          <w:tcPr>
            <w:tcW w:w="1710" w:type="dxa"/>
            <w:tcBorders>
              <w:top w:val="nil"/>
              <w:left w:val="nil"/>
              <w:bottom w:val="nil"/>
              <w:right w:val="nil"/>
            </w:tcBorders>
            <w:hideMark/>
          </w:tcPr>
          <w:p w14:paraId="288EB5C5"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Frequency of purchasing 'nondaily' products online</w:t>
            </w:r>
          </w:p>
        </w:tc>
        <w:tc>
          <w:tcPr>
            <w:tcW w:w="1980" w:type="dxa"/>
            <w:tcBorders>
              <w:top w:val="nil"/>
              <w:left w:val="nil"/>
              <w:bottom w:val="nil"/>
              <w:right w:val="nil"/>
            </w:tcBorders>
            <w:hideMark/>
          </w:tcPr>
          <w:p w14:paraId="05E01CAA"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Urban, suburban, exurban</w:t>
            </w:r>
          </w:p>
        </w:tc>
        <w:tc>
          <w:tcPr>
            <w:tcW w:w="2790" w:type="dxa"/>
            <w:tcBorders>
              <w:top w:val="nil"/>
              <w:left w:val="nil"/>
              <w:bottom w:val="nil"/>
              <w:right w:val="nil"/>
            </w:tcBorders>
            <w:hideMark/>
          </w:tcPr>
          <w:p w14:paraId="01B84DEC"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 xml:space="preserve">Consumers in urban areas and with greater accessibility to </w:t>
            </w:r>
            <w:proofErr w:type="gramStart"/>
            <w:r w:rsidRPr="00965D6A">
              <w:rPr>
                <w:rFonts w:eastAsia="Times New Roman" w:cs="Times New Roman"/>
                <w:sz w:val="20"/>
                <w:szCs w:val="20"/>
              </w:rPr>
              <w:t>shopping shop</w:t>
            </w:r>
            <w:proofErr w:type="gramEnd"/>
            <w:r w:rsidRPr="00965D6A">
              <w:rPr>
                <w:rFonts w:eastAsia="Times New Roman" w:cs="Times New Roman"/>
                <w:sz w:val="20"/>
                <w:szCs w:val="20"/>
              </w:rPr>
              <w:t xml:space="preserve"> online more frequently. Also, consumers in exurban areas with lower shopping accessibility shop online more than consumers in exurban areas with greater accessibility.</w:t>
            </w:r>
          </w:p>
        </w:tc>
        <w:tc>
          <w:tcPr>
            <w:tcW w:w="1170" w:type="dxa"/>
            <w:tcBorders>
              <w:top w:val="nil"/>
              <w:left w:val="nil"/>
              <w:bottom w:val="nil"/>
              <w:right w:val="nil"/>
            </w:tcBorders>
          </w:tcPr>
          <w:p w14:paraId="16921800"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Both</w:t>
            </w:r>
          </w:p>
        </w:tc>
      </w:tr>
      <w:tr w:rsidR="00965D6A" w:rsidRPr="00965D6A" w14:paraId="4B05859D" w14:textId="77777777" w:rsidTr="00683A62">
        <w:trPr>
          <w:trHeight w:val="268"/>
        </w:trPr>
        <w:tc>
          <w:tcPr>
            <w:tcW w:w="964" w:type="dxa"/>
            <w:tcBorders>
              <w:top w:val="nil"/>
              <w:left w:val="nil"/>
              <w:bottom w:val="nil"/>
              <w:right w:val="nil"/>
            </w:tcBorders>
            <w:hideMark/>
          </w:tcPr>
          <w:p w14:paraId="4EEEA228"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Zhou and Wang (2014)</w:t>
            </w:r>
          </w:p>
        </w:tc>
        <w:tc>
          <w:tcPr>
            <w:tcW w:w="903" w:type="dxa"/>
            <w:tcBorders>
              <w:top w:val="nil"/>
              <w:left w:val="nil"/>
              <w:bottom w:val="nil"/>
              <w:right w:val="nil"/>
            </w:tcBorders>
            <w:hideMark/>
          </w:tcPr>
          <w:p w14:paraId="33CFBC43"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Survey</w:t>
            </w:r>
          </w:p>
        </w:tc>
        <w:tc>
          <w:tcPr>
            <w:tcW w:w="1553" w:type="dxa"/>
            <w:tcBorders>
              <w:top w:val="nil"/>
              <w:left w:val="nil"/>
              <w:bottom w:val="nil"/>
              <w:right w:val="nil"/>
            </w:tcBorders>
            <w:hideMark/>
          </w:tcPr>
          <w:p w14:paraId="4376271D"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Cross-sectional</w:t>
            </w:r>
          </w:p>
        </w:tc>
        <w:tc>
          <w:tcPr>
            <w:tcW w:w="1620" w:type="dxa"/>
            <w:tcBorders>
              <w:top w:val="nil"/>
              <w:left w:val="nil"/>
              <w:bottom w:val="nil"/>
              <w:right w:val="nil"/>
            </w:tcBorders>
            <w:hideMark/>
          </w:tcPr>
          <w:p w14:paraId="26C75608"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Consumers in the U.S.</w:t>
            </w:r>
          </w:p>
        </w:tc>
        <w:tc>
          <w:tcPr>
            <w:tcW w:w="1710" w:type="dxa"/>
            <w:tcBorders>
              <w:top w:val="nil"/>
              <w:left w:val="nil"/>
              <w:bottom w:val="nil"/>
              <w:right w:val="nil"/>
            </w:tcBorders>
            <w:hideMark/>
          </w:tcPr>
          <w:p w14:paraId="483C4A38"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Propensity to shop online</w:t>
            </w:r>
          </w:p>
        </w:tc>
        <w:tc>
          <w:tcPr>
            <w:tcW w:w="1980" w:type="dxa"/>
            <w:tcBorders>
              <w:top w:val="nil"/>
              <w:left w:val="nil"/>
              <w:bottom w:val="nil"/>
              <w:right w:val="nil"/>
            </w:tcBorders>
            <w:hideMark/>
          </w:tcPr>
          <w:p w14:paraId="4BF833F7"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Urban or non-urban</w:t>
            </w:r>
          </w:p>
        </w:tc>
        <w:tc>
          <w:tcPr>
            <w:tcW w:w="2790" w:type="dxa"/>
            <w:tcBorders>
              <w:top w:val="nil"/>
              <w:left w:val="nil"/>
              <w:bottom w:val="nil"/>
              <w:right w:val="nil"/>
            </w:tcBorders>
            <w:hideMark/>
          </w:tcPr>
          <w:p w14:paraId="0BEE5A9C"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Consumers in urban areas are more likely to shop online.</w:t>
            </w:r>
          </w:p>
        </w:tc>
        <w:tc>
          <w:tcPr>
            <w:tcW w:w="1170" w:type="dxa"/>
            <w:tcBorders>
              <w:top w:val="nil"/>
              <w:left w:val="nil"/>
              <w:bottom w:val="nil"/>
              <w:right w:val="nil"/>
            </w:tcBorders>
          </w:tcPr>
          <w:p w14:paraId="681F3971"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 xml:space="preserve">Innovation-diffusion </w:t>
            </w:r>
          </w:p>
          <w:p w14:paraId="3A135E4E" w14:textId="77777777" w:rsidR="0032481F" w:rsidRPr="00965D6A" w:rsidRDefault="0032481F" w:rsidP="00054FEA">
            <w:pPr>
              <w:rPr>
                <w:rFonts w:eastAsia="Times New Roman" w:cs="Times New Roman"/>
                <w:sz w:val="20"/>
                <w:szCs w:val="20"/>
              </w:rPr>
            </w:pPr>
          </w:p>
          <w:p w14:paraId="621B43D1" w14:textId="2C27BD84" w:rsidR="0032481F" w:rsidRPr="00965D6A" w:rsidRDefault="0032481F" w:rsidP="00054FEA">
            <w:pPr>
              <w:rPr>
                <w:rFonts w:eastAsia="Times New Roman" w:cs="Times New Roman"/>
                <w:sz w:val="20"/>
                <w:szCs w:val="20"/>
              </w:rPr>
            </w:pPr>
          </w:p>
        </w:tc>
      </w:tr>
      <w:tr w:rsidR="00965D6A" w:rsidRPr="00965D6A" w14:paraId="3D7FE872" w14:textId="77777777" w:rsidTr="00683A62">
        <w:trPr>
          <w:trHeight w:val="70"/>
        </w:trPr>
        <w:tc>
          <w:tcPr>
            <w:tcW w:w="964" w:type="dxa"/>
            <w:tcBorders>
              <w:top w:val="nil"/>
              <w:left w:val="nil"/>
              <w:bottom w:val="nil"/>
              <w:right w:val="nil"/>
            </w:tcBorders>
            <w:hideMark/>
          </w:tcPr>
          <w:p w14:paraId="2DE3A5F6" w14:textId="5E791FD6" w:rsidR="002A5EBE" w:rsidRPr="00965D6A" w:rsidRDefault="002A5EBE" w:rsidP="00054FEA">
            <w:pPr>
              <w:rPr>
                <w:rFonts w:eastAsia="Times New Roman" w:cs="Times New Roman"/>
                <w:sz w:val="20"/>
                <w:szCs w:val="20"/>
              </w:rPr>
            </w:pPr>
            <w:r w:rsidRPr="00965D6A">
              <w:rPr>
                <w:rFonts w:eastAsia="Times New Roman" w:cs="Times New Roman"/>
                <w:sz w:val="20"/>
                <w:szCs w:val="20"/>
              </w:rPr>
              <w:lastRenderedPageBreak/>
              <w:t>Clarke</w:t>
            </w:r>
            <w:r w:rsidR="00683A62" w:rsidRPr="00965D6A">
              <w:rPr>
                <w:rFonts w:eastAsia="Times New Roman" w:cs="Times New Roman"/>
                <w:sz w:val="20"/>
                <w:szCs w:val="20"/>
              </w:rPr>
              <w:t xml:space="preserve"> </w:t>
            </w:r>
            <w:r w:rsidR="00683A62" w:rsidRPr="00965D6A">
              <w:rPr>
                <w:rFonts w:eastAsia="Times New Roman" w:cs="Times New Roman"/>
                <w:i/>
                <w:iCs/>
                <w:sz w:val="20"/>
                <w:szCs w:val="20"/>
              </w:rPr>
              <w:t>et al</w:t>
            </w:r>
            <w:r w:rsidR="00683A62" w:rsidRPr="00965D6A">
              <w:rPr>
                <w:rFonts w:eastAsia="Times New Roman" w:cs="Times New Roman"/>
                <w:sz w:val="20"/>
                <w:szCs w:val="20"/>
              </w:rPr>
              <w:t>.</w:t>
            </w:r>
            <w:r w:rsidRPr="00965D6A" w:rsidDel="00BB24A3">
              <w:rPr>
                <w:rFonts w:eastAsia="Times New Roman" w:cs="Times New Roman"/>
                <w:sz w:val="20"/>
                <w:szCs w:val="20"/>
              </w:rPr>
              <w:t xml:space="preserve"> </w:t>
            </w:r>
            <w:r w:rsidRPr="00965D6A">
              <w:rPr>
                <w:rFonts w:eastAsia="Times New Roman" w:cs="Times New Roman"/>
                <w:sz w:val="20"/>
                <w:szCs w:val="20"/>
              </w:rPr>
              <w:t>(2015)</w:t>
            </w:r>
          </w:p>
        </w:tc>
        <w:tc>
          <w:tcPr>
            <w:tcW w:w="903" w:type="dxa"/>
            <w:tcBorders>
              <w:top w:val="nil"/>
              <w:left w:val="nil"/>
              <w:bottom w:val="nil"/>
              <w:right w:val="nil"/>
            </w:tcBorders>
            <w:hideMark/>
          </w:tcPr>
          <w:p w14:paraId="1162A49D"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Survey</w:t>
            </w:r>
          </w:p>
        </w:tc>
        <w:tc>
          <w:tcPr>
            <w:tcW w:w="1553" w:type="dxa"/>
            <w:tcBorders>
              <w:top w:val="nil"/>
              <w:left w:val="nil"/>
              <w:bottom w:val="nil"/>
              <w:right w:val="nil"/>
            </w:tcBorders>
            <w:hideMark/>
          </w:tcPr>
          <w:p w14:paraId="1051D123"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Cross-sectional (survey is longitudinal but not analyzed as such)</w:t>
            </w:r>
          </w:p>
        </w:tc>
        <w:tc>
          <w:tcPr>
            <w:tcW w:w="1620" w:type="dxa"/>
            <w:tcBorders>
              <w:top w:val="nil"/>
              <w:left w:val="nil"/>
              <w:bottom w:val="nil"/>
              <w:right w:val="nil"/>
            </w:tcBorders>
            <w:hideMark/>
          </w:tcPr>
          <w:p w14:paraId="2DD0E4BD"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Grocery consumers in the UK</w:t>
            </w:r>
          </w:p>
        </w:tc>
        <w:tc>
          <w:tcPr>
            <w:tcW w:w="1710" w:type="dxa"/>
            <w:tcBorders>
              <w:top w:val="nil"/>
              <w:left w:val="nil"/>
              <w:bottom w:val="nil"/>
              <w:right w:val="nil"/>
            </w:tcBorders>
            <w:hideMark/>
          </w:tcPr>
          <w:p w14:paraId="41E3E2E7"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Online shopping frequency</w:t>
            </w:r>
          </w:p>
        </w:tc>
        <w:tc>
          <w:tcPr>
            <w:tcW w:w="1980" w:type="dxa"/>
            <w:tcBorders>
              <w:top w:val="nil"/>
              <w:left w:val="nil"/>
              <w:bottom w:val="nil"/>
              <w:right w:val="nil"/>
            </w:tcBorders>
            <w:hideMark/>
          </w:tcPr>
          <w:p w14:paraId="5E849341"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Classified urban, rural town/fringe, rural village based on postcode</w:t>
            </w:r>
          </w:p>
        </w:tc>
        <w:tc>
          <w:tcPr>
            <w:tcW w:w="2790" w:type="dxa"/>
            <w:tcBorders>
              <w:top w:val="nil"/>
              <w:left w:val="nil"/>
              <w:bottom w:val="nil"/>
              <w:right w:val="nil"/>
            </w:tcBorders>
            <w:hideMark/>
          </w:tcPr>
          <w:p w14:paraId="1F120E90"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Mixed results; no concrete conclusions.</w:t>
            </w:r>
          </w:p>
        </w:tc>
        <w:tc>
          <w:tcPr>
            <w:tcW w:w="1170" w:type="dxa"/>
            <w:tcBorders>
              <w:top w:val="nil"/>
              <w:left w:val="nil"/>
              <w:bottom w:val="nil"/>
              <w:right w:val="nil"/>
            </w:tcBorders>
          </w:tcPr>
          <w:p w14:paraId="12C57E03"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 xml:space="preserve">Neither </w:t>
            </w:r>
          </w:p>
        </w:tc>
      </w:tr>
      <w:tr w:rsidR="00965D6A" w:rsidRPr="00965D6A" w14:paraId="4BF681A3" w14:textId="77777777" w:rsidTr="00683A62">
        <w:trPr>
          <w:trHeight w:val="102"/>
        </w:trPr>
        <w:tc>
          <w:tcPr>
            <w:tcW w:w="964" w:type="dxa"/>
            <w:tcBorders>
              <w:top w:val="nil"/>
              <w:left w:val="nil"/>
              <w:bottom w:val="nil"/>
              <w:right w:val="nil"/>
            </w:tcBorders>
            <w:hideMark/>
          </w:tcPr>
          <w:p w14:paraId="6F052F75"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Motte-</w:t>
            </w:r>
            <w:proofErr w:type="spellStart"/>
            <w:r w:rsidRPr="00965D6A">
              <w:rPr>
                <w:rFonts w:eastAsia="Times New Roman" w:cs="Times New Roman"/>
                <w:sz w:val="20"/>
                <w:szCs w:val="20"/>
              </w:rPr>
              <w:t>Baumvol</w:t>
            </w:r>
            <w:proofErr w:type="spellEnd"/>
            <w:r w:rsidRPr="00965D6A">
              <w:rPr>
                <w:rFonts w:eastAsia="Times New Roman" w:cs="Times New Roman"/>
                <w:sz w:val="20"/>
                <w:szCs w:val="20"/>
              </w:rPr>
              <w:t xml:space="preserve"> </w:t>
            </w:r>
            <w:r w:rsidRPr="00965D6A">
              <w:rPr>
                <w:rFonts w:eastAsia="Times New Roman" w:cs="Times New Roman"/>
                <w:i/>
                <w:iCs/>
                <w:sz w:val="20"/>
                <w:szCs w:val="20"/>
              </w:rPr>
              <w:t>et al</w:t>
            </w:r>
            <w:r w:rsidRPr="00965D6A">
              <w:rPr>
                <w:rFonts w:eastAsia="Times New Roman" w:cs="Times New Roman"/>
                <w:sz w:val="20"/>
                <w:szCs w:val="20"/>
              </w:rPr>
              <w:t>. (2017)</w:t>
            </w:r>
          </w:p>
        </w:tc>
        <w:tc>
          <w:tcPr>
            <w:tcW w:w="903" w:type="dxa"/>
            <w:tcBorders>
              <w:top w:val="nil"/>
              <w:left w:val="nil"/>
              <w:bottom w:val="nil"/>
              <w:right w:val="nil"/>
            </w:tcBorders>
            <w:hideMark/>
          </w:tcPr>
          <w:p w14:paraId="34FA97BC"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Survey and interviews</w:t>
            </w:r>
          </w:p>
        </w:tc>
        <w:tc>
          <w:tcPr>
            <w:tcW w:w="1553" w:type="dxa"/>
            <w:tcBorders>
              <w:top w:val="nil"/>
              <w:left w:val="nil"/>
              <w:bottom w:val="nil"/>
              <w:right w:val="nil"/>
            </w:tcBorders>
            <w:hideMark/>
          </w:tcPr>
          <w:p w14:paraId="0C9BE76F"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Cross-sectional</w:t>
            </w:r>
          </w:p>
        </w:tc>
        <w:tc>
          <w:tcPr>
            <w:tcW w:w="1620" w:type="dxa"/>
            <w:tcBorders>
              <w:top w:val="nil"/>
              <w:left w:val="nil"/>
              <w:bottom w:val="nil"/>
              <w:right w:val="nil"/>
            </w:tcBorders>
            <w:hideMark/>
          </w:tcPr>
          <w:p w14:paraId="540A4286"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Consumers in France</w:t>
            </w:r>
          </w:p>
        </w:tc>
        <w:tc>
          <w:tcPr>
            <w:tcW w:w="1710" w:type="dxa"/>
            <w:tcBorders>
              <w:top w:val="nil"/>
              <w:left w:val="nil"/>
              <w:bottom w:val="nil"/>
              <w:right w:val="nil"/>
            </w:tcBorders>
            <w:hideMark/>
          </w:tcPr>
          <w:p w14:paraId="28A6E72C"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Online shopping frequency; have shopped online before vs. have not</w:t>
            </w:r>
          </w:p>
        </w:tc>
        <w:tc>
          <w:tcPr>
            <w:tcW w:w="1980" w:type="dxa"/>
            <w:tcBorders>
              <w:top w:val="nil"/>
              <w:left w:val="nil"/>
              <w:bottom w:val="nil"/>
              <w:right w:val="nil"/>
            </w:tcBorders>
            <w:hideMark/>
          </w:tcPr>
          <w:p w14:paraId="25FF4A51"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City, inner suburb, outer suburb</w:t>
            </w:r>
          </w:p>
        </w:tc>
        <w:tc>
          <w:tcPr>
            <w:tcW w:w="2790" w:type="dxa"/>
            <w:tcBorders>
              <w:top w:val="nil"/>
              <w:left w:val="nil"/>
              <w:bottom w:val="nil"/>
              <w:right w:val="nil"/>
            </w:tcBorders>
            <w:hideMark/>
          </w:tcPr>
          <w:p w14:paraId="4DD2DC44"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 xml:space="preserve">Suburban consumers were more likely to shop online </w:t>
            </w:r>
            <w:proofErr w:type="gramStart"/>
            <w:r w:rsidRPr="00965D6A">
              <w:rPr>
                <w:rFonts w:eastAsia="Times New Roman" w:cs="Times New Roman"/>
                <w:sz w:val="20"/>
                <w:szCs w:val="20"/>
              </w:rPr>
              <w:t>and also</w:t>
            </w:r>
            <w:proofErr w:type="gramEnd"/>
            <w:r w:rsidRPr="00965D6A">
              <w:rPr>
                <w:rFonts w:eastAsia="Times New Roman" w:cs="Times New Roman"/>
                <w:sz w:val="20"/>
                <w:szCs w:val="20"/>
              </w:rPr>
              <w:t xml:space="preserve"> shopped online more often. Consumers in smaller urban areas are more likely to shop online than those in larger urban areas.</w:t>
            </w:r>
          </w:p>
        </w:tc>
        <w:tc>
          <w:tcPr>
            <w:tcW w:w="1170" w:type="dxa"/>
            <w:tcBorders>
              <w:top w:val="nil"/>
              <w:left w:val="nil"/>
              <w:bottom w:val="nil"/>
              <w:right w:val="nil"/>
            </w:tcBorders>
          </w:tcPr>
          <w:p w14:paraId="2D590A8D"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 xml:space="preserve">Efficiency </w:t>
            </w:r>
          </w:p>
        </w:tc>
      </w:tr>
      <w:tr w:rsidR="00965D6A" w:rsidRPr="00965D6A" w14:paraId="10DD06DC" w14:textId="77777777" w:rsidTr="00683A62">
        <w:trPr>
          <w:trHeight w:val="70"/>
        </w:trPr>
        <w:tc>
          <w:tcPr>
            <w:tcW w:w="964" w:type="dxa"/>
            <w:tcBorders>
              <w:top w:val="nil"/>
              <w:left w:val="nil"/>
              <w:bottom w:val="nil"/>
              <w:right w:val="nil"/>
            </w:tcBorders>
            <w:hideMark/>
          </w:tcPr>
          <w:p w14:paraId="4AD82FD1" w14:textId="43B9FFB1" w:rsidR="002A5EBE" w:rsidRPr="00965D6A" w:rsidRDefault="002A5EBE" w:rsidP="00054FEA">
            <w:pPr>
              <w:rPr>
                <w:rFonts w:eastAsia="Times New Roman" w:cs="Times New Roman"/>
                <w:sz w:val="20"/>
                <w:szCs w:val="20"/>
              </w:rPr>
            </w:pPr>
            <w:r w:rsidRPr="00965D6A">
              <w:rPr>
                <w:rFonts w:eastAsia="Times New Roman" w:cs="Times New Roman"/>
                <w:sz w:val="20"/>
                <w:szCs w:val="20"/>
              </w:rPr>
              <w:t>Beckers</w:t>
            </w:r>
            <w:r w:rsidR="00683A62" w:rsidRPr="00965D6A">
              <w:rPr>
                <w:rFonts w:eastAsia="Times New Roman" w:cs="Times New Roman"/>
                <w:sz w:val="20"/>
                <w:szCs w:val="20"/>
              </w:rPr>
              <w:t xml:space="preserve"> </w:t>
            </w:r>
            <w:r w:rsidR="00683A62" w:rsidRPr="00965D6A">
              <w:rPr>
                <w:rFonts w:eastAsia="Times New Roman" w:cs="Times New Roman"/>
                <w:i/>
                <w:iCs/>
                <w:sz w:val="20"/>
                <w:szCs w:val="20"/>
              </w:rPr>
              <w:t>et al</w:t>
            </w:r>
            <w:r w:rsidR="00683A62" w:rsidRPr="00965D6A">
              <w:rPr>
                <w:rFonts w:eastAsia="Times New Roman" w:cs="Times New Roman"/>
                <w:sz w:val="20"/>
                <w:szCs w:val="20"/>
              </w:rPr>
              <w:t>.</w:t>
            </w:r>
            <w:r w:rsidRPr="00965D6A">
              <w:rPr>
                <w:rFonts w:eastAsia="Times New Roman" w:cs="Times New Roman"/>
                <w:sz w:val="20"/>
                <w:szCs w:val="20"/>
              </w:rPr>
              <w:t xml:space="preserve"> (2018)</w:t>
            </w:r>
          </w:p>
        </w:tc>
        <w:tc>
          <w:tcPr>
            <w:tcW w:w="903" w:type="dxa"/>
            <w:tcBorders>
              <w:top w:val="nil"/>
              <w:left w:val="nil"/>
              <w:bottom w:val="nil"/>
              <w:right w:val="nil"/>
            </w:tcBorders>
            <w:hideMark/>
          </w:tcPr>
          <w:p w14:paraId="62AF4A74"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 xml:space="preserve">Survey </w:t>
            </w:r>
          </w:p>
        </w:tc>
        <w:tc>
          <w:tcPr>
            <w:tcW w:w="1553" w:type="dxa"/>
            <w:tcBorders>
              <w:top w:val="nil"/>
              <w:left w:val="nil"/>
              <w:bottom w:val="nil"/>
              <w:right w:val="nil"/>
            </w:tcBorders>
            <w:hideMark/>
          </w:tcPr>
          <w:p w14:paraId="79C822B2"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Cross-sectional</w:t>
            </w:r>
          </w:p>
        </w:tc>
        <w:tc>
          <w:tcPr>
            <w:tcW w:w="1620" w:type="dxa"/>
            <w:tcBorders>
              <w:top w:val="nil"/>
              <w:left w:val="nil"/>
              <w:bottom w:val="nil"/>
              <w:right w:val="nil"/>
            </w:tcBorders>
            <w:hideMark/>
          </w:tcPr>
          <w:p w14:paraId="0DE80FB6"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 xml:space="preserve">Consumers in Belgium </w:t>
            </w:r>
          </w:p>
        </w:tc>
        <w:tc>
          <w:tcPr>
            <w:tcW w:w="1710" w:type="dxa"/>
            <w:tcBorders>
              <w:top w:val="nil"/>
              <w:left w:val="nil"/>
              <w:bottom w:val="nil"/>
              <w:right w:val="nil"/>
            </w:tcBorders>
            <w:hideMark/>
          </w:tcPr>
          <w:p w14:paraId="1AAF7523"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Online shopping frequency</w:t>
            </w:r>
          </w:p>
        </w:tc>
        <w:tc>
          <w:tcPr>
            <w:tcW w:w="1980" w:type="dxa"/>
            <w:tcBorders>
              <w:top w:val="nil"/>
              <w:left w:val="nil"/>
              <w:bottom w:val="nil"/>
              <w:right w:val="nil"/>
            </w:tcBorders>
            <w:hideMark/>
          </w:tcPr>
          <w:p w14:paraId="582D8625"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Classified urban, suburban, or rural based on zip code</w:t>
            </w:r>
          </w:p>
        </w:tc>
        <w:tc>
          <w:tcPr>
            <w:tcW w:w="2790" w:type="dxa"/>
            <w:tcBorders>
              <w:top w:val="nil"/>
              <w:left w:val="nil"/>
              <w:bottom w:val="nil"/>
              <w:right w:val="nil"/>
            </w:tcBorders>
            <w:hideMark/>
          </w:tcPr>
          <w:p w14:paraId="65802FC0"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No significant relation between the area type and online shopping frequency.</w:t>
            </w:r>
          </w:p>
        </w:tc>
        <w:tc>
          <w:tcPr>
            <w:tcW w:w="1170" w:type="dxa"/>
            <w:tcBorders>
              <w:top w:val="nil"/>
              <w:left w:val="nil"/>
              <w:bottom w:val="nil"/>
              <w:right w:val="nil"/>
            </w:tcBorders>
          </w:tcPr>
          <w:p w14:paraId="01B4D1B0"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 xml:space="preserve">Neither </w:t>
            </w:r>
          </w:p>
        </w:tc>
      </w:tr>
      <w:tr w:rsidR="00965D6A" w:rsidRPr="00965D6A" w14:paraId="2343D8EB" w14:textId="77777777" w:rsidTr="00683A62">
        <w:trPr>
          <w:trHeight w:val="70"/>
        </w:trPr>
        <w:tc>
          <w:tcPr>
            <w:tcW w:w="964" w:type="dxa"/>
            <w:tcBorders>
              <w:top w:val="nil"/>
              <w:left w:val="nil"/>
              <w:bottom w:val="nil"/>
              <w:right w:val="nil"/>
            </w:tcBorders>
          </w:tcPr>
          <w:p w14:paraId="0A5CE910"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 xml:space="preserve">Zhen </w:t>
            </w:r>
            <w:r w:rsidRPr="00965D6A">
              <w:rPr>
                <w:rFonts w:eastAsia="Times New Roman" w:cs="Times New Roman"/>
                <w:i/>
                <w:iCs/>
                <w:sz w:val="20"/>
                <w:szCs w:val="20"/>
              </w:rPr>
              <w:t>et al</w:t>
            </w:r>
            <w:r w:rsidRPr="00965D6A">
              <w:rPr>
                <w:rFonts w:eastAsia="Times New Roman" w:cs="Times New Roman"/>
                <w:sz w:val="20"/>
                <w:szCs w:val="20"/>
              </w:rPr>
              <w:t>. (2018)</w:t>
            </w:r>
          </w:p>
        </w:tc>
        <w:tc>
          <w:tcPr>
            <w:tcW w:w="903" w:type="dxa"/>
            <w:tcBorders>
              <w:top w:val="nil"/>
              <w:left w:val="nil"/>
              <w:bottom w:val="nil"/>
              <w:right w:val="nil"/>
            </w:tcBorders>
          </w:tcPr>
          <w:p w14:paraId="2965CBB4"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Survey</w:t>
            </w:r>
          </w:p>
        </w:tc>
        <w:tc>
          <w:tcPr>
            <w:tcW w:w="1553" w:type="dxa"/>
            <w:tcBorders>
              <w:top w:val="nil"/>
              <w:left w:val="nil"/>
              <w:bottom w:val="nil"/>
              <w:right w:val="nil"/>
            </w:tcBorders>
          </w:tcPr>
          <w:p w14:paraId="41447768"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Cross-sectional</w:t>
            </w:r>
          </w:p>
        </w:tc>
        <w:tc>
          <w:tcPr>
            <w:tcW w:w="1620" w:type="dxa"/>
            <w:tcBorders>
              <w:top w:val="nil"/>
              <w:left w:val="nil"/>
              <w:bottom w:val="nil"/>
              <w:right w:val="nil"/>
            </w:tcBorders>
          </w:tcPr>
          <w:p w14:paraId="7AA5A167"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Consumers in Nanjing, China</w:t>
            </w:r>
          </w:p>
        </w:tc>
        <w:tc>
          <w:tcPr>
            <w:tcW w:w="1710" w:type="dxa"/>
            <w:tcBorders>
              <w:top w:val="nil"/>
              <w:left w:val="nil"/>
              <w:bottom w:val="nil"/>
              <w:right w:val="nil"/>
            </w:tcBorders>
          </w:tcPr>
          <w:p w14:paraId="3F2DD757"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Online shopping frequency for clothing and books</w:t>
            </w:r>
          </w:p>
        </w:tc>
        <w:tc>
          <w:tcPr>
            <w:tcW w:w="1980" w:type="dxa"/>
            <w:tcBorders>
              <w:top w:val="nil"/>
              <w:left w:val="nil"/>
              <w:bottom w:val="nil"/>
              <w:right w:val="nil"/>
            </w:tcBorders>
          </w:tcPr>
          <w:p w14:paraId="5CAB063C"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4 categories based on living and working locations in urban/suburban</w:t>
            </w:r>
          </w:p>
        </w:tc>
        <w:tc>
          <w:tcPr>
            <w:tcW w:w="2790" w:type="dxa"/>
            <w:tcBorders>
              <w:top w:val="nil"/>
              <w:left w:val="nil"/>
              <w:bottom w:val="nil"/>
              <w:right w:val="nil"/>
            </w:tcBorders>
          </w:tcPr>
          <w:p w14:paraId="281B1FA3"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Consumers that work and live in suburban areas were more likely to shop at stores than online.</w:t>
            </w:r>
          </w:p>
        </w:tc>
        <w:tc>
          <w:tcPr>
            <w:tcW w:w="1170" w:type="dxa"/>
            <w:tcBorders>
              <w:top w:val="nil"/>
              <w:left w:val="nil"/>
              <w:bottom w:val="nil"/>
              <w:right w:val="nil"/>
            </w:tcBorders>
          </w:tcPr>
          <w:p w14:paraId="33998303"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Both</w:t>
            </w:r>
          </w:p>
        </w:tc>
      </w:tr>
      <w:tr w:rsidR="00965D6A" w:rsidRPr="00965D6A" w14:paraId="53B97E9B" w14:textId="77777777" w:rsidTr="00683A62">
        <w:trPr>
          <w:trHeight w:val="70"/>
        </w:trPr>
        <w:tc>
          <w:tcPr>
            <w:tcW w:w="964" w:type="dxa"/>
            <w:tcBorders>
              <w:top w:val="nil"/>
              <w:left w:val="nil"/>
              <w:bottom w:val="nil"/>
              <w:right w:val="nil"/>
            </w:tcBorders>
            <w:hideMark/>
          </w:tcPr>
          <w:p w14:paraId="7CE56624" w14:textId="003DA4B1" w:rsidR="002A5EBE" w:rsidRPr="00965D6A" w:rsidRDefault="002A5EBE" w:rsidP="00054FEA">
            <w:pPr>
              <w:rPr>
                <w:rFonts w:eastAsia="Times New Roman" w:cs="Times New Roman"/>
                <w:sz w:val="20"/>
                <w:szCs w:val="20"/>
              </w:rPr>
            </w:pPr>
            <w:r w:rsidRPr="00965D6A">
              <w:rPr>
                <w:rFonts w:eastAsia="Times New Roman" w:cs="Times New Roman"/>
                <w:sz w:val="20"/>
                <w:szCs w:val="20"/>
              </w:rPr>
              <w:t>Kirby-Hawkins</w:t>
            </w:r>
            <w:r w:rsidR="00683A62" w:rsidRPr="00965D6A">
              <w:rPr>
                <w:rFonts w:eastAsia="Times New Roman" w:cs="Times New Roman"/>
                <w:sz w:val="20"/>
                <w:szCs w:val="20"/>
              </w:rPr>
              <w:t xml:space="preserve"> </w:t>
            </w:r>
            <w:r w:rsidR="00683A62" w:rsidRPr="00965D6A">
              <w:rPr>
                <w:rFonts w:eastAsia="Times New Roman" w:cs="Times New Roman"/>
                <w:i/>
                <w:iCs/>
                <w:sz w:val="20"/>
                <w:szCs w:val="20"/>
              </w:rPr>
              <w:t>et al</w:t>
            </w:r>
            <w:r w:rsidR="00683A62" w:rsidRPr="00965D6A">
              <w:rPr>
                <w:rFonts w:eastAsia="Times New Roman" w:cs="Times New Roman"/>
                <w:sz w:val="20"/>
                <w:szCs w:val="20"/>
              </w:rPr>
              <w:t xml:space="preserve">. </w:t>
            </w:r>
            <w:r w:rsidRPr="00965D6A">
              <w:rPr>
                <w:rFonts w:eastAsia="Times New Roman" w:cs="Times New Roman"/>
                <w:sz w:val="20"/>
                <w:szCs w:val="20"/>
              </w:rPr>
              <w:t>(2019)</w:t>
            </w:r>
          </w:p>
        </w:tc>
        <w:tc>
          <w:tcPr>
            <w:tcW w:w="903" w:type="dxa"/>
            <w:tcBorders>
              <w:top w:val="nil"/>
              <w:left w:val="nil"/>
              <w:bottom w:val="nil"/>
              <w:right w:val="nil"/>
            </w:tcBorders>
            <w:hideMark/>
          </w:tcPr>
          <w:p w14:paraId="078C6AD1"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 xml:space="preserve">Sales data from a grocery retailer </w:t>
            </w:r>
          </w:p>
        </w:tc>
        <w:tc>
          <w:tcPr>
            <w:tcW w:w="1553" w:type="dxa"/>
            <w:tcBorders>
              <w:top w:val="nil"/>
              <w:left w:val="nil"/>
              <w:bottom w:val="nil"/>
              <w:right w:val="nil"/>
            </w:tcBorders>
            <w:hideMark/>
          </w:tcPr>
          <w:p w14:paraId="30EA9198"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Cross-sectional</w:t>
            </w:r>
          </w:p>
        </w:tc>
        <w:tc>
          <w:tcPr>
            <w:tcW w:w="1620" w:type="dxa"/>
            <w:tcBorders>
              <w:top w:val="nil"/>
              <w:left w:val="nil"/>
              <w:bottom w:val="nil"/>
              <w:right w:val="nil"/>
            </w:tcBorders>
            <w:hideMark/>
          </w:tcPr>
          <w:p w14:paraId="31E03A81"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Consumers in the UK</w:t>
            </w:r>
          </w:p>
        </w:tc>
        <w:tc>
          <w:tcPr>
            <w:tcW w:w="1710" w:type="dxa"/>
            <w:tcBorders>
              <w:top w:val="nil"/>
              <w:left w:val="nil"/>
              <w:bottom w:val="nil"/>
              <w:right w:val="nil"/>
            </w:tcBorders>
            <w:hideMark/>
          </w:tcPr>
          <w:p w14:paraId="023128E1"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Sales (only online sales figures are included)</w:t>
            </w:r>
          </w:p>
        </w:tc>
        <w:tc>
          <w:tcPr>
            <w:tcW w:w="1980" w:type="dxa"/>
            <w:tcBorders>
              <w:top w:val="nil"/>
              <w:left w:val="nil"/>
              <w:bottom w:val="nil"/>
              <w:right w:val="nil"/>
            </w:tcBorders>
            <w:hideMark/>
          </w:tcPr>
          <w:p w14:paraId="32F9F430"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Population density within postal sector</w:t>
            </w:r>
          </w:p>
        </w:tc>
        <w:tc>
          <w:tcPr>
            <w:tcW w:w="2790" w:type="dxa"/>
            <w:tcBorders>
              <w:top w:val="nil"/>
              <w:left w:val="nil"/>
              <w:bottom w:val="nil"/>
              <w:right w:val="nil"/>
            </w:tcBorders>
            <w:hideMark/>
          </w:tcPr>
          <w:p w14:paraId="3A19B4F9"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A higher percentage of online shoppers are from rural than urban areas, but online shopping is very popular among young urban professionals.</w:t>
            </w:r>
          </w:p>
        </w:tc>
        <w:tc>
          <w:tcPr>
            <w:tcW w:w="1170" w:type="dxa"/>
            <w:tcBorders>
              <w:top w:val="nil"/>
              <w:left w:val="nil"/>
              <w:bottom w:val="nil"/>
              <w:right w:val="nil"/>
            </w:tcBorders>
          </w:tcPr>
          <w:p w14:paraId="074095A5"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 xml:space="preserve">Both </w:t>
            </w:r>
          </w:p>
        </w:tc>
      </w:tr>
      <w:tr w:rsidR="00965D6A" w:rsidRPr="00965D6A" w14:paraId="4C879256" w14:textId="77777777" w:rsidTr="00683A62">
        <w:trPr>
          <w:trHeight w:val="899"/>
        </w:trPr>
        <w:tc>
          <w:tcPr>
            <w:tcW w:w="964" w:type="dxa"/>
            <w:tcBorders>
              <w:top w:val="nil"/>
              <w:left w:val="nil"/>
              <w:bottom w:val="nil"/>
              <w:right w:val="nil"/>
            </w:tcBorders>
            <w:hideMark/>
          </w:tcPr>
          <w:p w14:paraId="0E3AEBD6"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 xml:space="preserve">Shi </w:t>
            </w:r>
            <w:r w:rsidRPr="00965D6A">
              <w:rPr>
                <w:rFonts w:eastAsia="Times New Roman" w:cs="Times New Roman"/>
                <w:i/>
                <w:iCs/>
                <w:sz w:val="20"/>
                <w:szCs w:val="20"/>
              </w:rPr>
              <w:t>et al</w:t>
            </w:r>
            <w:r w:rsidRPr="00965D6A">
              <w:rPr>
                <w:rFonts w:eastAsia="Times New Roman" w:cs="Times New Roman"/>
                <w:sz w:val="20"/>
                <w:szCs w:val="20"/>
              </w:rPr>
              <w:t>. (2019)</w:t>
            </w:r>
          </w:p>
        </w:tc>
        <w:tc>
          <w:tcPr>
            <w:tcW w:w="903" w:type="dxa"/>
            <w:tcBorders>
              <w:top w:val="nil"/>
              <w:left w:val="nil"/>
              <w:bottom w:val="nil"/>
              <w:right w:val="nil"/>
            </w:tcBorders>
            <w:hideMark/>
          </w:tcPr>
          <w:p w14:paraId="057616F6"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Interviews</w:t>
            </w:r>
          </w:p>
        </w:tc>
        <w:tc>
          <w:tcPr>
            <w:tcW w:w="1553" w:type="dxa"/>
            <w:tcBorders>
              <w:top w:val="nil"/>
              <w:left w:val="nil"/>
              <w:bottom w:val="nil"/>
              <w:right w:val="nil"/>
            </w:tcBorders>
            <w:hideMark/>
          </w:tcPr>
          <w:p w14:paraId="1E5B80E9"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Cross-sectional</w:t>
            </w:r>
          </w:p>
        </w:tc>
        <w:tc>
          <w:tcPr>
            <w:tcW w:w="1620" w:type="dxa"/>
            <w:tcBorders>
              <w:top w:val="nil"/>
              <w:left w:val="nil"/>
              <w:bottom w:val="nil"/>
              <w:right w:val="nil"/>
            </w:tcBorders>
            <w:hideMark/>
          </w:tcPr>
          <w:p w14:paraId="376D1E32"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Consumers in Chengdu, China</w:t>
            </w:r>
          </w:p>
        </w:tc>
        <w:tc>
          <w:tcPr>
            <w:tcW w:w="1710" w:type="dxa"/>
            <w:tcBorders>
              <w:top w:val="nil"/>
              <w:left w:val="nil"/>
              <w:bottom w:val="nil"/>
              <w:right w:val="nil"/>
            </w:tcBorders>
            <w:hideMark/>
          </w:tcPr>
          <w:p w14:paraId="702C3CCD"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Online shopping frequency and share</w:t>
            </w:r>
          </w:p>
        </w:tc>
        <w:tc>
          <w:tcPr>
            <w:tcW w:w="1980" w:type="dxa"/>
            <w:tcBorders>
              <w:top w:val="nil"/>
              <w:left w:val="nil"/>
              <w:bottom w:val="nil"/>
              <w:right w:val="nil"/>
            </w:tcBorders>
            <w:hideMark/>
          </w:tcPr>
          <w:p w14:paraId="6C25801A"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3 categories (urban, suburban, exurban) based on work or home location</w:t>
            </w:r>
          </w:p>
        </w:tc>
        <w:tc>
          <w:tcPr>
            <w:tcW w:w="2790" w:type="dxa"/>
            <w:tcBorders>
              <w:top w:val="nil"/>
              <w:left w:val="nil"/>
              <w:bottom w:val="nil"/>
              <w:right w:val="nil"/>
            </w:tcBorders>
            <w:hideMark/>
          </w:tcPr>
          <w:p w14:paraId="75B05A8E"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Consumers in urban areas purchase online more frequently, while those in both urban and exurban areas have higher shares of shopping online than suburban consumers.</w:t>
            </w:r>
          </w:p>
        </w:tc>
        <w:tc>
          <w:tcPr>
            <w:tcW w:w="1170" w:type="dxa"/>
            <w:tcBorders>
              <w:top w:val="nil"/>
              <w:left w:val="nil"/>
              <w:bottom w:val="nil"/>
              <w:right w:val="nil"/>
            </w:tcBorders>
          </w:tcPr>
          <w:p w14:paraId="098EF632"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Both</w:t>
            </w:r>
          </w:p>
        </w:tc>
      </w:tr>
      <w:tr w:rsidR="00965D6A" w:rsidRPr="00965D6A" w14:paraId="7F8D98DD" w14:textId="77777777" w:rsidTr="00683A62">
        <w:trPr>
          <w:trHeight w:val="70"/>
        </w:trPr>
        <w:tc>
          <w:tcPr>
            <w:tcW w:w="964" w:type="dxa"/>
            <w:tcBorders>
              <w:top w:val="nil"/>
              <w:left w:val="nil"/>
              <w:bottom w:val="nil"/>
              <w:right w:val="nil"/>
            </w:tcBorders>
            <w:hideMark/>
          </w:tcPr>
          <w:p w14:paraId="0805D399"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 xml:space="preserve">Beckers </w:t>
            </w:r>
            <w:r w:rsidRPr="00965D6A">
              <w:rPr>
                <w:rFonts w:eastAsia="Times New Roman" w:cs="Times New Roman"/>
                <w:i/>
                <w:iCs/>
                <w:sz w:val="20"/>
                <w:szCs w:val="20"/>
              </w:rPr>
              <w:t>et al</w:t>
            </w:r>
            <w:r w:rsidRPr="00965D6A">
              <w:rPr>
                <w:rFonts w:eastAsia="Times New Roman" w:cs="Times New Roman"/>
                <w:sz w:val="20"/>
                <w:szCs w:val="20"/>
              </w:rPr>
              <w:t>. (2021)</w:t>
            </w:r>
          </w:p>
        </w:tc>
        <w:tc>
          <w:tcPr>
            <w:tcW w:w="903" w:type="dxa"/>
            <w:tcBorders>
              <w:top w:val="nil"/>
              <w:left w:val="nil"/>
              <w:bottom w:val="nil"/>
              <w:right w:val="nil"/>
            </w:tcBorders>
            <w:hideMark/>
          </w:tcPr>
          <w:p w14:paraId="62934CB4"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Survey</w:t>
            </w:r>
          </w:p>
        </w:tc>
        <w:tc>
          <w:tcPr>
            <w:tcW w:w="1553" w:type="dxa"/>
            <w:tcBorders>
              <w:top w:val="nil"/>
              <w:left w:val="nil"/>
              <w:bottom w:val="nil"/>
              <w:right w:val="nil"/>
            </w:tcBorders>
            <w:hideMark/>
          </w:tcPr>
          <w:p w14:paraId="47F2711A"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Cross-sectional</w:t>
            </w:r>
          </w:p>
        </w:tc>
        <w:tc>
          <w:tcPr>
            <w:tcW w:w="1620" w:type="dxa"/>
            <w:tcBorders>
              <w:top w:val="nil"/>
              <w:left w:val="nil"/>
              <w:bottom w:val="nil"/>
              <w:right w:val="nil"/>
            </w:tcBorders>
            <w:hideMark/>
          </w:tcPr>
          <w:p w14:paraId="3AE9D8DF"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 xml:space="preserve">Consumers in Belgium </w:t>
            </w:r>
          </w:p>
        </w:tc>
        <w:tc>
          <w:tcPr>
            <w:tcW w:w="1710" w:type="dxa"/>
            <w:tcBorders>
              <w:top w:val="nil"/>
              <w:left w:val="nil"/>
              <w:bottom w:val="nil"/>
              <w:right w:val="nil"/>
            </w:tcBorders>
            <w:hideMark/>
          </w:tcPr>
          <w:p w14:paraId="0E3A1C1C"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Monthly online shopping frequency pre-pandemic and during</w:t>
            </w:r>
          </w:p>
          <w:p w14:paraId="67342EC1" w14:textId="77777777" w:rsidR="0032481F" w:rsidRPr="00965D6A" w:rsidRDefault="0032481F" w:rsidP="00054FEA">
            <w:pPr>
              <w:rPr>
                <w:rFonts w:eastAsia="Times New Roman" w:cs="Times New Roman"/>
                <w:sz w:val="20"/>
                <w:szCs w:val="20"/>
              </w:rPr>
            </w:pPr>
          </w:p>
          <w:p w14:paraId="0D140B1C" w14:textId="77777777" w:rsidR="0032481F" w:rsidRPr="00965D6A" w:rsidRDefault="0032481F" w:rsidP="00054FEA">
            <w:pPr>
              <w:rPr>
                <w:rFonts w:eastAsia="Times New Roman" w:cs="Times New Roman"/>
                <w:sz w:val="20"/>
                <w:szCs w:val="20"/>
              </w:rPr>
            </w:pPr>
          </w:p>
          <w:p w14:paraId="372B5119" w14:textId="77777777" w:rsidR="0032481F" w:rsidRPr="00965D6A" w:rsidRDefault="0032481F" w:rsidP="00054FEA">
            <w:pPr>
              <w:rPr>
                <w:rFonts w:eastAsia="Times New Roman" w:cs="Times New Roman"/>
                <w:sz w:val="20"/>
                <w:szCs w:val="20"/>
              </w:rPr>
            </w:pPr>
          </w:p>
          <w:p w14:paraId="3831C877" w14:textId="77777777" w:rsidR="0032481F" w:rsidRPr="00965D6A" w:rsidRDefault="0032481F" w:rsidP="00054FEA">
            <w:pPr>
              <w:rPr>
                <w:rFonts w:eastAsia="Times New Roman" w:cs="Times New Roman"/>
                <w:sz w:val="20"/>
                <w:szCs w:val="20"/>
              </w:rPr>
            </w:pPr>
          </w:p>
        </w:tc>
        <w:tc>
          <w:tcPr>
            <w:tcW w:w="1980" w:type="dxa"/>
            <w:tcBorders>
              <w:top w:val="nil"/>
              <w:left w:val="nil"/>
              <w:bottom w:val="nil"/>
              <w:right w:val="nil"/>
            </w:tcBorders>
            <w:hideMark/>
          </w:tcPr>
          <w:p w14:paraId="68E454D2"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Urban, suburban, rural based on zip code</w:t>
            </w:r>
          </w:p>
        </w:tc>
        <w:tc>
          <w:tcPr>
            <w:tcW w:w="2790" w:type="dxa"/>
            <w:tcBorders>
              <w:top w:val="nil"/>
              <w:left w:val="nil"/>
              <w:bottom w:val="nil"/>
              <w:right w:val="nil"/>
            </w:tcBorders>
            <w:hideMark/>
          </w:tcPr>
          <w:p w14:paraId="1A96E318"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Urban consumers shop online more frequently.</w:t>
            </w:r>
          </w:p>
        </w:tc>
        <w:tc>
          <w:tcPr>
            <w:tcW w:w="1170" w:type="dxa"/>
            <w:tcBorders>
              <w:top w:val="nil"/>
              <w:left w:val="nil"/>
              <w:bottom w:val="nil"/>
              <w:right w:val="nil"/>
            </w:tcBorders>
          </w:tcPr>
          <w:p w14:paraId="2992CB4A"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 xml:space="preserve">Innovation-diffusion </w:t>
            </w:r>
          </w:p>
        </w:tc>
      </w:tr>
      <w:tr w:rsidR="00965D6A" w:rsidRPr="00965D6A" w14:paraId="75020D10" w14:textId="77777777" w:rsidTr="00683A62">
        <w:trPr>
          <w:trHeight w:val="70"/>
        </w:trPr>
        <w:tc>
          <w:tcPr>
            <w:tcW w:w="964" w:type="dxa"/>
            <w:tcBorders>
              <w:top w:val="nil"/>
              <w:left w:val="nil"/>
              <w:bottom w:val="nil"/>
              <w:right w:val="nil"/>
            </w:tcBorders>
          </w:tcPr>
          <w:p w14:paraId="762E6552"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 xml:space="preserve">Ma </w:t>
            </w:r>
            <w:r w:rsidRPr="00965D6A">
              <w:rPr>
                <w:rFonts w:eastAsia="Times New Roman" w:cs="Times New Roman"/>
                <w:i/>
                <w:iCs/>
                <w:sz w:val="20"/>
                <w:szCs w:val="20"/>
              </w:rPr>
              <w:t>et al</w:t>
            </w:r>
            <w:r w:rsidRPr="00965D6A">
              <w:rPr>
                <w:rFonts w:eastAsia="Times New Roman" w:cs="Times New Roman"/>
                <w:sz w:val="20"/>
                <w:szCs w:val="20"/>
              </w:rPr>
              <w:t>. (2022)</w:t>
            </w:r>
          </w:p>
        </w:tc>
        <w:tc>
          <w:tcPr>
            <w:tcW w:w="903" w:type="dxa"/>
            <w:tcBorders>
              <w:top w:val="nil"/>
              <w:left w:val="nil"/>
              <w:bottom w:val="nil"/>
              <w:right w:val="nil"/>
            </w:tcBorders>
          </w:tcPr>
          <w:p w14:paraId="6CF1F18C"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Survey</w:t>
            </w:r>
          </w:p>
        </w:tc>
        <w:tc>
          <w:tcPr>
            <w:tcW w:w="1553" w:type="dxa"/>
            <w:tcBorders>
              <w:top w:val="nil"/>
              <w:left w:val="nil"/>
              <w:bottom w:val="nil"/>
              <w:right w:val="nil"/>
            </w:tcBorders>
          </w:tcPr>
          <w:p w14:paraId="18CC8451"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Cross-sectional</w:t>
            </w:r>
          </w:p>
        </w:tc>
        <w:tc>
          <w:tcPr>
            <w:tcW w:w="1620" w:type="dxa"/>
            <w:tcBorders>
              <w:top w:val="nil"/>
              <w:left w:val="nil"/>
              <w:bottom w:val="nil"/>
              <w:right w:val="nil"/>
            </w:tcBorders>
          </w:tcPr>
          <w:p w14:paraId="78FCE606"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 xml:space="preserve">Consumers in New Zealand </w:t>
            </w:r>
          </w:p>
        </w:tc>
        <w:tc>
          <w:tcPr>
            <w:tcW w:w="1710" w:type="dxa"/>
            <w:tcBorders>
              <w:top w:val="nil"/>
              <w:left w:val="nil"/>
              <w:bottom w:val="nil"/>
              <w:right w:val="nil"/>
            </w:tcBorders>
          </w:tcPr>
          <w:p w14:paraId="191162C7"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 xml:space="preserve">Monthly online shopping frequency </w:t>
            </w:r>
          </w:p>
        </w:tc>
        <w:tc>
          <w:tcPr>
            <w:tcW w:w="1980" w:type="dxa"/>
            <w:tcBorders>
              <w:top w:val="nil"/>
              <w:left w:val="nil"/>
              <w:bottom w:val="nil"/>
              <w:right w:val="nil"/>
            </w:tcBorders>
          </w:tcPr>
          <w:p w14:paraId="4B0723AA"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 xml:space="preserve">City or other </w:t>
            </w:r>
          </w:p>
        </w:tc>
        <w:tc>
          <w:tcPr>
            <w:tcW w:w="2790" w:type="dxa"/>
            <w:tcBorders>
              <w:top w:val="nil"/>
              <w:left w:val="nil"/>
              <w:bottom w:val="nil"/>
              <w:right w:val="nil"/>
            </w:tcBorders>
          </w:tcPr>
          <w:p w14:paraId="6BF01383"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Consumers living in the city shopped online more frequently.</w:t>
            </w:r>
          </w:p>
        </w:tc>
        <w:tc>
          <w:tcPr>
            <w:tcW w:w="1170" w:type="dxa"/>
            <w:tcBorders>
              <w:top w:val="nil"/>
              <w:left w:val="nil"/>
              <w:bottom w:val="nil"/>
              <w:right w:val="nil"/>
            </w:tcBorders>
          </w:tcPr>
          <w:p w14:paraId="742971DC"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Innovation-diffusion</w:t>
            </w:r>
          </w:p>
        </w:tc>
      </w:tr>
      <w:tr w:rsidR="00965D6A" w:rsidRPr="00965D6A" w14:paraId="6FF5126A" w14:textId="77777777" w:rsidTr="00683A62">
        <w:trPr>
          <w:trHeight w:val="1097"/>
        </w:trPr>
        <w:tc>
          <w:tcPr>
            <w:tcW w:w="964" w:type="dxa"/>
            <w:tcBorders>
              <w:top w:val="nil"/>
              <w:left w:val="nil"/>
              <w:bottom w:val="nil"/>
              <w:right w:val="nil"/>
            </w:tcBorders>
            <w:hideMark/>
          </w:tcPr>
          <w:p w14:paraId="6ABC20A9"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lastRenderedPageBreak/>
              <w:t>Song (2022)</w:t>
            </w:r>
          </w:p>
        </w:tc>
        <w:tc>
          <w:tcPr>
            <w:tcW w:w="903" w:type="dxa"/>
            <w:tcBorders>
              <w:top w:val="nil"/>
              <w:left w:val="nil"/>
              <w:bottom w:val="nil"/>
              <w:right w:val="nil"/>
            </w:tcBorders>
            <w:hideMark/>
          </w:tcPr>
          <w:p w14:paraId="4E3DEB5B"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Data from online retailer Alibaba</w:t>
            </w:r>
          </w:p>
        </w:tc>
        <w:tc>
          <w:tcPr>
            <w:tcW w:w="1553" w:type="dxa"/>
            <w:tcBorders>
              <w:top w:val="nil"/>
              <w:left w:val="nil"/>
              <w:bottom w:val="nil"/>
              <w:right w:val="nil"/>
            </w:tcBorders>
            <w:hideMark/>
          </w:tcPr>
          <w:p w14:paraId="387AD47B"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Cross-sectional</w:t>
            </w:r>
          </w:p>
        </w:tc>
        <w:tc>
          <w:tcPr>
            <w:tcW w:w="1620" w:type="dxa"/>
            <w:tcBorders>
              <w:top w:val="nil"/>
              <w:left w:val="nil"/>
              <w:bottom w:val="nil"/>
              <w:right w:val="nil"/>
            </w:tcBorders>
            <w:hideMark/>
          </w:tcPr>
          <w:p w14:paraId="5B364507"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Counties in China</w:t>
            </w:r>
          </w:p>
        </w:tc>
        <w:tc>
          <w:tcPr>
            <w:tcW w:w="1710" w:type="dxa"/>
            <w:tcBorders>
              <w:top w:val="nil"/>
              <w:left w:val="nil"/>
              <w:bottom w:val="nil"/>
              <w:right w:val="nil"/>
            </w:tcBorders>
            <w:hideMark/>
          </w:tcPr>
          <w:p w14:paraId="4C030F49" w14:textId="55DE5320" w:rsidR="00683A62" w:rsidRPr="00965D6A" w:rsidRDefault="002A5EBE" w:rsidP="00054FEA">
            <w:pPr>
              <w:rPr>
                <w:rFonts w:eastAsia="Times New Roman" w:cs="Times New Roman"/>
                <w:sz w:val="20"/>
                <w:szCs w:val="20"/>
              </w:rPr>
            </w:pPr>
            <w:r w:rsidRPr="00965D6A">
              <w:rPr>
                <w:rFonts w:eastAsia="Times New Roman" w:cs="Times New Roman"/>
                <w:sz w:val="20"/>
                <w:szCs w:val="20"/>
              </w:rPr>
              <w:t>Online shopping index (represents online shopping development level in the county)</w:t>
            </w:r>
          </w:p>
        </w:tc>
        <w:tc>
          <w:tcPr>
            <w:tcW w:w="1980" w:type="dxa"/>
            <w:tcBorders>
              <w:top w:val="nil"/>
              <w:left w:val="nil"/>
              <w:bottom w:val="nil"/>
              <w:right w:val="nil"/>
            </w:tcBorders>
            <w:hideMark/>
          </w:tcPr>
          <w:p w14:paraId="2C6E3305"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Ratio of urbanization</w:t>
            </w:r>
          </w:p>
        </w:tc>
        <w:tc>
          <w:tcPr>
            <w:tcW w:w="2790" w:type="dxa"/>
            <w:tcBorders>
              <w:top w:val="nil"/>
              <w:left w:val="nil"/>
              <w:bottom w:val="nil"/>
              <w:right w:val="nil"/>
            </w:tcBorders>
            <w:hideMark/>
          </w:tcPr>
          <w:p w14:paraId="1AA815F1"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Consumers in urban areas shop online more than those in rural areas.</w:t>
            </w:r>
          </w:p>
        </w:tc>
        <w:tc>
          <w:tcPr>
            <w:tcW w:w="1170" w:type="dxa"/>
            <w:tcBorders>
              <w:top w:val="nil"/>
              <w:left w:val="nil"/>
              <w:bottom w:val="nil"/>
              <w:right w:val="nil"/>
            </w:tcBorders>
          </w:tcPr>
          <w:p w14:paraId="3D5E9132" w14:textId="1F8D3A97" w:rsidR="002A5EBE" w:rsidRPr="00965D6A" w:rsidRDefault="002A5EBE" w:rsidP="00054FEA">
            <w:pPr>
              <w:rPr>
                <w:rFonts w:eastAsia="Times New Roman" w:cs="Times New Roman"/>
                <w:sz w:val="20"/>
                <w:szCs w:val="20"/>
              </w:rPr>
            </w:pPr>
            <w:r w:rsidRPr="00965D6A">
              <w:rPr>
                <w:rFonts w:eastAsia="Times New Roman" w:cs="Times New Roman"/>
                <w:sz w:val="20"/>
                <w:szCs w:val="20"/>
              </w:rPr>
              <w:t>Innovation-diff</w:t>
            </w:r>
            <w:r w:rsidR="0032481F" w:rsidRPr="00965D6A">
              <w:rPr>
                <w:rFonts w:eastAsia="Times New Roman" w:cs="Times New Roman"/>
                <w:sz w:val="20"/>
                <w:szCs w:val="20"/>
              </w:rPr>
              <w:t>u</w:t>
            </w:r>
            <w:r w:rsidRPr="00965D6A">
              <w:rPr>
                <w:rFonts w:eastAsia="Times New Roman" w:cs="Times New Roman"/>
                <w:sz w:val="20"/>
                <w:szCs w:val="20"/>
              </w:rPr>
              <w:t>sion</w:t>
            </w:r>
          </w:p>
        </w:tc>
      </w:tr>
      <w:tr w:rsidR="00965D6A" w:rsidRPr="00965D6A" w14:paraId="68E5DB8E" w14:textId="77777777" w:rsidTr="00683A62">
        <w:trPr>
          <w:trHeight w:val="453"/>
        </w:trPr>
        <w:tc>
          <w:tcPr>
            <w:tcW w:w="964" w:type="dxa"/>
            <w:tcBorders>
              <w:top w:val="nil"/>
              <w:left w:val="nil"/>
              <w:right w:val="nil"/>
            </w:tcBorders>
          </w:tcPr>
          <w:p w14:paraId="27D051E3" w14:textId="4BA6834F" w:rsidR="002A5EBE" w:rsidRPr="00965D6A" w:rsidRDefault="002A5EBE" w:rsidP="00054FEA">
            <w:pPr>
              <w:rPr>
                <w:rFonts w:eastAsia="Times New Roman" w:cs="Times New Roman"/>
                <w:sz w:val="20"/>
                <w:szCs w:val="20"/>
              </w:rPr>
            </w:pPr>
            <w:r w:rsidRPr="00965D6A">
              <w:rPr>
                <w:rFonts w:eastAsia="Times New Roman" w:cs="Times New Roman"/>
                <w:sz w:val="20"/>
                <w:szCs w:val="20"/>
              </w:rPr>
              <w:t>Young</w:t>
            </w:r>
            <w:r w:rsidR="00683A62" w:rsidRPr="00965D6A">
              <w:rPr>
                <w:rFonts w:eastAsia="Times New Roman" w:cs="Times New Roman"/>
                <w:sz w:val="20"/>
                <w:szCs w:val="20"/>
              </w:rPr>
              <w:t xml:space="preserve"> </w:t>
            </w:r>
            <w:r w:rsidR="00683A62" w:rsidRPr="00965D6A">
              <w:rPr>
                <w:rFonts w:eastAsia="Times New Roman" w:cs="Times New Roman"/>
                <w:i/>
                <w:iCs/>
                <w:sz w:val="20"/>
                <w:szCs w:val="20"/>
              </w:rPr>
              <w:t>et al</w:t>
            </w:r>
            <w:r w:rsidR="00683A62" w:rsidRPr="00965D6A">
              <w:rPr>
                <w:rFonts w:eastAsia="Times New Roman" w:cs="Times New Roman"/>
                <w:sz w:val="20"/>
                <w:szCs w:val="20"/>
              </w:rPr>
              <w:t>.</w:t>
            </w:r>
            <w:r w:rsidRPr="00965D6A">
              <w:rPr>
                <w:rFonts w:eastAsia="Times New Roman" w:cs="Times New Roman"/>
                <w:sz w:val="20"/>
                <w:szCs w:val="20"/>
              </w:rPr>
              <w:t xml:space="preserve"> (2022)</w:t>
            </w:r>
          </w:p>
        </w:tc>
        <w:tc>
          <w:tcPr>
            <w:tcW w:w="903" w:type="dxa"/>
            <w:tcBorders>
              <w:top w:val="nil"/>
              <w:left w:val="nil"/>
              <w:right w:val="nil"/>
            </w:tcBorders>
          </w:tcPr>
          <w:p w14:paraId="7DE24229"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Survey</w:t>
            </w:r>
          </w:p>
        </w:tc>
        <w:tc>
          <w:tcPr>
            <w:tcW w:w="1553" w:type="dxa"/>
            <w:tcBorders>
              <w:top w:val="nil"/>
              <w:left w:val="nil"/>
              <w:right w:val="nil"/>
            </w:tcBorders>
          </w:tcPr>
          <w:p w14:paraId="6C1110C8"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Longitudinal</w:t>
            </w:r>
          </w:p>
        </w:tc>
        <w:tc>
          <w:tcPr>
            <w:tcW w:w="1620" w:type="dxa"/>
            <w:tcBorders>
              <w:top w:val="nil"/>
              <w:left w:val="nil"/>
              <w:right w:val="nil"/>
            </w:tcBorders>
          </w:tcPr>
          <w:p w14:paraId="65BDCC74"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Consumers in 11 cities in the US</w:t>
            </w:r>
          </w:p>
        </w:tc>
        <w:tc>
          <w:tcPr>
            <w:tcW w:w="1710" w:type="dxa"/>
            <w:tcBorders>
              <w:top w:val="nil"/>
              <w:left w:val="nil"/>
              <w:right w:val="nil"/>
            </w:tcBorders>
          </w:tcPr>
          <w:p w14:paraId="3D596B76"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Frequency of online shopping</w:t>
            </w:r>
          </w:p>
        </w:tc>
        <w:tc>
          <w:tcPr>
            <w:tcW w:w="1980" w:type="dxa"/>
            <w:tcBorders>
              <w:top w:val="nil"/>
              <w:left w:val="nil"/>
              <w:right w:val="nil"/>
            </w:tcBorders>
          </w:tcPr>
          <w:p w14:paraId="2A7C683B"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Urban, suburban, rural/small town</w:t>
            </w:r>
          </w:p>
        </w:tc>
        <w:tc>
          <w:tcPr>
            <w:tcW w:w="2790" w:type="dxa"/>
            <w:tcBorders>
              <w:top w:val="nil"/>
              <w:left w:val="nil"/>
              <w:right w:val="nil"/>
            </w:tcBorders>
          </w:tcPr>
          <w:p w14:paraId="01B77B86"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Prior to the pandemic (fall 2019), urban consumers shopped online more than rural consumers. After COVID, suburban consumers were more likely to shop online.</w:t>
            </w:r>
          </w:p>
        </w:tc>
        <w:tc>
          <w:tcPr>
            <w:tcW w:w="1170" w:type="dxa"/>
            <w:tcBorders>
              <w:top w:val="nil"/>
              <w:left w:val="nil"/>
              <w:right w:val="nil"/>
            </w:tcBorders>
          </w:tcPr>
          <w:p w14:paraId="770A8038"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Both</w:t>
            </w:r>
          </w:p>
        </w:tc>
      </w:tr>
      <w:tr w:rsidR="00965D6A" w:rsidRPr="00965D6A" w14:paraId="7DDC0AD3" w14:textId="77777777" w:rsidTr="00683A62">
        <w:trPr>
          <w:trHeight w:val="453"/>
        </w:trPr>
        <w:tc>
          <w:tcPr>
            <w:tcW w:w="964" w:type="dxa"/>
            <w:tcBorders>
              <w:top w:val="nil"/>
              <w:left w:val="nil"/>
              <w:bottom w:val="single" w:sz="4" w:space="0" w:color="auto"/>
              <w:right w:val="nil"/>
            </w:tcBorders>
            <w:hideMark/>
          </w:tcPr>
          <w:p w14:paraId="5524C70D"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Wieland (2023)</w:t>
            </w:r>
          </w:p>
        </w:tc>
        <w:tc>
          <w:tcPr>
            <w:tcW w:w="903" w:type="dxa"/>
            <w:tcBorders>
              <w:top w:val="nil"/>
              <w:left w:val="nil"/>
              <w:bottom w:val="single" w:sz="4" w:space="0" w:color="auto"/>
              <w:right w:val="nil"/>
            </w:tcBorders>
            <w:hideMark/>
          </w:tcPr>
          <w:p w14:paraId="7EF53036"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Survey</w:t>
            </w:r>
          </w:p>
        </w:tc>
        <w:tc>
          <w:tcPr>
            <w:tcW w:w="1553" w:type="dxa"/>
            <w:tcBorders>
              <w:top w:val="nil"/>
              <w:left w:val="nil"/>
              <w:bottom w:val="single" w:sz="4" w:space="0" w:color="auto"/>
              <w:right w:val="nil"/>
            </w:tcBorders>
            <w:hideMark/>
          </w:tcPr>
          <w:p w14:paraId="1F477670"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Cross-sectional</w:t>
            </w:r>
          </w:p>
        </w:tc>
        <w:tc>
          <w:tcPr>
            <w:tcW w:w="1620" w:type="dxa"/>
            <w:tcBorders>
              <w:top w:val="nil"/>
              <w:left w:val="nil"/>
              <w:bottom w:val="single" w:sz="4" w:space="0" w:color="auto"/>
              <w:right w:val="nil"/>
            </w:tcBorders>
            <w:hideMark/>
          </w:tcPr>
          <w:p w14:paraId="1397730B"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Consumers in Germany</w:t>
            </w:r>
          </w:p>
        </w:tc>
        <w:tc>
          <w:tcPr>
            <w:tcW w:w="1710" w:type="dxa"/>
            <w:tcBorders>
              <w:top w:val="nil"/>
              <w:left w:val="nil"/>
              <w:bottom w:val="single" w:sz="4" w:space="0" w:color="auto"/>
              <w:right w:val="nil"/>
            </w:tcBorders>
            <w:hideMark/>
          </w:tcPr>
          <w:p w14:paraId="342523FF"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Frequency of online shopping</w:t>
            </w:r>
          </w:p>
        </w:tc>
        <w:tc>
          <w:tcPr>
            <w:tcW w:w="1980" w:type="dxa"/>
            <w:tcBorders>
              <w:top w:val="nil"/>
              <w:left w:val="nil"/>
              <w:bottom w:val="single" w:sz="4" w:space="0" w:color="auto"/>
              <w:right w:val="nil"/>
            </w:tcBorders>
            <w:hideMark/>
          </w:tcPr>
          <w:p w14:paraId="0FE2AD8E"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Urban area as defined by German classifications (large city)</w:t>
            </w:r>
          </w:p>
        </w:tc>
        <w:tc>
          <w:tcPr>
            <w:tcW w:w="2790" w:type="dxa"/>
            <w:tcBorders>
              <w:top w:val="nil"/>
              <w:left w:val="nil"/>
              <w:bottom w:val="single" w:sz="4" w:space="0" w:color="auto"/>
              <w:right w:val="nil"/>
            </w:tcBorders>
            <w:hideMark/>
          </w:tcPr>
          <w:p w14:paraId="0628D1BE"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More urban consumers shopped for furniture online, but there was no difference in urban versus rural consumers for other product categories (groceries, clothing, electronics). Accessibility of stores was also negatively related to shopping online for furniture but not significant for other categories.</w:t>
            </w:r>
          </w:p>
        </w:tc>
        <w:tc>
          <w:tcPr>
            <w:tcW w:w="1170" w:type="dxa"/>
            <w:tcBorders>
              <w:top w:val="nil"/>
              <w:left w:val="nil"/>
              <w:bottom w:val="single" w:sz="4" w:space="0" w:color="auto"/>
              <w:right w:val="nil"/>
            </w:tcBorders>
          </w:tcPr>
          <w:p w14:paraId="67031F7E" w14:textId="77777777" w:rsidR="002A5EBE" w:rsidRPr="00965D6A" w:rsidRDefault="002A5EBE" w:rsidP="00054FEA">
            <w:pPr>
              <w:rPr>
                <w:rFonts w:eastAsia="Times New Roman" w:cs="Times New Roman"/>
                <w:sz w:val="20"/>
                <w:szCs w:val="20"/>
              </w:rPr>
            </w:pPr>
            <w:r w:rsidRPr="00965D6A">
              <w:rPr>
                <w:rFonts w:eastAsia="Times New Roman" w:cs="Times New Roman"/>
                <w:sz w:val="20"/>
                <w:szCs w:val="20"/>
              </w:rPr>
              <w:t>Both</w:t>
            </w:r>
          </w:p>
        </w:tc>
      </w:tr>
    </w:tbl>
    <w:p w14:paraId="7A78DFB7" w14:textId="72D5A466" w:rsidR="00870F95" w:rsidRPr="00965D6A" w:rsidRDefault="00870F95" w:rsidP="00870F95">
      <w:pPr>
        <w:jc w:val="both"/>
      </w:pPr>
      <w:r w:rsidRPr="00965D6A">
        <w:rPr>
          <w:b/>
          <w:bCs/>
          <w:sz w:val="20"/>
          <w:szCs w:val="20"/>
        </w:rPr>
        <w:t xml:space="preserve">Source(s): </w:t>
      </w:r>
      <w:r w:rsidRPr="00965D6A">
        <w:rPr>
          <w:sz w:val="20"/>
          <w:szCs w:val="20"/>
        </w:rPr>
        <w:t xml:space="preserve">Authors’ </w:t>
      </w:r>
      <w:proofErr w:type="gramStart"/>
      <w:r w:rsidRPr="00965D6A">
        <w:rPr>
          <w:sz w:val="20"/>
          <w:szCs w:val="20"/>
        </w:rPr>
        <w:t>own</w:t>
      </w:r>
      <w:proofErr w:type="gramEnd"/>
      <w:r w:rsidR="00567E07">
        <w:rPr>
          <w:sz w:val="20"/>
          <w:szCs w:val="20"/>
        </w:rPr>
        <w:t xml:space="preserve"> work</w:t>
      </w:r>
    </w:p>
    <w:p w14:paraId="097C1D93" w14:textId="77777777" w:rsidR="00683A62" w:rsidRPr="00965D6A" w:rsidRDefault="00683A62" w:rsidP="008D4781">
      <w:pPr>
        <w:jc w:val="both"/>
        <w:rPr>
          <w:b/>
          <w:bCs/>
        </w:rPr>
        <w:sectPr w:rsidR="00683A62" w:rsidRPr="00965D6A" w:rsidSect="00683A62">
          <w:footerReference w:type="default" r:id="rId6"/>
          <w:pgSz w:w="15840" w:h="12240" w:orient="landscape"/>
          <w:pgMar w:top="1440" w:right="1440" w:bottom="1440" w:left="1440" w:header="720" w:footer="720" w:gutter="0"/>
          <w:cols w:space="720"/>
          <w:docGrid w:linePitch="360"/>
        </w:sectPr>
      </w:pPr>
    </w:p>
    <w:p w14:paraId="70F05A8A" w14:textId="5DED4ED0" w:rsidR="00DC4FE1" w:rsidRPr="00965D6A" w:rsidRDefault="00DC4FE1" w:rsidP="00DC4FE1">
      <w:pPr>
        <w:jc w:val="center"/>
        <w:rPr>
          <w:b/>
          <w:bCs/>
        </w:rPr>
      </w:pPr>
      <w:r w:rsidRPr="00965D6A">
        <w:rPr>
          <w:b/>
          <w:bCs/>
        </w:rPr>
        <w:lastRenderedPageBreak/>
        <w:t>SUPPLEMENTARY MATERIALS</w:t>
      </w:r>
      <w:r w:rsidR="00E95126" w:rsidRPr="00965D6A">
        <w:rPr>
          <w:b/>
          <w:bCs/>
        </w:rPr>
        <w:t xml:space="preserve"> SECTION II</w:t>
      </w:r>
      <w:r w:rsidRPr="00965D6A">
        <w:rPr>
          <w:b/>
          <w:bCs/>
        </w:rPr>
        <w:t>: DESIGN MATRIX</w:t>
      </w:r>
    </w:p>
    <w:p w14:paraId="3BD3EF18" w14:textId="77777777" w:rsidR="00DC4FE1" w:rsidRPr="00965D6A" w:rsidRDefault="00DC4FE1" w:rsidP="003230C1">
      <w:pPr>
        <w:jc w:val="both"/>
        <w:rPr>
          <w:b/>
          <w:bCs/>
        </w:rPr>
      </w:pPr>
    </w:p>
    <w:p w14:paraId="4A7A3127" w14:textId="4CD07CAB" w:rsidR="003230C1" w:rsidRPr="00965D6A" w:rsidRDefault="00DC4FE1" w:rsidP="003230C1">
      <w:pPr>
        <w:jc w:val="both"/>
      </w:pPr>
      <w:r w:rsidRPr="00965D6A">
        <w:rPr>
          <w:b/>
          <w:bCs/>
        </w:rPr>
        <w:t>Table B.</w:t>
      </w:r>
      <w:r w:rsidR="003230C1" w:rsidRPr="00965D6A">
        <w:t xml:space="preserve"> Design matrix for Trend</w:t>
      </w:r>
      <w:r w:rsidR="00DB739D" w:rsidRPr="00965D6A">
        <w:t>10</w:t>
      </w:r>
      <w:r w:rsidR="009F1EB0" w:rsidRPr="00965D6A">
        <w:t>to</w:t>
      </w:r>
      <w:r w:rsidR="00DB739D" w:rsidRPr="00965D6A">
        <w:t>19</w:t>
      </w:r>
      <w:r w:rsidR="003230C1" w:rsidRPr="00965D6A">
        <w:t xml:space="preserve"> and </w:t>
      </w:r>
      <w:r w:rsidR="00DB739D" w:rsidRPr="00965D6A">
        <w:t>Jump20</w:t>
      </w:r>
      <w:r w:rsidR="009F1EB0" w:rsidRPr="00965D6A">
        <w:t>to</w:t>
      </w:r>
      <w:r w:rsidR="00DB739D" w:rsidRPr="00965D6A">
        <w:t>23</w:t>
      </w:r>
      <w:r w:rsidR="003230C1" w:rsidRPr="00965D6A">
        <w:t xml:space="preserve"> variables</w:t>
      </w:r>
    </w:p>
    <w:tbl>
      <w:tblPr>
        <w:tblW w:w="7113" w:type="dxa"/>
        <w:jc w:val="center"/>
        <w:tblCellMar>
          <w:left w:w="0" w:type="dxa"/>
          <w:right w:w="0" w:type="dxa"/>
        </w:tblCellMar>
        <w:tblLook w:val="0420" w:firstRow="1" w:lastRow="0" w:firstColumn="0" w:lastColumn="0" w:noHBand="0" w:noVBand="1"/>
      </w:tblPr>
      <w:tblGrid>
        <w:gridCol w:w="1777"/>
        <w:gridCol w:w="1778"/>
        <w:gridCol w:w="1778"/>
        <w:gridCol w:w="1780"/>
      </w:tblGrid>
      <w:tr w:rsidR="00965D6A" w:rsidRPr="00965D6A" w14:paraId="3897EAC4" w14:textId="77777777" w:rsidTr="00CB1E47">
        <w:trPr>
          <w:trHeight w:val="13"/>
          <w:jc w:val="center"/>
        </w:trPr>
        <w:tc>
          <w:tcPr>
            <w:tcW w:w="1777" w:type="dxa"/>
            <w:tcBorders>
              <w:top w:val="single" w:sz="4" w:space="0" w:color="auto"/>
              <w:left w:val="nil"/>
              <w:bottom w:val="single" w:sz="8" w:space="0" w:color="525053"/>
              <w:right w:val="nil"/>
            </w:tcBorders>
            <w:tcMar>
              <w:top w:w="72" w:type="dxa"/>
              <w:left w:w="144" w:type="dxa"/>
              <w:bottom w:w="72" w:type="dxa"/>
              <w:right w:w="144" w:type="dxa"/>
            </w:tcMar>
            <w:hideMark/>
          </w:tcPr>
          <w:p w14:paraId="4CBC8AB2" w14:textId="77777777" w:rsidR="003230C1" w:rsidRPr="00965D6A" w:rsidRDefault="003230C1" w:rsidP="00CB1E47">
            <w:pPr>
              <w:jc w:val="center"/>
              <w:rPr>
                <w:rFonts w:cs="Times New Roman"/>
                <w:sz w:val="20"/>
                <w:szCs w:val="20"/>
              </w:rPr>
            </w:pPr>
            <w:r w:rsidRPr="00965D6A">
              <w:rPr>
                <w:rFonts w:cs="Times New Roman"/>
                <w:b/>
                <w:bCs/>
                <w:sz w:val="20"/>
                <w:szCs w:val="20"/>
              </w:rPr>
              <w:t>Year</w:t>
            </w:r>
          </w:p>
        </w:tc>
        <w:tc>
          <w:tcPr>
            <w:tcW w:w="1778" w:type="dxa"/>
            <w:tcBorders>
              <w:top w:val="single" w:sz="4" w:space="0" w:color="auto"/>
              <w:left w:val="nil"/>
              <w:bottom w:val="single" w:sz="8" w:space="0" w:color="525053"/>
              <w:right w:val="nil"/>
            </w:tcBorders>
          </w:tcPr>
          <w:p w14:paraId="7821AD38" w14:textId="77777777" w:rsidR="003230C1" w:rsidRPr="00965D6A" w:rsidRDefault="003230C1" w:rsidP="00CB1E47">
            <w:pPr>
              <w:jc w:val="center"/>
              <w:rPr>
                <w:rFonts w:cs="Times New Roman"/>
                <w:b/>
                <w:bCs/>
                <w:sz w:val="20"/>
                <w:szCs w:val="20"/>
              </w:rPr>
            </w:pPr>
            <w:r w:rsidRPr="00965D6A">
              <w:rPr>
                <w:rFonts w:cs="Times New Roman"/>
                <w:b/>
                <w:bCs/>
                <w:sz w:val="20"/>
                <w:szCs w:val="20"/>
              </w:rPr>
              <w:t>Intercept</w:t>
            </w:r>
          </w:p>
        </w:tc>
        <w:tc>
          <w:tcPr>
            <w:tcW w:w="1778" w:type="dxa"/>
            <w:tcBorders>
              <w:top w:val="single" w:sz="4" w:space="0" w:color="auto"/>
              <w:left w:val="nil"/>
              <w:bottom w:val="single" w:sz="8" w:space="0" w:color="525053"/>
              <w:right w:val="nil"/>
            </w:tcBorders>
            <w:tcMar>
              <w:top w:w="72" w:type="dxa"/>
              <w:left w:w="144" w:type="dxa"/>
              <w:bottom w:w="72" w:type="dxa"/>
              <w:right w:w="144" w:type="dxa"/>
            </w:tcMar>
            <w:hideMark/>
          </w:tcPr>
          <w:p w14:paraId="3EFF4663" w14:textId="5BFEB920" w:rsidR="003230C1" w:rsidRPr="00965D6A" w:rsidRDefault="003230C1" w:rsidP="00CB1E47">
            <w:pPr>
              <w:jc w:val="center"/>
              <w:rPr>
                <w:rFonts w:cs="Times New Roman"/>
                <w:sz w:val="20"/>
                <w:szCs w:val="20"/>
              </w:rPr>
            </w:pPr>
            <w:r w:rsidRPr="00965D6A">
              <w:rPr>
                <w:rFonts w:cs="Times New Roman"/>
                <w:b/>
                <w:bCs/>
                <w:sz w:val="20"/>
                <w:szCs w:val="20"/>
              </w:rPr>
              <w:t>Trend</w:t>
            </w:r>
            <w:r w:rsidR="00DB739D" w:rsidRPr="00965D6A">
              <w:rPr>
                <w:rFonts w:cs="Times New Roman"/>
                <w:b/>
                <w:bCs/>
                <w:sz w:val="20"/>
                <w:szCs w:val="20"/>
              </w:rPr>
              <w:t>10</w:t>
            </w:r>
            <w:r w:rsidR="009F1EB0" w:rsidRPr="00965D6A">
              <w:rPr>
                <w:rFonts w:cs="Times New Roman"/>
                <w:b/>
                <w:bCs/>
                <w:sz w:val="20"/>
                <w:szCs w:val="20"/>
              </w:rPr>
              <w:t>to</w:t>
            </w:r>
            <w:r w:rsidR="00DB739D" w:rsidRPr="00965D6A">
              <w:rPr>
                <w:rFonts w:cs="Times New Roman"/>
                <w:b/>
                <w:bCs/>
                <w:sz w:val="20"/>
                <w:szCs w:val="20"/>
              </w:rPr>
              <w:t>19</w:t>
            </w:r>
          </w:p>
        </w:tc>
        <w:tc>
          <w:tcPr>
            <w:tcW w:w="1780" w:type="dxa"/>
            <w:tcBorders>
              <w:top w:val="single" w:sz="4" w:space="0" w:color="auto"/>
              <w:left w:val="nil"/>
              <w:bottom w:val="single" w:sz="8" w:space="0" w:color="525053"/>
              <w:right w:val="nil"/>
            </w:tcBorders>
            <w:tcMar>
              <w:top w:w="72" w:type="dxa"/>
              <w:left w:w="144" w:type="dxa"/>
              <w:bottom w:w="72" w:type="dxa"/>
              <w:right w:w="144" w:type="dxa"/>
            </w:tcMar>
            <w:hideMark/>
          </w:tcPr>
          <w:p w14:paraId="623C2658" w14:textId="754B97CA" w:rsidR="003230C1" w:rsidRPr="00965D6A" w:rsidRDefault="00DB739D" w:rsidP="00CB1E47">
            <w:pPr>
              <w:jc w:val="center"/>
              <w:rPr>
                <w:rFonts w:cs="Times New Roman"/>
                <w:sz w:val="20"/>
                <w:szCs w:val="20"/>
              </w:rPr>
            </w:pPr>
            <w:r w:rsidRPr="00965D6A">
              <w:rPr>
                <w:rFonts w:cs="Times New Roman"/>
                <w:b/>
                <w:bCs/>
                <w:sz w:val="20"/>
                <w:szCs w:val="20"/>
              </w:rPr>
              <w:t>Jump20</w:t>
            </w:r>
            <w:r w:rsidR="009F1EB0" w:rsidRPr="00965D6A">
              <w:rPr>
                <w:rFonts w:cs="Times New Roman"/>
                <w:b/>
                <w:bCs/>
                <w:sz w:val="20"/>
                <w:szCs w:val="20"/>
              </w:rPr>
              <w:t>to</w:t>
            </w:r>
            <w:r w:rsidRPr="00965D6A">
              <w:rPr>
                <w:rFonts w:cs="Times New Roman"/>
                <w:b/>
                <w:bCs/>
                <w:sz w:val="20"/>
                <w:szCs w:val="20"/>
              </w:rPr>
              <w:t>23</w:t>
            </w:r>
          </w:p>
        </w:tc>
      </w:tr>
      <w:tr w:rsidR="00965D6A" w:rsidRPr="00965D6A" w14:paraId="0F2CE2F9" w14:textId="77777777" w:rsidTr="00CB1E47">
        <w:trPr>
          <w:trHeight w:val="243"/>
          <w:jc w:val="center"/>
        </w:trPr>
        <w:tc>
          <w:tcPr>
            <w:tcW w:w="1777" w:type="dxa"/>
            <w:tcBorders>
              <w:top w:val="single" w:sz="8" w:space="0" w:color="525053"/>
              <w:left w:val="nil"/>
              <w:bottom w:val="nil"/>
              <w:right w:val="nil"/>
            </w:tcBorders>
            <w:tcMar>
              <w:top w:w="72" w:type="dxa"/>
              <w:left w:w="144" w:type="dxa"/>
              <w:bottom w:w="72" w:type="dxa"/>
              <w:right w:w="144" w:type="dxa"/>
            </w:tcMar>
            <w:hideMark/>
          </w:tcPr>
          <w:p w14:paraId="37163127" w14:textId="77777777" w:rsidR="003230C1" w:rsidRPr="00965D6A" w:rsidRDefault="003230C1" w:rsidP="00CB1E47">
            <w:pPr>
              <w:jc w:val="center"/>
              <w:rPr>
                <w:rFonts w:cs="Times New Roman"/>
                <w:sz w:val="20"/>
                <w:szCs w:val="20"/>
              </w:rPr>
            </w:pPr>
            <w:r w:rsidRPr="00965D6A">
              <w:rPr>
                <w:rFonts w:cs="Times New Roman"/>
                <w:sz w:val="20"/>
                <w:szCs w:val="20"/>
              </w:rPr>
              <w:t>2010</w:t>
            </w:r>
          </w:p>
        </w:tc>
        <w:tc>
          <w:tcPr>
            <w:tcW w:w="1778" w:type="dxa"/>
            <w:tcBorders>
              <w:top w:val="single" w:sz="8" w:space="0" w:color="525053"/>
              <w:left w:val="nil"/>
              <w:bottom w:val="nil"/>
              <w:right w:val="nil"/>
            </w:tcBorders>
          </w:tcPr>
          <w:p w14:paraId="696877BD" w14:textId="77777777" w:rsidR="003230C1" w:rsidRPr="00965D6A" w:rsidRDefault="003230C1" w:rsidP="00CB1E47">
            <w:pPr>
              <w:jc w:val="center"/>
              <w:rPr>
                <w:rFonts w:cs="Times New Roman"/>
                <w:sz w:val="20"/>
                <w:szCs w:val="20"/>
              </w:rPr>
            </w:pPr>
            <w:r w:rsidRPr="00965D6A">
              <w:rPr>
                <w:rFonts w:cs="Times New Roman"/>
                <w:sz w:val="20"/>
                <w:szCs w:val="20"/>
              </w:rPr>
              <w:t>1</w:t>
            </w:r>
          </w:p>
        </w:tc>
        <w:tc>
          <w:tcPr>
            <w:tcW w:w="1778" w:type="dxa"/>
            <w:tcBorders>
              <w:top w:val="single" w:sz="8" w:space="0" w:color="525053"/>
              <w:left w:val="nil"/>
              <w:bottom w:val="nil"/>
              <w:right w:val="nil"/>
            </w:tcBorders>
            <w:tcMar>
              <w:top w:w="72" w:type="dxa"/>
              <w:left w:w="144" w:type="dxa"/>
              <w:bottom w:w="72" w:type="dxa"/>
              <w:right w:w="144" w:type="dxa"/>
            </w:tcMar>
            <w:hideMark/>
          </w:tcPr>
          <w:p w14:paraId="67C66DF1" w14:textId="77777777" w:rsidR="003230C1" w:rsidRPr="00965D6A" w:rsidRDefault="003230C1" w:rsidP="00CB1E47">
            <w:pPr>
              <w:jc w:val="center"/>
              <w:rPr>
                <w:rFonts w:cs="Times New Roman"/>
                <w:sz w:val="20"/>
                <w:szCs w:val="20"/>
              </w:rPr>
            </w:pPr>
            <w:r w:rsidRPr="00965D6A">
              <w:rPr>
                <w:rFonts w:cs="Times New Roman"/>
                <w:sz w:val="20"/>
                <w:szCs w:val="20"/>
              </w:rPr>
              <w:t>–9</w:t>
            </w:r>
          </w:p>
        </w:tc>
        <w:tc>
          <w:tcPr>
            <w:tcW w:w="1780" w:type="dxa"/>
            <w:tcBorders>
              <w:top w:val="single" w:sz="8" w:space="0" w:color="525053"/>
              <w:left w:val="nil"/>
              <w:bottom w:val="nil"/>
              <w:right w:val="nil"/>
            </w:tcBorders>
            <w:tcMar>
              <w:top w:w="72" w:type="dxa"/>
              <w:left w:w="144" w:type="dxa"/>
              <w:bottom w:w="72" w:type="dxa"/>
              <w:right w:w="144" w:type="dxa"/>
            </w:tcMar>
            <w:hideMark/>
          </w:tcPr>
          <w:p w14:paraId="4274A00D" w14:textId="77777777" w:rsidR="003230C1" w:rsidRPr="00965D6A" w:rsidRDefault="003230C1" w:rsidP="00CB1E47">
            <w:pPr>
              <w:jc w:val="center"/>
              <w:rPr>
                <w:rFonts w:cs="Times New Roman"/>
                <w:sz w:val="20"/>
                <w:szCs w:val="20"/>
              </w:rPr>
            </w:pPr>
            <w:r w:rsidRPr="00965D6A">
              <w:rPr>
                <w:rFonts w:cs="Times New Roman"/>
                <w:sz w:val="20"/>
                <w:szCs w:val="20"/>
              </w:rPr>
              <w:t>0</w:t>
            </w:r>
          </w:p>
        </w:tc>
      </w:tr>
      <w:tr w:rsidR="00965D6A" w:rsidRPr="00965D6A" w14:paraId="0E6B424C" w14:textId="77777777" w:rsidTr="00CB1E47">
        <w:trPr>
          <w:trHeight w:val="243"/>
          <w:jc w:val="center"/>
        </w:trPr>
        <w:tc>
          <w:tcPr>
            <w:tcW w:w="1777" w:type="dxa"/>
            <w:tcBorders>
              <w:top w:val="nil"/>
              <w:left w:val="nil"/>
              <w:bottom w:val="nil"/>
              <w:right w:val="nil"/>
            </w:tcBorders>
            <w:tcMar>
              <w:top w:w="72" w:type="dxa"/>
              <w:left w:w="144" w:type="dxa"/>
              <w:bottom w:w="72" w:type="dxa"/>
              <w:right w:w="144" w:type="dxa"/>
            </w:tcMar>
            <w:hideMark/>
          </w:tcPr>
          <w:p w14:paraId="480C328A" w14:textId="77777777" w:rsidR="003230C1" w:rsidRPr="00965D6A" w:rsidRDefault="003230C1" w:rsidP="00CB1E47">
            <w:pPr>
              <w:jc w:val="center"/>
              <w:rPr>
                <w:rFonts w:cs="Times New Roman"/>
                <w:sz w:val="20"/>
                <w:szCs w:val="20"/>
              </w:rPr>
            </w:pPr>
            <w:r w:rsidRPr="00965D6A">
              <w:rPr>
                <w:rFonts w:cs="Times New Roman"/>
                <w:sz w:val="20"/>
                <w:szCs w:val="20"/>
              </w:rPr>
              <w:t>2011</w:t>
            </w:r>
          </w:p>
        </w:tc>
        <w:tc>
          <w:tcPr>
            <w:tcW w:w="1778" w:type="dxa"/>
            <w:tcBorders>
              <w:top w:val="nil"/>
              <w:left w:val="nil"/>
              <w:bottom w:val="nil"/>
              <w:right w:val="nil"/>
            </w:tcBorders>
          </w:tcPr>
          <w:p w14:paraId="16FBA7EF" w14:textId="77777777" w:rsidR="003230C1" w:rsidRPr="00965D6A" w:rsidRDefault="003230C1" w:rsidP="00CB1E47">
            <w:pPr>
              <w:jc w:val="center"/>
              <w:rPr>
                <w:rFonts w:cs="Times New Roman"/>
                <w:sz w:val="20"/>
                <w:szCs w:val="20"/>
              </w:rPr>
            </w:pPr>
            <w:r w:rsidRPr="00965D6A">
              <w:rPr>
                <w:rFonts w:cs="Times New Roman"/>
                <w:sz w:val="20"/>
                <w:szCs w:val="20"/>
              </w:rPr>
              <w:t>1</w:t>
            </w:r>
          </w:p>
        </w:tc>
        <w:tc>
          <w:tcPr>
            <w:tcW w:w="1778" w:type="dxa"/>
            <w:tcBorders>
              <w:top w:val="nil"/>
              <w:left w:val="nil"/>
              <w:bottom w:val="nil"/>
              <w:right w:val="nil"/>
            </w:tcBorders>
            <w:tcMar>
              <w:top w:w="72" w:type="dxa"/>
              <w:left w:w="144" w:type="dxa"/>
              <w:bottom w:w="72" w:type="dxa"/>
              <w:right w:w="144" w:type="dxa"/>
            </w:tcMar>
            <w:hideMark/>
          </w:tcPr>
          <w:p w14:paraId="4F664075" w14:textId="77777777" w:rsidR="003230C1" w:rsidRPr="00965D6A" w:rsidRDefault="003230C1" w:rsidP="00CB1E47">
            <w:pPr>
              <w:jc w:val="center"/>
              <w:rPr>
                <w:rFonts w:cs="Times New Roman"/>
                <w:sz w:val="20"/>
                <w:szCs w:val="20"/>
              </w:rPr>
            </w:pPr>
            <w:r w:rsidRPr="00965D6A">
              <w:rPr>
                <w:rFonts w:cs="Times New Roman"/>
                <w:sz w:val="20"/>
                <w:szCs w:val="20"/>
              </w:rPr>
              <w:t>–8</w:t>
            </w:r>
          </w:p>
        </w:tc>
        <w:tc>
          <w:tcPr>
            <w:tcW w:w="1780" w:type="dxa"/>
            <w:tcBorders>
              <w:top w:val="nil"/>
              <w:left w:val="nil"/>
              <w:bottom w:val="nil"/>
              <w:right w:val="nil"/>
            </w:tcBorders>
            <w:tcMar>
              <w:top w:w="72" w:type="dxa"/>
              <w:left w:w="144" w:type="dxa"/>
              <w:bottom w:w="72" w:type="dxa"/>
              <w:right w:w="144" w:type="dxa"/>
            </w:tcMar>
            <w:hideMark/>
          </w:tcPr>
          <w:p w14:paraId="20C3B108" w14:textId="77777777" w:rsidR="003230C1" w:rsidRPr="00965D6A" w:rsidRDefault="003230C1" w:rsidP="00CB1E47">
            <w:pPr>
              <w:jc w:val="center"/>
              <w:rPr>
                <w:rFonts w:cs="Times New Roman"/>
                <w:sz w:val="20"/>
                <w:szCs w:val="20"/>
              </w:rPr>
            </w:pPr>
            <w:r w:rsidRPr="00965D6A">
              <w:rPr>
                <w:rFonts w:cs="Times New Roman"/>
                <w:sz w:val="20"/>
                <w:szCs w:val="20"/>
              </w:rPr>
              <w:t>0</w:t>
            </w:r>
          </w:p>
        </w:tc>
      </w:tr>
      <w:tr w:rsidR="00965D6A" w:rsidRPr="00965D6A" w14:paraId="0670811E" w14:textId="77777777" w:rsidTr="00CB1E47">
        <w:trPr>
          <w:trHeight w:val="243"/>
          <w:jc w:val="center"/>
        </w:trPr>
        <w:tc>
          <w:tcPr>
            <w:tcW w:w="1777" w:type="dxa"/>
            <w:tcBorders>
              <w:top w:val="nil"/>
              <w:left w:val="nil"/>
              <w:bottom w:val="nil"/>
              <w:right w:val="nil"/>
            </w:tcBorders>
            <w:tcMar>
              <w:top w:w="72" w:type="dxa"/>
              <w:left w:w="144" w:type="dxa"/>
              <w:bottom w:w="72" w:type="dxa"/>
              <w:right w:w="144" w:type="dxa"/>
            </w:tcMar>
            <w:hideMark/>
          </w:tcPr>
          <w:p w14:paraId="43DB0E8A" w14:textId="77777777" w:rsidR="003230C1" w:rsidRPr="00965D6A" w:rsidRDefault="003230C1" w:rsidP="00CB1E47">
            <w:pPr>
              <w:jc w:val="center"/>
              <w:rPr>
                <w:rFonts w:cs="Times New Roman"/>
                <w:sz w:val="20"/>
                <w:szCs w:val="20"/>
              </w:rPr>
            </w:pPr>
            <w:r w:rsidRPr="00965D6A">
              <w:rPr>
                <w:rFonts w:cs="Times New Roman"/>
                <w:sz w:val="20"/>
                <w:szCs w:val="20"/>
              </w:rPr>
              <w:t>2012</w:t>
            </w:r>
          </w:p>
        </w:tc>
        <w:tc>
          <w:tcPr>
            <w:tcW w:w="1778" w:type="dxa"/>
            <w:tcBorders>
              <w:top w:val="nil"/>
              <w:left w:val="nil"/>
              <w:bottom w:val="nil"/>
              <w:right w:val="nil"/>
            </w:tcBorders>
          </w:tcPr>
          <w:p w14:paraId="45C98F10" w14:textId="77777777" w:rsidR="003230C1" w:rsidRPr="00965D6A" w:rsidRDefault="003230C1" w:rsidP="00CB1E47">
            <w:pPr>
              <w:jc w:val="center"/>
              <w:rPr>
                <w:rFonts w:cs="Times New Roman"/>
                <w:sz w:val="20"/>
                <w:szCs w:val="20"/>
              </w:rPr>
            </w:pPr>
            <w:r w:rsidRPr="00965D6A">
              <w:rPr>
                <w:rFonts w:cs="Times New Roman"/>
                <w:sz w:val="20"/>
                <w:szCs w:val="20"/>
              </w:rPr>
              <w:t>1</w:t>
            </w:r>
          </w:p>
        </w:tc>
        <w:tc>
          <w:tcPr>
            <w:tcW w:w="1778" w:type="dxa"/>
            <w:tcBorders>
              <w:top w:val="nil"/>
              <w:left w:val="nil"/>
              <w:bottom w:val="nil"/>
              <w:right w:val="nil"/>
            </w:tcBorders>
            <w:tcMar>
              <w:top w:w="72" w:type="dxa"/>
              <w:left w:w="144" w:type="dxa"/>
              <w:bottom w:w="72" w:type="dxa"/>
              <w:right w:w="144" w:type="dxa"/>
            </w:tcMar>
            <w:hideMark/>
          </w:tcPr>
          <w:p w14:paraId="608224DD" w14:textId="77777777" w:rsidR="003230C1" w:rsidRPr="00965D6A" w:rsidRDefault="003230C1" w:rsidP="00CB1E47">
            <w:pPr>
              <w:jc w:val="center"/>
              <w:rPr>
                <w:rFonts w:cs="Times New Roman"/>
                <w:sz w:val="20"/>
                <w:szCs w:val="20"/>
              </w:rPr>
            </w:pPr>
            <w:r w:rsidRPr="00965D6A">
              <w:rPr>
                <w:rFonts w:cs="Times New Roman"/>
                <w:sz w:val="20"/>
                <w:szCs w:val="20"/>
              </w:rPr>
              <w:t>–7</w:t>
            </w:r>
          </w:p>
        </w:tc>
        <w:tc>
          <w:tcPr>
            <w:tcW w:w="1780" w:type="dxa"/>
            <w:tcBorders>
              <w:top w:val="nil"/>
              <w:left w:val="nil"/>
              <w:bottom w:val="nil"/>
              <w:right w:val="nil"/>
            </w:tcBorders>
            <w:tcMar>
              <w:top w:w="72" w:type="dxa"/>
              <w:left w:w="144" w:type="dxa"/>
              <w:bottom w:w="72" w:type="dxa"/>
              <w:right w:w="144" w:type="dxa"/>
            </w:tcMar>
            <w:hideMark/>
          </w:tcPr>
          <w:p w14:paraId="7BCD1A22" w14:textId="77777777" w:rsidR="003230C1" w:rsidRPr="00965D6A" w:rsidRDefault="003230C1" w:rsidP="00CB1E47">
            <w:pPr>
              <w:jc w:val="center"/>
              <w:rPr>
                <w:rFonts w:cs="Times New Roman"/>
                <w:sz w:val="20"/>
                <w:szCs w:val="20"/>
              </w:rPr>
            </w:pPr>
            <w:r w:rsidRPr="00965D6A">
              <w:rPr>
                <w:rFonts w:cs="Times New Roman"/>
                <w:sz w:val="20"/>
                <w:szCs w:val="20"/>
              </w:rPr>
              <w:t>0</w:t>
            </w:r>
          </w:p>
        </w:tc>
      </w:tr>
      <w:tr w:rsidR="00965D6A" w:rsidRPr="00965D6A" w14:paraId="181C6BA0" w14:textId="77777777" w:rsidTr="00CB1E47">
        <w:trPr>
          <w:trHeight w:val="243"/>
          <w:jc w:val="center"/>
        </w:trPr>
        <w:tc>
          <w:tcPr>
            <w:tcW w:w="1777" w:type="dxa"/>
            <w:tcBorders>
              <w:top w:val="nil"/>
              <w:left w:val="nil"/>
              <w:bottom w:val="nil"/>
              <w:right w:val="nil"/>
            </w:tcBorders>
            <w:tcMar>
              <w:top w:w="72" w:type="dxa"/>
              <w:left w:w="144" w:type="dxa"/>
              <w:bottom w:w="72" w:type="dxa"/>
              <w:right w:w="144" w:type="dxa"/>
            </w:tcMar>
            <w:hideMark/>
          </w:tcPr>
          <w:p w14:paraId="25160BA1" w14:textId="77777777" w:rsidR="003230C1" w:rsidRPr="00965D6A" w:rsidRDefault="003230C1" w:rsidP="00CB1E47">
            <w:pPr>
              <w:jc w:val="center"/>
              <w:rPr>
                <w:rFonts w:cs="Times New Roman"/>
                <w:sz w:val="20"/>
                <w:szCs w:val="20"/>
              </w:rPr>
            </w:pPr>
            <w:r w:rsidRPr="00965D6A">
              <w:rPr>
                <w:rFonts w:cs="Times New Roman"/>
                <w:sz w:val="20"/>
                <w:szCs w:val="20"/>
              </w:rPr>
              <w:t>2013</w:t>
            </w:r>
          </w:p>
        </w:tc>
        <w:tc>
          <w:tcPr>
            <w:tcW w:w="1778" w:type="dxa"/>
            <w:tcBorders>
              <w:top w:val="nil"/>
              <w:left w:val="nil"/>
              <w:bottom w:val="nil"/>
              <w:right w:val="nil"/>
            </w:tcBorders>
          </w:tcPr>
          <w:p w14:paraId="59C8EE03" w14:textId="77777777" w:rsidR="003230C1" w:rsidRPr="00965D6A" w:rsidRDefault="003230C1" w:rsidP="00CB1E47">
            <w:pPr>
              <w:jc w:val="center"/>
              <w:rPr>
                <w:rFonts w:cs="Times New Roman"/>
                <w:sz w:val="20"/>
                <w:szCs w:val="20"/>
              </w:rPr>
            </w:pPr>
            <w:r w:rsidRPr="00965D6A">
              <w:rPr>
                <w:rFonts w:cs="Times New Roman"/>
                <w:sz w:val="20"/>
                <w:szCs w:val="20"/>
              </w:rPr>
              <w:t>1</w:t>
            </w:r>
          </w:p>
        </w:tc>
        <w:tc>
          <w:tcPr>
            <w:tcW w:w="1778" w:type="dxa"/>
            <w:tcBorders>
              <w:top w:val="nil"/>
              <w:left w:val="nil"/>
              <w:bottom w:val="nil"/>
              <w:right w:val="nil"/>
            </w:tcBorders>
            <w:tcMar>
              <w:top w:w="72" w:type="dxa"/>
              <w:left w:w="144" w:type="dxa"/>
              <w:bottom w:w="72" w:type="dxa"/>
              <w:right w:w="144" w:type="dxa"/>
            </w:tcMar>
            <w:hideMark/>
          </w:tcPr>
          <w:p w14:paraId="0C5FD0B8" w14:textId="77777777" w:rsidR="003230C1" w:rsidRPr="00965D6A" w:rsidRDefault="003230C1" w:rsidP="00CB1E47">
            <w:pPr>
              <w:jc w:val="center"/>
              <w:rPr>
                <w:rFonts w:cs="Times New Roman"/>
                <w:sz w:val="20"/>
                <w:szCs w:val="20"/>
              </w:rPr>
            </w:pPr>
            <w:r w:rsidRPr="00965D6A">
              <w:rPr>
                <w:rFonts w:cs="Times New Roman"/>
                <w:sz w:val="20"/>
                <w:szCs w:val="20"/>
              </w:rPr>
              <w:t>–6</w:t>
            </w:r>
          </w:p>
        </w:tc>
        <w:tc>
          <w:tcPr>
            <w:tcW w:w="1780" w:type="dxa"/>
            <w:tcBorders>
              <w:top w:val="nil"/>
              <w:left w:val="nil"/>
              <w:bottom w:val="nil"/>
              <w:right w:val="nil"/>
            </w:tcBorders>
            <w:tcMar>
              <w:top w:w="72" w:type="dxa"/>
              <w:left w:w="144" w:type="dxa"/>
              <w:bottom w:w="72" w:type="dxa"/>
              <w:right w:w="144" w:type="dxa"/>
            </w:tcMar>
            <w:hideMark/>
          </w:tcPr>
          <w:p w14:paraId="52D6DE56" w14:textId="77777777" w:rsidR="003230C1" w:rsidRPr="00965D6A" w:rsidRDefault="003230C1" w:rsidP="00CB1E47">
            <w:pPr>
              <w:jc w:val="center"/>
              <w:rPr>
                <w:rFonts w:cs="Times New Roman"/>
                <w:sz w:val="20"/>
                <w:szCs w:val="20"/>
              </w:rPr>
            </w:pPr>
            <w:r w:rsidRPr="00965D6A">
              <w:rPr>
                <w:rFonts w:cs="Times New Roman"/>
                <w:sz w:val="20"/>
                <w:szCs w:val="20"/>
              </w:rPr>
              <w:t>0</w:t>
            </w:r>
          </w:p>
        </w:tc>
      </w:tr>
      <w:tr w:rsidR="00965D6A" w:rsidRPr="00965D6A" w14:paraId="7336E6C7" w14:textId="77777777" w:rsidTr="00CB1E47">
        <w:trPr>
          <w:trHeight w:val="243"/>
          <w:jc w:val="center"/>
        </w:trPr>
        <w:tc>
          <w:tcPr>
            <w:tcW w:w="1777" w:type="dxa"/>
            <w:tcBorders>
              <w:top w:val="nil"/>
              <w:left w:val="nil"/>
              <w:bottom w:val="nil"/>
              <w:right w:val="nil"/>
            </w:tcBorders>
            <w:tcMar>
              <w:top w:w="72" w:type="dxa"/>
              <w:left w:w="144" w:type="dxa"/>
              <w:bottom w:w="72" w:type="dxa"/>
              <w:right w:w="144" w:type="dxa"/>
            </w:tcMar>
            <w:hideMark/>
          </w:tcPr>
          <w:p w14:paraId="15599F8F" w14:textId="77777777" w:rsidR="003230C1" w:rsidRPr="00965D6A" w:rsidRDefault="003230C1" w:rsidP="00CB1E47">
            <w:pPr>
              <w:jc w:val="center"/>
              <w:rPr>
                <w:rFonts w:cs="Times New Roman"/>
                <w:sz w:val="20"/>
                <w:szCs w:val="20"/>
              </w:rPr>
            </w:pPr>
            <w:r w:rsidRPr="00965D6A">
              <w:rPr>
                <w:rFonts w:cs="Times New Roman"/>
                <w:sz w:val="20"/>
                <w:szCs w:val="20"/>
              </w:rPr>
              <w:t>2014</w:t>
            </w:r>
          </w:p>
        </w:tc>
        <w:tc>
          <w:tcPr>
            <w:tcW w:w="1778" w:type="dxa"/>
            <w:tcBorders>
              <w:top w:val="nil"/>
              <w:left w:val="nil"/>
              <w:bottom w:val="nil"/>
              <w:right w:val="nil"/>
            </w:tcBorders>
          </w:tcPr>
          <w:p w14:paraId="2A4B00E6" w14:textId="77777777" w:rsidR="003230C1" w:rsidRPr="00965D6A" w:rsidRDefault="003230C1" w:rsidP="00CB1E47">
            <w:pPr>
              <w:jc w:val="center"/>
              <w:rPr>
                <w:rFonts w:cs="Times New Roman"/>
                <w:sz w:val="20"/>
                <w:szCs w:val="20"/>
              </w:rPr>
            </w:pPr>
            <w:r w:rsidRPr="00965D6A">
              <w:rPr>
                <w:rFonts w:cs="Times New Roman"/>
                <w:sz w:val="20"/>
                <w:szCs w:val="20"/>
              </w:rPr>
              <w:t>1</w:t>
            </w:r>
          </w:p>
        </w:tc>
        <w:tc>
          <w:tcPr>
            <w:tcW w:w="1778" w:type="dxa"/>
            <w:tcBorders>
              <w:top w:val="nil"/>
              <w:left w:val="nil"/>
              <w:bottom w:val="nil"/>
              <w:right w:val="nil"/>
            </w:tcBorders>
            <w:tcMar>
              <w:top w:w="72" w:type="dxa"/>
              <w:left w:w="144" w:type="dxa"/>
              <w:bottom w:w="72" w:type="dxa"/>
              <w:right w:w="144" w:type="dxa"/>
            </w:tcMar>
            <w:hideMark/>
          </w:tcPr>
          <w:p w14:paraId="1A6E4A21" w14:textId="77777777" w:rsidR="003230C1" w:rsidRPr="00965D6A" w:rsidRDefault="003230C1" w:rsidP="00CB1E47">
            <w:pPr>
              <w:jc w:val="center"/>
              <w:rPr>
                <w:rFonts w:cs="Times New Roman"/>
                <w:sz w:val="20"/>
                <w:szCs w:val="20"/>
              </w:rPr>
            </w:pPr>
            <w:r w:rsidRPr="00965D6A">
              <w:rPr>
                <w:rFonts w:cs="Times New Roman"/>
                <w:sz w:val="20"/>
                <w:szCs w:val="20"/>
              </w:rPr>
              <w:t>–5</w:t>
            </w:r>
          </w:p>
        </w:tc>
        <w:tc>
          <w:tcPr>
            <w:tcW w:w="1780" w:type="dxa"/>
            <w:tcBorders>
              <w:top w:val="nil"/>
              <w:left w:val="nil"/>
              <w:bottom w:val="nil"/>
              <w:right w:val="nil"/>
            </w:tcBorders>
            <w:tcMar>
              <w:top w:w="72" w:type="dxa"/>
              <w:left w:w="144" w:type="dxa"/>
              <w:bottom w:w="72" w:type="dxa"/>
              <w:right w:w="144" w:type="dxa"/>
            </w:tcMar>
            <w:hideMark/>
          </w:tcPr>
          <w:p w14:paraId="141E8DE9" w14:textId="77777777" w:rsidR="003230C1" w:rsidRPr="00965D6A" w:rsidRDefault="003230C1" w:rsidP="00CB1E47">
            <w:pPr>
              <w:jc w:val="center"/>
              <w:rPr>
                <w:rFonts w:cs="Times New Roman"/>
                <w:sz w:val="20"/>
                <w:szCs w:val="20"/>
              </w:rPr>
            </w:pPr>
            <w:r w:rsidRPr="00965D6A">
              <w:rPr>
                <w:rFonts w:cs="Times New Roman"/>
                <w:sz w:val="20"/>
                <w:szCs w:val="20"/>
              </w:rPr>
              <w:t>0</w:t>
            </w:r>
          </w:p>
        </w:tc>
      </w:tr>
      <w:tr w:rsidR="00965D6A" w:rsidRPr="00965D6A" w14:paraId="01FC9019" w14:textId="77777777" w:rsidTr="00CB1E47">
        <w:trPr>
          <w:trHeight w:val="243"/>
          <w:jc w:val="center"/>
        </w:trPr>
        <w:tc>
          <w:tcPr>
            <w:tcW w:w="1777" w:type="dxa"/>
            <w:tcBorders>
              <w:top w:val="nil"/>
              <w:left w:val="nil"/>
              <w:bottom w:val="nil"/>
              <w:right w:val="nil"/>
            </w:tcBorders>
            <w:tcMar>
              <w:top w:w="72" w:type="dxa"/>
              <w:left w:w="144" w:type="dxa"/>
              <w:bottom w:w="72" w:type="dxa"/>
              <w:right w:w="144" w:type="dxa"/>
            </w:tcMar>
            <w:hideMark/>
          </w:tcPr>
          <w:p w14:paraId="1C4056E8" w14:textId="77777777" w:rsidR="003230C1" w:rsidRPr="00965D6A" w:rsidRDefault="003230C1" w:rsidP="00CB1E47">
            <w:pPr>
              <w:jc w:val="center"/>
              <w:rPr>
                <w:rFonts w:cs="Times New Roman"/>
                <w:sz w:val="20"/>
                <w:szCs w:val="20"/>
              </w:rPr>
            </w:pPr>
            <w:r w:rsidRPr="00965D6A">
              <w:rPr>
                <w:rFonts w:cs="Times New Roman"/>
                <w:sz w:val="20"/>
                <w:szCs w:val="20"/>
              </w:rPr>
              <w:t>2015</w:t>
            </w:r>
          </w:p>
        </w:tc>
        <w:tc>
          <w:tcPr>
            <w:tcW w:w="1778" w:type="dxa"/>
            <w:tcBorders>
              <w:top w:val="nil"/>
              <w:left w:val="nil"/>
              <w:bottom w:val="nil"/>
              <w:right w:val="nil"/>
            </w:tcBorders>
          </w:tcPr>
          <w:p w14:paraId="6B52CA6F" w14:textId="77777777" w:rsidR="003230C1" w:rsidRPr="00965D6A" w:rsidRDefault="003230C1" w:rsidP="00CB1E47">
            <w:pPr>
              <w:jc w:val="center"/>
              <w:rPr>
                <w:rFonts w:cs="Times New Roman"/>
                <w:sz w:val="20"/>
                <w:szCs w:val="20"/>
              </w:rPr>
            </w:pPr>
            <w:r w:rsidRPr="00965D6A">
              <w:rPr>
                <w:rFonts w:cs="Times New Roman"/>
                <w:sz w:val="20"/>
                <w:szCs w:val="20"/>
              </w:rPr>
              <w:t>1</w:t>
            </w:r>
          </w:p>
        </w:tc>
        <w:tc>
          <w:tcPr>
            <w:tcW w:w="1778" w:type="dxa"/>
            <w:tcBorders>
              <w:top w:val="nil"/>
              <w:left w:val="nil"/>
              <w:bottom w:val="nil"/>
              <w:right w:val="nil"/>
            </w:tcBorders>
            <w:tcMar>
              <w:top w:w="72" w:type="dxa"/>
              <w:left w:w="144" w:type="dxa"/>
              <w:bottom w:w="72" w:type="dxa"/>
              <w:right w:w="144" w:type="dxa"/>
            </w:tcMar>
            <w:hideMark/>
          </w:tcPr>
          <w:p w14:paraId="622D0174" w14:textId="77777777" w:rsidR="003230C1" w:rsidRPr="00965D6A" w:rsidRDefault="003230C1" w:rsidP="00CB1E47">
            <w:pPr>
              <w:jc w:val="center"/>
              <w:rPr>
                <w:rFonts w:cs="Times New Roman"/>
                <w:sz w:val="20"/>
                <w:szCs w:val="20"/>
              </w:rPr>
            </w:pPr>
            <w:r w:rsidRPr="00965D6A">
              <w:rPr>
                <w:rFonts w:cs="Times New Roman"/>
                <w:sz w:val="20"/>
                <w:szCs w:val="20"/>
              </w:rPr>
              <w:t>–4</w:t>
            </w:r>
          </w:p>
        </w:tc>
        <w:tc>
          <w:tcPr>
            <w:tcW w:w="1780" w:type="dxa"/>
            <w:tcBorders>
              <w:top w:val="nil"/>
              <w:left w:val="nil"/>
              <w:bottom w:val="nil"/>
              <w:right w:val="nil"/>
            </w:tcBorders>
            <w:tcMar>
              <w:top w:w="72" w:type="dxa"/>
              <w:left w:w="144" w:type="dxa"/>
              <w:bottom w:w="72" w:type="dxa"/>
              <w:right w:w="144" w:type="dxa"/>
            </w:tcMar>
            <w:hideMark/>
          </w:tcPr>
          <w:p w14:paraId="739DA62A" w14:textId="77777777" w:rsidR="003230C1" w:rsidRPr="00965D6A" w:rsidRDefault="003230C1" w:rsidP="00CB1E47">
            <w:pPr>
              <w:jc w:val="center"/>
              <w:rPr>
                <w:rFonts w:cs="Times New Roman"/>
                <w:sz w:val="20"/>
                <w:szCs w:val="20"/>
              </w:rPr>
            </w:pPr>
            <w:r w:rsidRPr="00965D6A">
              <w:rPr>
                <w:rFonts w:cs="Times New Roman"/>
                <w:sz w:val="20"/>
                <w:szCs w:val="20"/>
              </w:rPr>
              <w:t>0</w:t>
            </w:r>
          </w:p>
        </w:tc>
      </w:tr>
      <w:tr w:rsidR="00965D6A" w:rsidRPr="00965D6A" w14:paraId="6AE0AF30" w14:textId="77777777" w:rsidTr="00CB1E47">
        <w:trPr>
          <w:trHeight w:val="243"/>
          <w:jc w:val="center"/>
        </w:trPr>
        <w:tc>
          <w:tcPr>
            <w:tcW w:w="1777" w:type="dxa"/>
            <w:tcBorders>
              <w:top w:val="nil"/>
              <w:left w:val="nil"/>
              <w:bottom w:val="nil"/>
              <w:right w:val="nil"/>
            </w:tcBorders>
            <w:tcMar>
              <w:top w:w="72" w:type="dxa"/>
              <w:left w:w="144" w:type="dxa"/>
              <w:bottom w:w="72" w:type="dxa"/>
              <w:right w:w="144" w:type="dxa"/>
            </w:tcMar>
            <w:hideMark/>
          </w:tcPr>
          <w:p w14:paraId="5130C5DB" w14:textId="77777777" w:rsidR="003230C1" w:rsidRPr="00965D6A" w:rsidRDefault="003230C1" w:rsidP="00CB1E47">
            <w:pPr>
              <w:jc w:val="center"/>
              <w:rPr>
                <w:rFonts w:cs="Times New Roman"/>
                <w:sz w:val="20"/>
                <w:szCs w:val="20"/>
              </w:rPr>
            </w:pPr>
            <w:r w:rsidRPr="00965D6A">
              <w:rPr>
                <w:rFonts w:cs="Times New Roman"/>
                <w:sz w:val="20"/>
                <w:szCs w:val="20"/>
              </w:rPr>
              <w:t>2016</w:t>
            </w:r>
          </w:p>
        </w:tc>
        <w:tc>
          <w:tcPr>
            <w:tcW w:w="1778" w:type="dxa"/>
            <w:tcBorders>
              <w:top w:val="nil"/>
              <w:left w:val="nil"/>
              <w:bottom w:val="nil"/>
              <w:right w:val="nil"/>
            </w:tcBorders>
          </w:tcPr>
          <w:p w14:paraId="572333EF" w14:textId="77777777" w:rsidR="003230C1" w:rsidRPr="00965D6A" w:rsidRDefault="003230C1" w:rsidP="00CB1E47">
            <w:pPr>
              <w:jc w:val="center"/>
              <w:rPr>
                <w:rFonts w:cs="Times New Roman"/>
                <w:sz w:val="20"/>
                <w:szCs w:val="20"/>
              </w:rPr>
            </w:pPr>
            <w:r w:rsidRPr="00965D6A">
              <w:rPr>
                <w:rFonts w:cs="Times New Roman"/>
                <w:sz w:val="20"/>
                <w:szCs w:val="20"/>
              </w:rPr>
              <w:t>1</w:t>
            </w:r>
          </w:p>
        </w:tc>
        <w:tc>
          <w:tcPr>
            <w:tcW w:w="1778" w:type="dxa"/>
            <w:tcBorders>
              <w:top w:val="nil"/>
              <w:left w:val="nil"/>
              <w:bottom w:val="nil"/>
              <w:right w:val="nil"/>
            </w:tcBorders>
            <w:tcMar>
              <w:top w:w="72" w:type="dxa"/>
              <w:left w:w="144" w:type="dxa"/>
              <w:bottom w:w="72" w:type="dxa"/>
              <w:right w:w="144" w:type="dxa"/>
            </w:tcMar>
            <w:hideMark/>
          </w:tcPr>
          <w:p w14:paraId="7C8C2C57" w14:textId="77777777" w:rsidR="003230C1" w:rsidRPr="00965D6A" w:rsidRDefault="003230C1" w:rsidP="00CB1E47">
            <w:pPr>
              <w:jc w:val="center"/>
              <w:rPr>
                <w:rFonts w:cs="Times New Roman"/>
                <w:sz w:val="20"/>
                <w:szCs w:val="20"/>
              </w:rPr>
            </w:pPr>
            <w:r w:rsidRPr="00965D6A">
              <w:rPr>
                <w:rFonts w:cs="Times New Roman"/>
                <w:sz w:val="20"/>
                <w:szCs w:val="20"/>
              </w:rPr>
              <w:t>–3</w:t>
            </w:r>
          </w:p>
        </w:tc>
        <w:tc>
          <w:tcPr>
            <w:tcW w:w="1780" w:type="dxa"/>
            <w:tcBorders>
              <w:top w:val="nil"/>
              <w:left w:val="nil"/>
              <w:bottom w:val="nil"/>
              <w:right w:val="nil"/>
            </w:tcBorders>
            <w:tcMar>
              <w:top w:w="72" w:type="dxa"/>
              <w:left w:w="144" w:type="dxa"/>
              <w:bottom w:w="72" w:type="dxa"/>
              <w:right w:w="144" w:type="dxa"/>
            </w:tcMar>
            <w:hideMark/>
          </w:tcPr>
          <w:p w14:paraId="288E019D" w14:textId="77777777" w:rsidR="003230C1" w:rsidRPr="00965D6A" w:rsidRDefault="003230C1" w:rsidP="00CB1E47">
            <w:pPr>
              <w:jc w:val="center"/>
              <w:rPr>
                <w:rFonts w:cs="Times New Roman"/>
                <w:sz w:val="20"/>
                <w:szCs w:val="20"/>
              </w:rPr>
            </w:pPr>
            <w:r w:rsidRPr="00965D6A">
              <w:rPr>
                <w:rFonts w:cs="Times New Roman"/>
                <w:sz w:val="20"/>
                <w:szCs w:val="20"/>
              </w:rPr>
              <w:t>0</w:t>
            </w:r>
          </w:p>
        </w:tc>
      </w:tr>
      <w:tr w:rsidR="00965D6A" w:rsidRPr="00965D6A" w14:paraId="6169A432" w14:textId="77777777" w:rsidTr="00CB1E47">
        <w:trPr>
          <w:trHeight w:val="243"/>
          <w:jc w:val="center"/>
        </w:trPr>
        <w:tc>
          <w:tcPr>
            <w:tcW w:w="1777" w:type="dxa"/>
            <w:tcBorders>
              <w:top w:val="nil"/>
              <w:left w:val="nil"/>
              <w:bottom w:val="nil"/>
              <w:right w:val="nil"/>
            </w:tcBorders>
            <w:tcMar>
              <w:top w:w="72" w:type="dxa"/>
              <w:left w:w="144" w:type="dxa"/>
              <w:bottom w:w="72" w:type="dxa"/>
              <w:right w:w="144" w:type="dxa"/>
            </w:tcMar>
            <w:hideMark/>
          </w:tcPr>
          <w:p w14:paraId="48ADA565" w14:textId="77777777" w:rsidR="003230C1" w:rsidRPr="00965D6A" w:rsidRDefault="003230C1" w:rsidP="00CB1E47">
            <w:pPr>
              <w:jc w:val="center"/>
              <w:rPr>
                <w:rFonts w:cs="Times New Roman"/>
                <w:sz w:val="20"/>
                <w:szCs w:val="20"/>
              </w:rPr>
            </w:pPr>
            <w:r w:rsidRPr="00965D6A">
              <w:rPr>
                <w:rFonts w:cs="Times New Roman"/>
                <w:sz w:val="20"/>
                <w:szCs w:val="20"/>
              </w:rPr>
              <w:t>2017</w:t>
            </w:r>
          </w:p>
        </w:tc>
        <w:tc>
          <w:tcPr>
            <w:tcW w:w="1778" w:type="dxa"/>
            <w:tcBorders>
              <w:top w:val="nil"/>
              <w:left w:val="nil"/>
              <w:bottom w:val="nil"/>
              <w:right w:val="nil"/>
            </w:tcBorders>
          </w:tcPr>
          <w:p w14:paraId="48AEEF54" w14:textId="77777777" w:rsidR="003230C1" w:rsidRPr="00965D6A" w:rsidRDefault="003230C1" w:rsidP="00CB1E47">
            <w:pPr>
              <w:jc w:val="center"/>
              <w:rPr>
                <w:rFonts w:cs="Times New Roman"/>
                <w:sz w:val="20"/>
                <w:szCs w:val="20"/>
              </w:rPr>
            </w:pPr>
            <w:r w:rsidRPr="00965D6A">
              <w:rPr>
                <w:rFonts w:cs="Times New Roman"/>
                <w:sz w:val="20"/>
                <w:szCs w:val="20"/>
              </w:rPr>
              <w:t>1</w:t>
            </w:r>
          </w:p>
        </w:tc>
        <w:tc>
          <w:tcPr>
            <w:tcW w:w="1778" w:type="dxa"/>
            <w:tcBorders>
              <w:top w:val="nil"/>
              <w:left w:val="nil"/>
              <w:bottom w:val="nil"/>
              <w:right w:val="nil"/>
            </w:tcBorders>
            <w:tcMar>
              <w:top w:w="72" w:type="dxa"/>
              <w:left w:w="144" w:type="dxa"/>
              <w:bottom w:w="72" w:type="dxa"/>
              <w:right w:w="144" w:type="dxa"/>
            </w:tcMar>
            <w:hideMark/>
          </w:tcPr>
          <w:p w14:paraId="7A2048F9" w14:textId="77777777" w:rsidR="003230C1" w:rsidRPr="00965D6A" w:rsidRDefault="003230C1" w:rsidP="00CB1E47">
            <w:pPr>
              <w:jc w:val="center"/>
              <w:rPr>
                <w:rFonts w:cs="Times New Roman"/>
                <w:sz w:val="20"/>
                <w:szCs w:val="20"/>
              </w:rPr>
            </w:pPr>
            <w:r w:rsidRPr="00965D6A">
              <w:rPr>
                <w:rFonts w:cs="Times New Roman"/>
                <w:sz w:val="20"/>
                <w:szCs w:val="20"/>
              </w:rPr>
              <w:t>–2</w:t>
            </w:r>
          </w:p>
        </w:tc>
        <w:tc>
          <w:tcPr>
            <w:tcW w:w="1780" w:type="dxa"/>
            <w:tcBorders>
              <w:top w:val="nil"/>
              <w:left w:val="nil"/>
              <w:bottom w:val="nil"/>
              <w:right w:val="nil"/>
            </w:tcBorders>
            <w:tcMar>
              <w:top w:w="72" w:type="dxa"/>
              <w:left w:w="144" w:type="dxa"/>
              <w:bottom w:w="72" w:type="dxa"/>
              <w:right w:w="144" w:type="dxa"/>
            </w:tcMar>
            <w:hideMark/>
          </w:tcPr>
          <w:p w14:paraId="439C6208" w14:textId="77777777" w:rsidR="003230C1" w:rsidRPr="00965D6A" w:rsidRDefault="003230C1" w:rsidP="00CB1E47">
            <w:pPr>
              <w:jc w:val="center"/>
              <w:rPr>
                <w:rFonts w:cs="Times New Roman"/>
                <w:sz w:val="20"/>
                <w:szCs w:val="20"/>
              </w:rPr>
            </w:pPr>
            <w:r w:rsidRPr="00965D6A">
              <w:rPr>
                <w:rFonts w:cs="Times New Roman"/>
                <w:sz w:val="20"/>
                <w:szCs w:val="20"/>
              </w:rPr>
              <w:t>0</w:t>
            </w:r>
          </w:p>
        </w:tc>
      </w:tr>
      <w:tr w:rsidR="00965D6A" w:rsidRPr="00965D6A" w14:paraId="59DCB502" w14:textId="77777777" w:rsidTr="00CB1E47">
        <w:trPr>
          <w:trHeight w:val="243"/>
          <w:jc w:val="center"/>
        </w:trPr>
        <w:tc>
          <w:tcPr>
            <w:tcW w:w="1777" w:type="dxa"/>
            <w:tcBorders>
              <w:top w:val="nil"/>
              <w:left w:val="nil"/>
              <w:bottom w:val="nil"/>
              <w:right w:val="nil"/>
            </w:tcBorders>
            <w:tcMar>
              <w:top w:w="72" w:type="dxa"/>
              <w:left w:w="144" w:type="dxa"/>
              <w:bottom w:w="72" w:type="dxa"/>
              <w:right w:w="144" w:type="dxa"/>
            </w:tcMar>
            <w:hideMark/>
          </w:tcPr>
          <w:p w14:paraId="2CCD0375" w14:textId="77777777" w:rsidR="003230C1" w:rsidRPr="00965D6A" w:rsidRDefault="003230C1" w:rsidP="00CB1E47">
            <w:pPr>
              <w:jc w:val="center"/>
              <w:rPr>
                <w:rFonts w:cs="Times New Roman"/>
                <w:sz w:val="20"/>
                <w:szCs w:val="20"/>
              </w:rPr>
            </w:pPr>
            <w:r w:rsidRPr="00965D6A">
              <w:rPr>
                <w:rFonts w:cs="Times New Roman"/>
                <w:sz w:val="20"/>
                <w:szCs w:val="20"/>
              </w:rPr>
              <w:t>2018</w:t>
            </w:r>
          </w:p>
        </w:tc>
        <w:tc>
          <w:tcPr>
            <w:tcW w:w="1778" w:type="dxa"/>
            <w:tcBorders>
              <w:top w:val="nil"/>
              <w:left w:val="nil"/>
              <w:bottom w:val="nil"/>
              <w:right w:val="nil"/>
            </w:tcBorders>
          </w:tcPr>
          <w:p w14:paraId="500A6B8E" w14:textId="77777777" w:rsidR="003230C1" w:rsidRPr="00965D6A" w:rsidRDefault="003230C1" w:rsidP="00CB1E47">
            <w:pPr>
              <w:jc w:val="center"/>
              <w:rPr>
                <w:rFonts w:cs="Times New Roman"/>
                <w:sz w:val="20"/>
                <w:szCs w:val="20"/>
              </w:rPr>
            </w:pPr>
            <w:r w:rsidRPr="00965D6A">
              <w:rPr>
                <w:rFonts w:cs="Times New Roman"/>
                <w:sz w:val="20"/>
                <w:szCs w:val="20"/>
              </w:rPr>
              <w:t>1</w:t>
            </w:r>
          </w:p>
        </w:tc>
        <w:tc>
          <w:tcPr>
            <w:tcW w:w="1778" w:type="dxa"/>
            <w:tcBorders>
              <w:top w:val="nil"/>
              <w:left w:val="nil"/>
              <w:bottom w:val="nil"/>
              <w:right w:val="nil"/>
            </w:tcBorders>
            <w:tcMar>
              <w:top w:w="72" w:type="dxa"/>
              <w:left w:w="144" w:type="dxa"/>
              <w:bottom w:w="72" w:type="dxa"/>
              <w:right w:w="144" w:type="dxa"/>
            </w:tcMar>
            <w:hideMark/>
          </w:tcPr>
          <w:p w14:paraId="3ACD0E70" w14:textId="77777777" w:rsidR="003230C1" w:rsidRPr="00965D6A" w:rsidRDefault="003230C1" w:rsidP="00CB1E47">
            <w:pPr>
              <w:jc w:val="center"/>
              <w:rPr>
                <w:rFonts w:cs="Times New Roman"/>
                <w:sz w:val="20"/>
                <w:szCs w:val="20"/>
              </w:rPr>
            </w:pPr>
            <w:r w:rsidRPr="00965D6A">
              <w:rPr>
                <w:rFonts w:cs="Times New Roman"/>
                <w:sz w:val="20"/>
                <w:szCs w:val="20"/>
              </w:rPr>
              <w:t>–1</w:t>
            </w:r>
          </w:p>
        </w:tc>
        <w:tc>
          <w:tcPr>
            <w:tcW w:w="1780" w:type="dxa"/>
            <w:tcBorders>
              <w:top w:val="nil"/>
              <w:left w:val="nil"/>
              <w:bottom w:val="nil"/>
              <w:right w:val="nil"/>
            </w:tcBorders>
            <w:tcMar>
              <w:top w:w="72" w:type="dxa"/>
              <w:left w:w="144" w:type="dxa"/>
              <w:bottom w:w="72" w:type="dxa"/>
              <w:right w:w="144" w:type="dxa"/>
            </w:tcMar>
            <w:hideMark/>
          </w:tcPr>
          <w:p w14:paraId="67AFAF15" w14:textId="77777777" w:rsidR="003230C1" w:rsidRPr="00965D6A" w:rsidRDefault="003230C1" w:rsidP="00CB1E47">
            <w:pPr>
              <w:jc w:val="center"/>
              <w:rPr>
                <w:rFonts w:cs="Times New Roman"/>
                <w:sz w:val="20"/>
                <w:szCs w:val="20"/>
              </w:rPr>
            </w:pPr>
            <w:r w:rsidRPr="00965D6A">
              <w:rPr>
                <w:rFonts w:cs="Times New Roman"/>
                <w:sz w:val="20"/>
                <w:szCs w:val="20"/>
              </w:rPr>
              <w:t>0</w:t>
            </w:r>
          </w:p>
        </w:tc>
      </w:tr>
      <w:tr w:rsidR="00965D6A" w:rsidRPr="00965D6A" w14:paraId="7348A243" w14:textId="77777777" w:rsidTr="00CB1E47">
        <w:trPr>
          <w:trHeight w:val="243"/>
          <w:jc w:val="center"/>
        </w:trPr>
        <w:tc>
          <w:tcPr>
            <w:tcW w:w="1777" w:type="dxa"/>
            <w:tcBorders>
              <w:top w:val="nil"/>
              <w:left w:val="nil"/>
              <w:right w:val="nil"/>
            </w:tcBorders>
            <w:tcMar>
              <w:top w:w="72" w:type="dxa"/>
              <w:left w:w="144" w:type="dxa"/>
              <w:bottom w:w="72" w:type="dxa"/>
              <w:right w:w="144" w:type="dxa"/>
            </w:tcMar>
            <w:hideMark/>
          </w:tcPr>
          <w:p w14:paraId="0318FBA7" w14:textId="77777777" w:rsidR="003230C1" w:rsidRPr="00965D6A" w:rsidRDefault="003230C1" w:rsidP="00CB1E47">
            <w:pPr>
              <w:jc w:val="center"/>
              <w:rPr>
                <w:rFonts w:cs="Times New Roman"/>
                <w:sz w:val="20"/>
                <w:szCs w:val="20"/>
              </w:rPr>
            </w:pPr>
            <w:r w:rsidRPr="00965D6A">
              <w:rPr>
                <w:rFonts w:cs="Times New Roman"/>
                <w:sz w:val="20"/>
                <w:szCs w:val="20"/>
              </w:rPr>
              <w:t>2019</w:t>
            </w:r>
          </w:p>
        </w:tc>
        <w:tc>
          <w:tcPr>
            <w:tcW w:w="1778" w:type="dxa"/>
            <w:tcBorders>
              <w:top w:val="nil"/>
              <w:left w:val="nil"/>
              <w:right w:val="nil"/>
            </w:tcBorders>
          </w:tcPr>
          <w:p w14:paraId="707AD4B0" w14:textId="77777777" w:rsidR="003230C1" w:rsidRPr="00965D6A" w:rsidRDefault="003230C1" w:rsidP="00CB1E47">
            <w:pPr>
              <w:jc w:val="center"/>
              <w:rPr>
                <w:rFonts w:cs="Times New Roman"/>
                <w:sz w:val="20"/>
                <w:szCs w:val="20"/>
              </w:rPr>
            </w:pPr>
            <w:r w:rsidRPr="00965D6A">
              <w:rPr>
                <w:rFonts w:cs="Times New Roman"/>
                <w:sz w:val="20"/>
                <w:szCs w:val="20"/>
              </w:rPr>
              <w:t>1</w:t>
            </w:r>
          </w:p>
        </w:tc>
        <w:tc>
          <w:tcPr>
            <w:tcW w:w="1778" w:type="dxa"/>
            <w:tcBorders>
              <w:top w:val="nil"/>
              <w:left w:val="nil"/>
              <w:right w:val="nil"/>
            </w:tcBorders>
            <w:tcMar>
              <w:top w:w="72" w:type="dxa"/>
              <w:left w:w="144" w:type="dxa"/>
              <w:bottom w:w="72" w:type="dxa"/>
              <w:right w:w="144" w:type="dxa"/>
            </w:tcMar>
            <w:hideMark/>
          </w:tcPr>
          <w:p w14:paraId="333E456C" w14:textId="77777777" w:rsidR="003230C1" w:rsidRPr="00965D6A" w:rsidRDefault="003230C1" w:rsidP="00CB1E47">
            <w:pPr>
              <w:jc w:val="center"/>
              <w:rPr>
                <w:rFonts w:cs="Times New Roman"/>
                <w:sz w:val="20"/>
                <w:szCs w:val="20"/>
              </w:rPr>
            </w:pPr>
            <w:r w:rsidRPr="00965D6A">
              <w:rPr>
                <w:rFonts w:cs="Times New Roman"/>
                <w:sz w:val="20"/>
                <w:szCs w:val="20"/>
              </w:rPr>
              <w:t>0</w:t>
            </w:r>
          </w:p>
        </w:tc>
        <w:tc>
          <w:tcPr>
            <w:tcW w:w="1780" w:type="dxa"/>
            <w:tcBorders>
              <w:top w:val="nil"/>
              <w:left w:val="nil"/>
              <w:right w:val="nil"/>
            </w:tcBorders>
            <w:tcMar>
              <w:top w:w="72" w:type="dxa"/>
              <w:left w:w="144" w:type="dxa"/>
              <w:bottom w:w="72" w:type="dxa"/>
              <w:right w:w="144" w:type="dxa"/>
            </w:tcMar>
            <w:hideMark/>
          </w:tcPr>
          <w:p w14:paraId="76FA16C6" w14:textId="77777777" w:rsidR="003230C1" w:rsidRPr="00965D6A" w:rsidRDefault="003230C1" w:rsidP="00CB1E47">
            <w:pPr>
              <w:jc w:val="center"/>
              <w:rPr>
                <w:rFonts w:cs="Times New Roman"/>
                <w:sz w:val="20"/>
                <w:szCs w:val="20"/>
              </w:rPr>
            </w:pPr>
            <w:r w:rsidRPr="00965D6A">
              <w:rPr>
                <w:rFonts w:cs="Times New Roman"/>
                <w:sz w:val="20"/>
                <w:szCs w:val="20"/>
              </w:rPr>
              <w:t>0</w:t>
            </w:r>
          </w:p>
        </w:tc>
      </w:tr>
      <w:tr w:rsidR="00965D6A" w:rsidRPr="00965D6A" w14:paraId="184AFC40" w14:textId="77777777" w:rsidTr="00DF6582">
        <w:trPr>
          <w:trHeight w:val="243"/>
          <w:jc w:val="center"/>
        </w:trPr>
        <w:tc>
          <w:tcPr>
            <w:tcW w:w="1777" w:type="dxa"/>
            <w:tcBorders>
              <w:top w:val="nil"/>
              <w:left w:val="nil"/>
              <w:bottom w:val="nil"/>
              <w:right w:val="nil"/>
            </w:tcBorders>
            <w:tcMar>
              <w:top w:w="72" w:type="dxa"/>
              <w:left w:w="144" w:type="dxa"/>
              <w:bottom w:w="72" w:type="dxa"/>
              <w:right w:w="144" w:type="dxa"/>
            </w:tcMar>
            <w:hideMark/>
          </w:tcPr>
          <w:p w14:paraId="4485D9C1" w14:textId="77777777" w:rsidR="003230C1" w:rsidRPr="00965D6A" w:rsidRDefault="003230C1" w:rsidP="00CB1E47">
            <w:pPr>
              <w:jc w:val="center"/>
              <w:rPr>
                <w:rFonts w:cs="Times New Roman"/>
                <w:sz w:val="20"/>
                <w:szCs w:val="20"/>
              </w:rPr>
            </w:pPr>
            <w:r w:rsidRPr="00965D6A">
              <w:rPr>
                <w:rFonts w:cs="Times New Roman"/>
                <w:sz w:val="20"/>
                <w:szCs w:val="20"/>
              </w:rPr>
              <w:t>2020</w:t>
            </w:r>
          </w:p>
        </w:tc>
        <w:tc>
          <w:tcPr>
            <w:tcW w:w="1778" w:type="dxa"/>
            <w:tcBorders>
              <w:top w:val="nil"/>
              <w:left w:val="nil"/>
              <w:bottom w:val="nil"/>
              <w:right w:val="nil"/>
            </w:tcBorders>
          </w:tcPr>
          <w:p w14:paraId="5DFF8CDD" w14:textId="77777777" w:rsidR="003230C1" w:rsidRPr="00965D6A" w:rsidRDefault="003230C1" w:rsidP="00CB1E47">
            <w:pPr>
              <w:jc w:val="center"/>
              <w:rPr>
                <w:rFonts w:cs="Times New Roman"/>
                <w:sz w:val="20"/>
                <w:szCs w:val="20"/>
              </w:rPr>
            </w:pPr>
            <w:r w:rsidRPr="00965D6A">
              <w:rPr>
                <w:rFonts w:cs="Times New Roman"/>
                <w:sz w:val="20"/>
                <w:szCs w:val="20"/>
              </w:rPr>
              <w:t>1</w:t>
            </w:r>
          </w:p>
        </w:tc>
        <w:tc>
          <w:tcPr>
            <w:tcW w:w="1778" w:type="dxa"/>
            <w:tcBorders>
              <w:top w:val="nil"/>
              <w:left w:val="nil"/>
              <w:bottom w:val="nil"/>
              <w:right w:val="nil"/>
            </w:tcBorders>
            <w:tcMar>
              <w:top w:w="72" w:type="dxa"/>
              <w:left w:w="144" w:type="dxa"/>
              <w:bottom w:w="72" w:type="dxa"/>
              <w:right w:w="144" w:type="dxa"/>
            </w:tcMar>
            <w:hideMark/>
          </w:tcPr>
          <w:p w14:paraId="2FCBECA1" w14:textId="77777777" w:rsidR="003230C1" w:rsidRPr="00965D6A" w:rsidRDefault="003230C1" w:rsidP="00CB1E47">
            <w:pPr>
              <w:jc w:val="center"/>
              <w:rPr>
                <w:rFonts w:cs="Times New Roman"/>
                <w:sz w:val="20"/>
                <w:szCs w:val="20"/>
              </w:rPr>
            </w:pPr>
            <w:r w:rsidRPr="00965D6A">
              <w:rPr>
                <w:rFonts w:cs="Times New Roman"/>
                <w:sz w:val="20"/>
                <w:szCs w:val="20"/>
              </w:rPr>
              <w:t>0</w:t>
            </w:r>
          </w:p>
        </w:tc>
        <w:tc>
          <w:tcPr>
            <w:tcW w:w="1780" w:type="dxa"/>
            <w:tcBorders>
              <w:top w:val="nil"/>
              <w:left w:val="nil"/>
              <w:bottom w:val="nil"/>
              <w:right w:val="nil"/>
            </w:tcBorders>
            <w:tcMar>
              <w:top w:w="72" w:type="dxa"/>
              <w:left w:w="144" w:type="dxa"/>
              <w:bottom w:w="72" w:type="dxa"/>
              <w:right w:w="144" w:type="dxa"/>
            </w:tcMar>
            <w:hideMark/>
          </w:tcPr>
          <w:p w14:paraId="3D419702" w14:textId="77777777" w:rsidR="003230C1" w:rsidRPr="00965D6A" w:rsidRDefault="003230C1" w:rsidP="00CB1E47">
            <w:pPr>
              <w:jc w:val="center"/>
              <w:rPr>
                <w:rFonts w:cs="Times New Roman"/>
                <w:sz w:val="20"/>
                <w:szCs w:val="20"/>
              </w:rPr>
            </w:pPr>
            <w:r w:rsidRPr="00965D6A">
              <w:rPr>
                <w:rFonts w:cs="Times New Roman"/>
                <w:sz w:val="20"/>
                <w:szCs w:val="20"/>
              </w:rPr>
              <w:t>1</w:t>
            </w:r>
          </w:p>
        </w:tc>
      </w:tr>
      <w:tr w:rsidR="00965D6A" w:rsidRPr="00965D6A" w14:paraId="59CBDA53" w14:textId="77777777" w:rsidTr="00DF6582">
        <w:trPr>
          <w:trHeight w:val="243"/>
          <w:jc w:val="center"/>
        </w:trPr>
        <w:tc>
          <w:tcPr>
            <w:tcW w:w="1777" w:type="dxa"/>
            <w:tcBorders>
              <w:top w:val="nil"/>
              <w:left w:val="nil"/>
              <w:bottom w:val="nil"/>
              <w:right w:val="nil"/>
            </w:tcBorders>
            <w:tcMar>
              <w:top w:w="72" w:type="dxa"/>
              <w:left w:w="144" w:type="dxa"/>
              <w:bottom w:w="72" w:type="dxa"/>
              <w:right w:w="144" w:type="dxa"/>
            </w:tcMar>
          </w:tcPr>
          <w:p w14:paraId="00F2E029" w14:textId="0E8D31C2" w:rsidR="00DF6582" w:rsidRPr="00965D6A" w:rsidRDefault="00DF6582" w:rsidP="00CB1E47">
            <w:pPr>
              <w:jc w:val="center"/>
              <w:rPr>
                <w:rFonts w:cs="Times New Roman"/>
                <w:sz w:val="20"/>
                <w:szCs w:val="20"/>
              </w:rPr>
            </w:pPr>
            <w:r w:rsidRPr="00965D6A">
              <w:rPr>
                <w:rFonts w:cs="Times New Roman"/>
                <w:sz w:val="20"/>
                <w:szCs w:val="20"/>
              </w:rPr>
              <w:t>2021</w:t>
            </w:r>
          </w:p>
        </w:tc>
        <w:tc>
          <w:tcPr>
            <w:tcW w:w="1778" w:type="dxa"/>
            <w:tcBorders>
              <w:top w:val="nil"/>
              <w:left w:val="nil"/>
              <w:bottom w:val="nil"/>
              <w:right w:val="nil"/>
            </w:tcBorders>
          </w:tcPr>
          <w:p w14:paraId="008E354D" w14:textId="4D5EA88B" w:rsidR="00DF6582" w:rsidRPr="00965D6A" w:rsidRDefault="00DF6582" w:rsidP="00CB1E47">
            <w:pPr>
              <w:jc w:val="center"/>
              <w:rPr>
                <w:rFonts w:cs="Times New Roman"/>
                <w:sz w:val="20"/>
                <w:szCs w:val="20"/>
              </w:rPr>
            </w:pPr>
            <w:r w:rsidRPr="00965D6A">
              <w:rPr>
                <w:rFonts w:cs="Times New Roman"/>
                <w:sz w:val="20"/>
                <w:szCs w:val="20"/>
              </w:rPr>
              <w:t>1</w:t>
            </w:r>
          </w:p>
        </w:tc>
        <w:tc>
          <w:tcPr>
            <w:tcW w:w="1778" w:type="dxa"/>
            <w:tcBorders>
              <w:top w:val="nil"/>
              <w:left w:val="nil"/>
              <w:bottom w:val="nil"/>
              <w:right w:val="nil"/>
            </w:tcBorders>
            <w:tcMar>
              <w:top w:w="72" w:type="dxa"/>
              <w:left w:w="144" w:type="dxa"/>
              <w:bottom w:w="72" w:type="dxa"/>
              <w:right w:w="144" w:type="dxa"/>
            </w:tcMar>
          </w:tcPr>
          <w:p w14:paraId="6A9F8B7C" w14:textId="5D476880" w:rsidR="00DF6582" w:rsidRPr="00965D6A" w:rsidRDefault="00DF6582" w:rsidP="00CB1E47">
            <w:pPr>
              <w:jc w:val="center"/>
              <w:rPr>
                <w:rFonts w:cs="Times New Roman"/>
                <w:sz w:val="20"/>
                <w:szCs w:val="20"/>
              </w:rPr>
            </w:pPr>
            <w:r w:rsidRPr="00965D6A">
              <w:rPr>
                <w:rFonts w:cs="Times New Roman"/>
                <w:sz w:val="20"/>
                <w:szCs w:val="20"/>
              </w:rPr>
              <w:t>0</w:t>
            </w:r>
          </w:p>
        </w:tc>
        <w:tc>
          <w:tcPr>
            <w:tcW w:w="1780" w:type="dxa"/>
            <w:tcBorders>
              <w:top w:val="nil"/>
              <w:left w:val="nil"/>
              <w:bottom w:val="nil"/>
              <w:right w:val="nil"/>
            </w:tcBorders>
            <w:tcMar>
              <w:top w:w="72" w:type="dxa"/>
              <w:left w:w="144" w:type="dxa"/>
              <w:bottom w:w="72" w:type="dxa"/>
              <w:right w:w="144" w:type="dxa"/>
            </w:tcMar>
          </w:tcPr>
          <w:p w14:paraId="05B70873" w14:textId="47F5895D" w:rsidR="00DF6582" w:rsidRPr="00965D6A" w:rsidRDefault="00DF6582" w:rsidP="00CB1E47">
            <w:pPr>
              <w:jc w:val="center"/>
              <w:rPr>
                <w:rFonts w:cs="Times New Roman"/>
                <w:sz w:val="20"/>
                <w:szCs w:val="20"/>
              </w:rPr>
            </w:pPr>
            <w:r w:rsidRPr="00965D6A">
              <w:rPr>
                <w:rFonts w:cs="Times New Roman"/>
                <w:sz w:val="20"/>
                <w:szCs w:val="20"/>
              </w:rPr>
              <w:t>1</w:t>
            </w:r>
          </w:p>
        </w:tc>
      </w:tr>
      <w:tr w:rsidR="00965D6A" w:rsidRPr="00965D6A" w14:paraId="2D2C3550" w14:textId="77777777" w:rsidTr="00F47CC8">
        <w:trPr>
          <w:trHeight w:val="243"/>
          <w:jc w:val="center"/>
        </w:trPr>
        <w:tc>
          <w:tcPr>
            <w:tcW w:w="1777" w:type="dxa"/>
            <w:tcBorders>
              <w:top w:val="nil"/>
              <w:left w:val="nil"/>
              <w:right w:val="nil"/>
            </w:tcBorders>
            <w:tcMar>
              <w:top w:w="72" w:type="dxa"/>
              <w:left w:w="144" w:type="dxa"/>
              <w:bottom w:w="72" w:type="dxa"/>
              <w:right w:w="144" w:type="dxa"/>
            </w:tcMar>
          </w:tcPr>
          <w:p w14:paraId="4B5F9B65" w14:textId="2389CAEB" w:rsidR="00DF6582" w:rsidRPr="00965D6A" w:rsidRDefault="00DF6582" w:rsidP="00CB1E47">
            <w:pPr>
              <w:jc w:val="center"/>
              <w:rPr>
                <w:rFonts w:cs="Times New Roman"/>
                <w:sz w:val="20"/>
                <w:szCs w:val="20"/>
              </w:rPr>
            </w:pPr>
            <w:r w:rsidRPr="00965D6A">
              <w:rPr>
                <w:rFonts w:cs="Times New Roman"/>
                <w:sz w:val="20"/>
                <w:szCs w:val="20"/>
              </w:rPr>
              <w:t>2022</w:t>
            </w:r>
          </w:p>
        </w:tc>
        <w:tc>
          <w:tcPr>
            <w:tcW w:w="1778" w:type="dxa"/>
            <w:tcBorders>
              <w:top w:val="nil"/>
              <w:left w:val="nil"/>
              <w:right w:val="nil"/>
            </w:tcBorders>
          </w:tcPr>
          <w:p w14:paraId="2DD95D4A" w14:textId="5F467B8E" w:rsidR="00DF6582" w:rsidRPr="00965D6A" w:rsidRDefault="00DF6582" w:rsidP="00CB1E47">
            <w:pPr>
              <w:jc w:val="center"/>
              <w:rPr>
                <w:rFonts w:cs="Times New Roman"/>
                <w:sz w:val="20"/>
                <w:szCs w:val="20"/>
              </w:rPr>
            </w:pPr>
            <w:r w:rsidRPr="00965D6A">
              <w:rPr>
                <w:rFonts w:cs="Times New Roman"/>
                <w:sz w:val="20"/>
                <w:szCs w:val="20"/>
              </w:rPr>
              <w:t>1</w:t>
            </w:r>
          </w:p>
        </w:tc>
        <w:tc>
          <w:tcPr>
            <w:tcW w:w="1778" w:type="dxa"/>
            <w:tcBorders>
              <w:top w:val="nil"/>
              <w:left w:val="nil"/>
              <w:right w:val="nil"/>
            </w:tcBorders>
            <w:tcMar>
              <w:top w:w="72" w:type="dxa"/>
              <w:left w:w="144" w:type="dxa"/>
              <w:bottom w:w="72" w:type="dxa"/>
              <w:right w:w="144" w:type="dxa"/>
            </w:tcMar>
          </w:tcPr>
          <w:p w14:paraId="06DCB36F" w14:textId="77103FF4" w:rsidR="00DF6582" w:rsidRPr="00965D6A" w:rsidRDefault="00DF6582" w:rsidP="00CB1E47">
            <w:pPr>
              <w:jc w:val="center"/>
              <w:rPr>
                <w:rFonts w:cs="Times New Roman"/>
                <w:sz w:val="20"/>
                <w:szCs w:val="20"/>
              </w:rPr>
            </w:pPr>
            <w:r w:rsidRPr="00965D6A">
              <w:rPr>
                <w:rFonts w:cs="Times New Roman"/>
                <w:sz w:val="20"/>
                <w:szCs w:val="20"/>
              </w:rPr>
              <w:t>0</w:t>
            </w:r>
          </w:p>
        </w:tc>
        <w:tc>
          <w:tcPr>
            <w:tcW w:w="1780" w:type="dxa"/>
            <w:tcBorders>
              <w:top w:val="nil"/>
              <w:left w:val="nil"/>
              <w:right w:val="nil"/>
            </w:tcBorders>
            <w:tcMar>
              <w:top w:w="72" w:type="dxa"/>
              <w:left w:w="144" w:type="dxa"/>
              <w:bottom w:w="72" w:type="dxa"/>
              <w:right w:w="144" w:type="dxa"/>
            </w:tcMar>
          </w:tcPr>
          <w:p w14:paraId="5BDC4ABE" w14:textId="53D90495" w:rsidR="00DF6582" w:rsidRPr="00965D6A" w:rsidRDefault="00DF6582" w:rsidP="00CB1E47">
            <w:pPr>
              <w:jc w:val="center"/>
              <w:rPr>
                <w:rFonts w:cs="Times New Roman"/>
                <w:sz w:val="20"/>
                <w:szCs w:val="20"/>
              </w:rPr>
            </w:pPr>
            <w:r w:rsidRPr="00965D6A">
              <w:rPr>
                <w:rFonts w:cs="Times New Roman"/>
                <w:sz w:val="20"/>
                <w:szCs w:val="20"/>
              </w:rPr>
              <w:t>1</w:t>
            </w:r>
          </w:p>
        </w:tc>
      </w:tr>
      <w:tr w:rsidR="00965D6A" w:rsidRPr="00965D6A" w14:paraId="64FF530E" w14:textId="77777777" w:rsidTr="00F47CC8">
        <w:trPr>
          <w:trHeight w:val="243"/>
          <w:jc w:val="center"/>
        </w:trPr>
        <w:tc>
          <w:tcPr>
            <w:tcW w:w="1777" w:type="dxa"/>
            <w:tcBorders>
              <w:top w:val="nil"/>
              <w:left w:val="nil"/>
              <w:bottom w:val="single" w:sz="4" w:space="0" w:color="auto"/>
              <w:right w:val="nil"/>
            </w:tcBorders>
            <w:tcMar>
              <w:top w:w="72" w:type="dxa"/>
              <w:left w:w="144" w:type="dxa"/>
              <w:bottom w:w="72" w:type="dxa"/>
              <w:right w:w="144" w:type="dxa"/>
            </w:tcMar>
          </w:tcPr>
          <w:p w14:paraId="32AD6600" w14:textId="021B902E" w:rsidR="00DF6582" w:rsidRPr="00965D6A" w:rsidRDefault="00DF6582" w:rsidP="00CB1E47">
            <w:pPr>
              <w:jc w:val="center"/>
              <w:rPr>
                <w:rFonts w:cs="Times New Roman"/>
                <w:sz w:val="20"/>
                <w:szCs w:val="20"/>
              </w:rPr>
            </w:pPr>
            <w:r w:rsidRPr="00965D6A">
              <w:rPr>
                <w:rFonts w:cs="Times New Roman"/>
                <w:sz w:val="20"/>
                <w:szCs w:val="20"/>
              </w:rPr>
              <w:t>2023</w:t>
            </w:r>
          </w:p>
        </w:tc>
        <w:tc>
          <w:tcPr>
            <w:tcW w:w="1778" w:type="dxa"/>
            <w:tcBorders>
              <w:top w:val="nil"/>
              <w:left w:val="nil"/>
              <w:bottom w:val="single" w:sz="4" w:space="0" w:color="auto"/>
              <w:right w:val="nil"/>
            </w:tcBorders>
          </w:tcPr>
          <w:p w14:paraId="412ED927" w14:textId="346301D3" w:rsidR="00DF6582" w:rsidRPr="00965D6A" w:rsidRDefault="00DF6582" w:rsidP="00CB1E47">
            <w:pPr>
              <w:jc w:val="center"/>
              <w:rPr>
                <w:rFonts w:cs="Times New Roman"/>
                <w:sz w:val="20"/>
                <w:szCs w:val="20"/>
              </w:rPr>
            </w:pPr>
            <w:r w:rsidRPr="00965D6A">
              <w:rPr>
                <w:rFonts w:cs="Times New Roman"/>
                <w:sz w:val="20"/>
                <w:szCs w:val="20"/>
              </w:rPr>
              <w:t>1</w:t>
            </w:r>
          </w:p>
        </w:tc>
        <w:tc>
          <w:tcPr>
            <w:tcW w:w="1778" w:type="dxa"/>
            <w:tcBorders>
              <w:top w:val="nil"/>
              <w:left w:val="nil"/>
              <w:bottom w:val="single" w:sz="4" w:space="0" w:color="auto"/>
              <w:right w:val="nil"/>
            </w:tcBorders>
            <w:tcMar>
              <w:top w:w="72" w:type="dxa"/>
              <w:left w:w="144" w:type="dxa"/>
              <w:bottom w:w="72" w:type="dxa"/>
              <w:right w:w="144" w:type="dxa"/>
            </w:tcMar>
          </w:tcPr>
          <w:p w14:paraId="3D4D8E20" w14:textId="256E032E" w:rsidR="00DF6582" w:rsidRPr="00965D6A" w:rsidRDefault="00DF6582" w:rsidP="00CB1E47">
            <w:pPr>
              <w:jc w:val="center"/>
              <w:rPr>
                <w:rFonts w:cs="Times New Roman"/>
                <w:sz w:val="20"/>
                <w:szCs w:val="20"/>
              </w:rPr>
            </w:pPr>
            <w:r w:rsidRPr="00965D6A">
              <w:rPr>
                <w:rFonts w:cs="Times New Roman"/>
                <w:sz w:val="20"/>
                <w:szCs w:val="20"/>
              </w:rPr>
              <w:t>0</w:t>
            </w:r>
          </w:p>
        </w:tc>
        <w:tc>
          <w:tcPr>
            <w:tcW w:w="1780" w:type="dxa"/>
            <w:tcBorders>
              <w:top w:val="nil"/>
              <w:left w:val="nil"/>
              <w:bottom w:val="single" w:sz="4" w:space="0" w:color="auto"/>
              <w:right w:val="nil"/>
            </w:tcBorders>
            <w:tcMar>
              <w:top w:w="72" w:type="dxa"/>
              <w:left w:w="144" w:type="dxa"/>
              <w:bottom w:w="72" w:type="dxa"/>
              <w:right w:w="144" w:type="dxa"/>
            </w:tcMar>
          </w:tcPr>
          <w:p w14:paraId="63523D1C" w14:textId="0F93D0F6" w:rsidR="00DF6582" w:rsidRPr="00965D6A" w:rsidRDefault="00DF6582" w:rsidP="00CB1E47">
            <w:pPr>
              <w:jc w:val="center"/>
              <w:rPr>
                <w:rFonts w:cs="Times New Roman"/>
                <w:sz w:val="20"/>
                <w:szCs w:val="20"/>
              </w:rPr>
            </w:pPr>
            <w:r w:rsidRPr="00965D6A">
              <w:rPr>
                <w:rFonts w:cs="Times New Roman"/>
                <w:sz w:val="20"/>
                <w:szCs w:val="20"/>
              </w:rPr>
              <w:t>1</w:t>
            </w:r>
          </w:p>
        </w:tc>
      </w:tr>
      <w:tr w:rsidR="00CE74ED" w:rsidRPr="00965D6A" w14:paraId="27313C68" w14:textId="77777777" w:rsidTr="00523EBC">
        <w:trPr>
          <w:trHeight w:val="243"/>
          <w:jc w:val="center"/>
        </w:trPr>
        <w:tc>
          <w:tcPr>
            <w:tcW w:w="7113" w:type="dxa"/>
            <w:gridSpan w:val="4"/>
            <w:tcBorders>
              <w:top w:val="single" w:sz="4" w:space="0" w:color="auto"/>
              <w:left w:val="nil"/>
              <w:right w:val="nil"/>
            </w:tcBorders>
            <w:tcMar>
              <w:top w:w="72" w:type="dxa"/>
              <w:left w:w="144" w:type="dxa"/>
              <w:bottom w:w="72" w:type="dxa"/>
              <w:right w:w="144" w:type="dxa"/>
            </w:tcMar>
          </w:tcPr>
          <w:p w14:paraId="04D980DC" w14:textId="54357D22" w:rsidR="00CE74ED" w:rsidRPr="00965D6A" w:rsidRDefault="00CE74ED" w:rsidP="00F47CC8">
            <w:r w:rsidRPr="00965D6A">
              <w:rPr>
                <w:b/>
                <w:bCs/>
                <w:sz w:val="20"/>
                <w:szCs w:val="20"/>
              </w:rPr>
              <w:t xml:space="preserve">Source(s): </w:t>
            </w:r>
            <w:r w:rsidRPr="00965D6A">
              <w:rPr>
                <w:sz w:val="20"/>
                <w:szCs w:val="20"/>
              </w:rPr>
              <w:t xml:space="preserve">Authors’ </w:t>
            </w:r>
            <w:proofErr w:type="gramStart"/>
            <w:r w:rsidRPr="00965D6A">
              <w:rPr>
                <w:sz w:val="20"/>
                <w:szCs w:val="20"/>
              </w:rPr>
              <w:t>own</w:t>
            </w:r>
            <w:proofErr w:type="gramEnd"/>
            <w:r w:rsidRPr="00965D6A">
              <w:rPr>
                <w:sz w:val="20"/>
                <w:szCs w:val="20"/>
              </w:rPr>
              <w:t xml:space="preserve"> </w:t>
            </w:r>
            <w:r w:rsidR="00567E07">
              <w:rPr>
                <w:sz w:val="20"/>
                <w:szCs w:val="20"/>
              </w:rPr>
              <w:t>work</w:t>
            </w:r>
          </w:p>
        </w:tc>
      </w:tr>
    </w:tbl>
    <w:p w14:paraId="0FBBD288" w14:textId="77777777" w:rsidR="003230C1" w:rsidRPr="00965D6A" w:rsidRDefault="003230C1" w:rsidP="003230C1">
      <w:pPr>
        <w:jc w:val="both"/>
      </w:pPr>
    </w:p>
    <w:p w14:paraId="4A69C622" w14:textId="77777777" w:rsidR="003230C1" w:rsidRPr="00965D6A" w:rsidRDefault="003230C1" w:rsidP="008D4781">
      <w:pPr>
        <w:jc w:val="both"/>
        <w:rPr>
          <w:b/>
          <w:bCs/>
        </w:rPr>
      </w:pPr>
    </w:p>
    <w:p w14:paraId="5BBF06F1" w14:textId="77777777" w:rsidR="003230C1" w:rsidRPr="00965D6A" w:rsidRDefault="003230C1" w:rsidP="008D4781">
      <w:pPr>
        <w:jc w:val="both"/>
        <w:rPr>
          <w:b/>
          <w:bCs/>
        </w:rPr>
      </w:pPr>
    </w:p>
    <w:p w14:paraId="0B077D4D" w14:textId="77777777" w:rsidR="004753BA" w:rsidRPr="00965D6A" w:rsidRDefault="004753BA">
      <w:pPr>
        <w:spacing w:after="160" w:line="278" w:lineRule="auto"/>
        <w:rPr>
          <w:b/>
          <w:bCs/>
        </w:rPr>
      </w:pPr>
      <w:r w:rsidRPr="00965D6A">
        <w:rPr>
          <w:b/>
          <w:bCs/>
        </w:rPr>
        <w:br w:type="page"/>
      </w:r>
    </w:p>
    <w:p w14:paraId="4527B18D" w14:textId="1394208D" w:rsidR="00EC0159" w:rsidRPr="00965D6A" w:rsidRDefault="00EC0159" w:rsidP="00EC0159">
      <w:pPr>
        <w:jc w:val="center"/>
        <w:rPr>
          <w:b/>
          <w:bCs/>
        </w:rPr>
      </w:pPr>
      <w:r w:rsidRPr="00965D6A">
        <w:rPr>
          <w:b/>
          <w:bCs/>
        </w:rPr>
        <w:lastRenderedPageBreak/>
        <w:t>SUPPLEMENTARY MATERIALS</w:t>
      </w:r>
      <w:r w:rsidR="00E95126" w:rsidRPr="00965D6A">
        <w:rPr>
          <w:b/>
          <w:bCs/>
        </w:rPr>
        <w:t xml:space="preserve"> SECTION III</w:t>
      </w:r>
      <w:r w:rsidRPr="00965D6A">
        <w:rPr>
          <w:b/>
          <w:bCs/>
        </w:rPr>
        <w:t>: DESCRIPTIVE STATISTICS</w:t>
      </w:r>
    </w:p>
    <w:p w14:paraId="2897B579" w14:textId="77777777" w:rsidR="00EC0159" w:rsidRPr="00965D6A" w:rsidRDefault="00EC0159" w:rsidP="00E87338">
      <w:pPr>
        <w:rPr>
          <w:b/>
          <w:bCs/>
        </w:rPr>
      </w:pPr>
    </w:p>
    <w:p w14:paraId="4517273D" w14:textId="35EAFE92" w:rsidR="00E87338" w:rsidRPr="00965D6A" w:rsidRDefault="00EC0159" w:rsidP="00E87338">
      <w:r w:rsidRPr="00965D6A">
        <w:rPr>
          <w:b/>
          <w:bCs/>
        </w:rPr>
        <w:t>Table C.</w:t>
      </w:r>
      <w:r w:rsidR="00E87338" w:rsidRPr="00965D6A">
        <w:t xml:space="preserve"> Descriptive statistics</w:t>
      </w:r>
    </w:p>
    <w:tbl>
      <w:tblPr>
        <w:tblW w:w="9388" w:type="dxa"/>
        <w:tblCellMar>
          <w:left w:w="0" w:type="dxa"/>
          <w:right w:w="0" w:type="dxa"/>
        </w:tblCellMar>
        <w:tblLook w:val="0420" w:firstRow="1" w:lastRow="0" w:firstColumn="0" w:lastColumn="0" w:noHBand="0" w:noVBand="1"/>
      </w:tblPr>
      <w:tblGrid>
        <w:gridCol w:w="2183"/>
        <w:gridCol w:w="1801"/>
        <w:gridCol w:w="1801"/>
        <w:gridCol w:w="1800"/>
        <w:gridCol w:w="1803"/>
      </w:tblGrid>
      <w:tr w:rsidR="00965D6A" w:rsidRPr="00965D6A" w14:paraId="7649F802" w14:textId="77777777" w:rsidTr="00CE74ED">
        <w:trPr>
          <w:trHeight w:val="166"/>
        </w:trPr>
        <w:tc>
          <w:tcPr>
            <w:tcW w:w="2183" w:type="dxa"/>
            <w:tcBorders>
              <w:top w:val="single" w:sz="8" w:space="0" w:color="525053"/>
              <w:left w:val="nil"/>
              <w:bottom w:val="single" w:sz="8" w:space="0" w:color="525053"/>
              <w:right w:val="nil"/>
            </w:tcBorders>
            <w:tcMar>
              <w:top w:w="72" w:type="dxa"/>
              <w:left w:w="144" w:type="dxa"/>
              <w:bottom w:w="72" w:type="dxa"/>
              <w:right w:w="144" w:type="dxa"/>
            </w:tcMar>
            <w:hideMark/>
          </w:tcPr>
          <w:p w14:paraId="24493836" w14:textId="77777777" w:rsidR="00E87338" w:rsidRPr="00965D6A" w:rsidRDefault="00E87338" w:rsidP="00255578">
            <w:pPr>
              <w:rPr>
                <w:sz w:val="20"/>
                <w:szCs w:val="20"/>
              </w:rPr>
            </w:pPr>
            <w:r w:rsidRPr="00965D6A">
              <w:rPr>
                <w:sz w:val="20"/>
                <w:szCs w:val="20"/>
              </w:rPr>
              <w:t>Variable</w:t>
            </w:r>
          </w:p>
        </w:tc>
        <w:tc>
          <w:tcPr>
            <w:tcW w:w="1801" w:type="dxa"/>
            <w:tcBorders>
              <w:top w:val="single" w:sz="8" w:space="0" w:color="525053"/>
              <w:left w:val="nil"/>
              <w:bottom w:val="single" w:sz="8" w:space="0" w:color="525053"/>
              <w:right w:val="nil"/>
            </w:tcBorders>
            <w:tcMar>
              <w:top w:w="72" w:type="dxa"/>
              <w:left w:w="144" w:type="dxa"/>
              <w:bottom w:w="72" w:type="dxa"/>
              <w:right w:w="144" w:type="dxa"/>
            </w:tcMar>
            <w:hideMark/>
          </w:tcPr>
          <w:p w14:paraId="27FE3C6C" w14:textId="77777777" w:rsidR="00E87338" w:rsidRPr="00965D6A" w:rsidRDefault="00E87338" w:rsidP="00255578">
            <w:pPr>
              <w:jc w:val="center"/>
              <w:rPr>
                <w:sz w:val="20"/>
                <w:szCs w:val="20"/>
              </w:rPr>
            </w:pPr>
            <w:r w:rsidRPr="00965D6A">
              <w:rPr>
                <w:sz w:val="20"/>
                <w:szCs w:val="20"/>
              </w:rPr>
              <w:t>Mean</w:t>
            </w:r>
          </w:p>
        </w:tc>
        <w:tc>
          <w:tcPr>
            <w:tcW w:w="1801" w:type="dxa"/>
            <w:tcBorders>
              <w:top w:val="single" w:sz="8" w:space="0" w:color="525053"/>
              <w:left w:val="nil"/>
              <w:bottom w:val="single" w:sz="8" w:space="0" w:color="525053"/>
              <w:right w:val="nil"/>
            </w:tcBorders>
            <w:tcMar>
              <w:top w:w="72" w:type="dxa"/>
              <w:left w:w="144" w:type="dxa"/>
              <w:bottom w:w="72" w:type="dxa"/>
              <w:right w:w="144" w:type="dxa"/>
            </w:tcMar>
            <w:hideMark/>
          </w:tcPr>
          <w:p w14:paraId="5F60B5AD" w14:textId="77777777" w:rsidR="00E87338" w:rsidRPr="00965D6A" w:rsidRDefault="00E87338" w:rsidP="00255578">
            <w:pPr>
              <w:jc w:val="center"/>
              <w:rPr>
                <w:sz w:val="20"/>
                <w:szCs w:val="20"/>
              </w:rPr>
            </w:pPr>
            <w:r w:rsidRPr="00965D6A">
              <w:rPr>
                <w:sz w:val="20"/>
                <w:szCs w:val="20"/>
              </w:rPr>
              <w:t>Standard deviation</w:t>
            </w:r>
          </w:p>
        </w:tc>
        <w:tc>
          <w:tcPr>
            <w:tcW w:w="1800" w:type="dxa"/>
            <w:tcBorders>
              <w:top w:val="single" w:sz="8" w:space="0" w:color="525053"/>
              <w:left w:val="nil"/>
              <w:bottom w:val="single" w:sz="8" w:space="0" w:color="525053"/>
              <w:right w:val="nil"/>
            </w:tcBorders>
            <w:tcMar>
              <w:top w:w="72" w:type="dxa"/>
              <w:left w:w="144" w:type="dxa"/>
              <w:bottom w:w="72" w:type="dxa"/>
              <w:right w:w="144" w:type="dxa"/>
            </w:tcMar>
            <w:hideMark/>
          </w:tcPr>
          <w:p w14:paraId="1C26A1C4" w14:textId="77777777" w:rsidR="00E87338" w:rsidRPr="00965D6A" w:rsidRDefault="00E87338" w:rsidP="00255578">
            <w:pPr>
              <w:jc w:val="center"/>
              <w:rPr>
                <w:sz w:val="20"/>
                <w:szCs w:val="20"/>
              </w:rPr>
            </w:pPr>
            <w:r w:rsidRPr="00965D6A">
              <w:rPr>
                <w:sz w:val="20"/>
                <w:szCs w:val="20"/>
              </w:rPr>
              <w:t>Minimum</w:t>
            </w:r>
          </w:p>
        </w:tc>
        <w:tc>
          <w:tcPr>
            <w:tcW w:w="1803" w:type="dxa"/>
            <w:tcBorders>
              <w:top w:val="single" w:sz="8" w:space="0" w:color="525053"/>
              <w:left w:val="nil"/>
              <w:bottom w:val="single" w:sz="8" w:space="0" w:color="525053"/>
              <w:right w:val="nil"/>
            </w:tcBorders>
            <w:tcMar>
              <w:top w:w="72" w:type="dxa"/>
              <w:left w:w="144" w:type="dxa"/>
              <w:bottom w:w="72" w:type="dxa"/>
              <w:right w:w="144" w:type="dxa"/>
            </w:tcMar>
            <w:hideMark/>
          </w:tcPr>
          <w:p w14:paraId="11188F9B" w14:textId="77777777" w:rsidR="00E87338" w:rsidRPr="00965D6A" w:rsidRDefault="00E87338" w:rsidP="00255578">
            <w:pPr>
              <w:jc w:val="center"/>
              <w:rPr>
                <w:sz w:val="20"/>
                <w:szCs w:val="20"/>
              </w:rPr>
            </w:pPr>
            <w:r w:rsidRPr="00965D6A">
              <w:rPr>
                <w:sz w:val="20"/>
                <w:szCs w:val="20"/>
              </w:rPr>
              <w:t>Maximum</w:t>
            </w:r>
          </w:p>
        </w:tc>
      </w:tr>
      <w:tr w:rsidR="00965D6A" w:rsidRPr="00965D6A" w14:paraId="1BC7CF8A" w14:textId="77777777" w:rsidTr="00CE74ED">
        <w:trPr>
          <w:trHeight w:val="166"/>
        </w:trPr>
        <w:tc>
          <w:tcPr>
            <w:tcW w:w="2183" w:type="dxa"/>
            <w:tcBorders>
              <w:left w:val="nil"/>
              <w:bottom w:val="nil"/>
              <w:right w:val="nil"/>
            </w:tcBorders>
            <w:tcMar>
              <w:top w:w="72" w:type="dxa"/>
              <w:left w:w="144" w:type="dxa"/>
              <w:bottom w:w="72" w:type="dxa"/>
              <w:right w:w="144" w:type="dxa"/>
            </w:tcMar>
          </w:tcPr>
          <w:p w14:paraId="0EBC689B" w14:textId="77777777" w:rsidR="00E87338" w:rsidRPr="00965D6A" w:rsidRDefault="00E87338" w:rsidP="00255578">
            <w:pPr>
              <w:rPr>
                <w:i/>
                <w:iCs/>
                <w:sz w:val="20"/>
                <w:szCs w:val="20"/>
              </w:rPr>
            </w:pPr>
            <m:oMath>
              <m:r>
                <w:rPr>
                  <w:rFonts w:ascii="Cambria Math" w:hAnsi="Cambria Math"/>
                  <w:sz w:val="20"/>
                  <w:szCs w:val="20"/>
                </w:rPr>
                <m:t>Share of trips online</m:t>
              </m:r>
            </m:oMath>
            <w:r w:rsidRPr="00965D6A">
              <w:rPr>
                <w:rFonts w:eastAsiaTheme="minorEastAsia"/>
                <w:i/>
                <w:iCs/>
                <w:sz w:val="20"/>
                <w:szCs w:val="20"/>
              </w:rPr>
              <w:t xml:space="preserve"> </w:t>
            </w:r>
          </w:p>
        </w:tc>
        <w:tc>
          <w:tcPr>
            <w:tcW w:w="1801" w:type="dxa"/>
            <w:tcBorders>
              <w:left w:val="nil"/>
              <w:bottom w:val="nil"/>
              <w:right w:val="nil"/>
            </w:tcBorders>
            <w:tcMar>
              <w:top w:w="72" w:type="dxa"/>
              <w:left w:w="144" w:type="dxa"/>
              <w:bottom w:w="72" w:type="dxa"/>
              <w:right w:w="144" w:type="dxa"/>
            </w:tcMar>
          </w:tcPr>
          <w:p w14:paraId="6D05A9CB" w14:textId="700B2142" w:rsidR="00E87338" w:rsidRPr="00965D6A" w:rsidRDefault="00E87338" w:rsidP="00255578">
            <w:pPr>
              <w:jc w:val="center"/>
              <w:rPr>
                <w:sz w:val="20"/>
                <w:szCs w:val="20"/>
              </w:rPr>
            </w:pPr>
            <w:r w:rsidRPr="00965D6A">
              <w:rPr>
                <w:sz w:val="20"/>
                <w:szCs w:val="20"/>
              </w:rPr>
              <w:t>2.</w:t>
            </w:r>
            <w:r w:rsidR="002B1FE5" w:rsidRPr="00965D6A">
              <w:rPr>
                <w:sz w:val="20"/>
                <w:szCs w:val="20"/>
              </w:rPr>
              <w:t>769</w:t>
            </w:r>
            <w:r w:rsidRPr="00965D6A">
              <w:rPr>
                <w:sz w:val="20"/>
                <w:szCs w:val="20"/>
              </w:rPr>
              <w:t>%</w:t>
            </w:r>
          </w:p>
        </w:tc>
        <w:tc>
          <w:tcPr>
            <w:tcW w:w="1801" w:type="dxa"/>
            <w:tcBorders>
              <w:left w:val="nil"/>
              <w:bottom w:val="nil"/>
              <w:right w:val="nil"/>
            </w:tcBorders>
            <w:tcMar>
              <w:top w:w="72" w:type="dxa"/>
              <w:left w:w="144" w:type="dxa"/>
              <w:bottom w:w="72" w:type="dxa"/>
              <w:right w:w="144" w:type="dxa"/>
            </w:tcMar>
          </w:tcPr>
          <w:p w14:paraId="0D4FC663" w14:textId="7607CAFF" w:rsidR="00E87338" w:rsidRPr="00965D6A" w:rsidRDefault="00E87338" w:rsidP="00255578">
            <w:pPr>
              <w:jc w:val="center"/>
              <w:rPr>
                <w:sz w:val="20"/>
                <w:szCs w:val="20"/>
              </w:rPr>
            </w:pPr>
            <w:r w:rsidRPr="00965D6A">
              <w:rPr>
                <w:sz w:val="20"/>
                <w:szCs w:val="20"/>
              </w:rPr>
              <w:t>2.</w:t>
            </w:r>
            <w:r w:rsidR="0076348E" w:rsidRPr="00965D6A">
              <w:rPr>
                <w:sz w:val="20"/>
                <w:szCs w:val="20"/>
              </w:rPr>
              <w:t>708</w:t>
            </w:r>
            <w:r w:rsidRPr="00965D6A">
              <w:rPr>
                <w:sz w:val="20"/>
                <w:szCs w:val="20"/>
              </w:rPr>
              <w:t>%</w:t>
            </w:r>
          </w:p>
        </w:tc>
        <w:tc>
          <w:tcPr>
            <w:tcW w:w="1800" w:type="dxa"/>
            <w:tcBorders>
              <w:left w:val="nil"/>
              <w:bottom w:val="nil"/>
              <w:right w:val="nil"/>
            </w:tcBorders>
            <w:tcMar>
              <w:top w:w="72" w:type="dxa"/>
              <w:left w:w="144" w:type="dxa"/>
              <w:bottom w:w="72" w:type="dxa"/>
              <w:right w:w="144" w:type="dxa"/>
            </w:tcMar>
          </w:tcPr>
          <w:p w14:paraId="487A7E55" w14:textId="77777777" w:rsidR="00E87338" w:rsidRPr="00965D6A" w:rsidRDefault="00E87338" w:rsidP="00255578">
            <w:pPr>
              <w:jc w:val="center"/>
              <w:rPr>
                <w:sz w:val="20"/>
                <w:szCs w:val="20"/>
              </w:rPr>
            </w:pPr>
            <w:r w:rsidRPr="00965D6A">
              <w:rPr>
                <w:sz w:val="20"/>
                <w:szCs w:val="20"/>
              </w:rPr>
              <w:t>0%</w:t>
            </w:r>
          </w:p>
        </w:tc>
        <w:tc>
          <w:tcPr>
            <w:tcW w:w="1803" w:type="dxa"/>
            <w:tcBorders>
              <w:left w:val="nil"/>
              <w:bottom w:val="nil"/>
              <w:right w:val="nil"/>
            </w:tcBorders>
            <w:tcMar>
              <w:top w:w="72" w:type="dxa"/>
              <w:left w:w="144" w:type="dxa"/>
              <w:bottom w:w="72" w:type="dxa"/>
              <w:right w:w="144" w:type="dxa"/>
            </w:tcMar>
          </w:tcPr>
          <w:p w14:paraId="1E4D6FD4" w14:textId="392DC04D" w:rsidR="00E87338" w:rsidRPr="00965D6A" w:rsidRDefault="00E87338" w:rsidP="00255578">
            <w:pPr>
              <w:jc w:val="center"/>
              <w:rPr>
                <w:sz w:val="20"/>
                <w:szCs w:val="20"/>
              </w:rPr>
            </w:pPr>
            <w:r w:rsidRPr="00965D6A">
              <w:rPr>
                <w:sz w:val="20"/>
                <w:szCs w:val="20"/>
              </w:rPr>
              <w:t>5</w:t>
            </w:r>
            <w:r w:rsidR="000137B9" w:rsidRPr="00965D6A">
              <w:rPr>
                <w:sz w:val="20"/>
                <w:szCs w:val="20"/>
              </w:rPr>
              <w:t>4</w:t>
            </w:r>
            <w:r w:rsidRPr="00965D6A">
              <w:rPr>
                <w:sz w:val="20"/>
                <w:szCs w:val="20"/>
              </w:rPr>
              <w:t>.</w:t>
            </w:r>
            <w:r w:rsidR="000137B9" w:rsidRPr="00965D6A">
              <w:rPr>
                <w:sz w:val="20"/>
                <w:szCs w:val="20"/>
              </w:rPr>
              <w:t>878</w:t>
            </w:r>
            <w:r w:rsidRPr="00965D6A">
              <w:rPr>
                <w:sz w:val="20"/>
                <w:szCs w:val="20"/>
              </w:rPr>
              <w:t>%</w:t>
            </w:r>
          </w:p>
        </w:tc>
      </w:tr>
      <w:tr w:rsidR="00965D6A" w:rsidRPr="00965D6A" w14:paraId="4E82CFE4" w14:textId="77777777" w:rsidTr="00CE74ED">
        <w:trPr>
          <w:trHeight w:val="166"/>
        </w:trPr>
        <w:tc>
          <w:tcPr>
            <w:tcW w:w="2183" w:type="dxa"/>
            <w:tcBorders>
              <w:left w:val="nil"/>
              <w:bottom w:val="nil"/>
              <w:right w:val="nil"/>
            </w:tcBorders>
            <w:tcMar>
              <w:top w:w="72" w:type="dxa"/>
              <w:left w:w="144" w:type="dxa"/>
              <w:bottom w:w="72" w:type="dxa"/>
              <w:right w:w="144" w:type="dxa"/>
            </w:tcMar>
          </w:tcPr>
          <w:p w14:paraId="5B71AB76" w14:textId="77777777" w:rsidR="00E87338" w:rsidRPr="00965D6A" w:rsidRDefault="00034C1F" w:rsidP="00255578">
            <w:pPr>
              <w:jc w:val="both"/>
              <w:rPr>
                <w:sz w:val="20"/>
                <w:szCs w:val="20"/>
              </w:rPr>
            </w:pPr>
            <m:oMath>
              <m:acc>
                <m:accPr>
                  <m:chr m:val="̅"/>
                  <m:ctrlPr>
                    <w:rPr>
                      <w:rFonts w:ascii="Cambria Math" w:hAnsi="Cambria Math"/>
                      <w:i/>
                      <w:iCs/>
                      <w:sz w:val="20"/>
                      <w:szCs w:val="20"/>
                    </w:rPr>
                  </m:ctrlPr>
                </m:accPr>
                <m:e>
                  <m:r>
                    <w:rPr>
                      <w:rFonts w:ascii="Cambria Math" w:hAnsi="Cambria Math"/>
                      <w:sz w:val="20"/>
                      <w:szCs w:val="20"/>
                    </w:rPr>
                    <m:t>Rural</m:t>
                  </m:r>
                </m:e>
              </m:acc>
            </m:oMath>
            <w:r w:rsidR="00E87338" w:rsidRPr="00965D6A">
              <w:rPr>
                <w:sz w:val="20"/>
                <w:szCs w:val="20"/>
              </w:rPr>
              <w:t xml:space="preserve"> </w:t>
            </w:r>
          </w:p>
        </w:tc>
        <w:tc>
          <w:tcPr>
            <w:tcW w:w="1801" w:type="dxa"/>
            <w:tcBorders>
              <w:left w:val="nil"/>
              <w:bottom w:val="nil"/>
              <w:right w:val="nil"/>
            </w:tcBorders>
            <w:tcMar>
              <w:top w:w="72" w:type="dxa"/>
              <w:left w:w="144" w:type="dxa"/>
              <w:bottom w:w="72" w:type="dxa"/>
              <w:right w:w="144" w:type="dxa"/>
            </w:tcMar>
          </w:tcPr>
          <w:p w14:paraId="32CBAEE7" w14:textId="2B371F3E" w:rsidR="00E87338" w:rsidRPr="00965D6A" w:rsidRDefault="00E87338" w:rsidP="00255578">
            <w:pPr>
              <w:jc w:val="center"/>
              <w:rPr>
                <w:sz w:val="20"/>
                <w:szCs w:val="20"/>
              </w:rPr>
            </w:pPr>
            <w:r w:rsidRPr="00965D6A">
              <w:rPr>
                <w:sz w:val="20"/>
                <w:szCs w:val="20"/>
              </w:rPr>
              <w:t>4.</w:t>
            </w:r>
            <w:r w:rsidR="00FB6EC5" w:rsidRPr="00965D6A">
              <w:rPr>
                <w:sz w:val="20"/>
                <w:szCs w:val="20"/>
              </w:rPr>
              <w:t>649</w:t>
            </w:r>
          </w:p>
        </w:tc>
        <w:tc>
          <w:tcPr>
            <w:tcW w:w="1801" w:type="dxa"/>
            <w:tcBorders>
              <w:left w:val="nil"/>
              <w:bottom w:val="nil"/>
              <w:right w:val="nil"/>
            </w:tcBorders>
            <w:tcMar>
              <w:top w:w="72" w:type="dxa"/>
              <w:left w:w="144" w:type="dxa"/>
              <w:bottom w:w="72" w:type="dxa"/>
              <w:right w:w="144" w:type="dxa"/>
            </w:tcMar>
          </w:tcPr>
          <w:p w14:paraId="4B019003" w14:textId="7CB65C1F" w:rsidR="00E87338" w:rsidRPr="00965D6A" w:rsidRDefault="00E87338" w:rsidP="00255578">
            <w:pPr>
              <w:jc w:val="center"/>
              <w:rPr>
                <w:sz w:val="20"/>
                <w:szCs w:val="20"/>
              </w:rPr>
            </w:pPr>
            <w:r w:rsidRPr="00965D6A">
              <w:rPr>
                <w:sz w:val="20"/>
                <w:szCs w:val="20"/>
              </w:rPr>
              <w:t>2.1</w:t>
            </w:r>
            <w:r w:rsidR="00E26749" w:rsidRPr="00965D6A">
              <w:rPr>
                <w:sz w:val="20"/>
                <w:szCs w:val="20"/>
              </w:rPr>
              <w:t>39</w:t>
            </w:r>
          </w:p>
        </w:tc>
        <w:tc>
          <w:tcPr>
            <w:tcW w:w="1800" w:type="dxa"/>
            <w:tcBorders>
              <w:left w:val="nil"/>
              <w:bottom w:val="nil"/>
              <w:right w:val="nil"/>
            </w:tcBorders>
            <w:tcMar>
              <w:top w:w="72" w:type="dxa"/>
              <w:left w:w="144" w:type="dxa"/>
              <w:bottom w:w="72" w:type="dxa"/>
              <w:right w:w="144" w:type="dxa"/>
            </w:tcMar>
          </w:tcPr>
          <w:p w14:paraId="15FE907E" w14:textId="77777777" w:rsidR="00E87338" w:rsidRPr="00965D6A" w:rsidRDefault="00E87338" w:rsidP="00255578">
            <w:pPr>
              <w:jc w:val="center"/>
              <w:rPr>
                <w:sz w:val="20"/>
                <w:szCs w:val="20"/>
              </w:rPr>
            </w:pPr>
            <w:r w:rsidRPr="00965D6A">
              <w:rPr>
                <w:sz w:val="20"/>
                <w:szCs w:val="20"/>
              </w:rPr>
              <w:t>1</w:t>
            </w:r>
          </w:p>
        </w:tc>
        <w:tc>
          <w:tcPr>
            <w:tcW w:w="1803" w:type="dxa"/>
            <w:tcBorders>
              <w:left w:val="nil"/>
              <w:bottom w:val="nil"/>
              <w:right w:val="nil"/>
            </w:tcBorders>
            <w:tcMar>
              <w:top w:w="72" w:type="dxa"/>
              <w:left w:w="144" w:type="dxa"/>
              <w:bottom w:w="72" w:type="dxa"/>
              <w:right w:w="144" w:type="dxa"/>
            </w:tcMar>
          </w:tcPr>
          <w:p w14:paraId="61F9FD99" w14:textId="77777777" w:rsidR="00E87338" w:rsidRPr="00965D6A" w:rsidRDefault="00E87338" w:rsidP="00255578">
            <w:pPr>
              <w:jc w:val="center"/>
              <w:rPr>
                <w:sz w:val="20"/>
                <w:szCs w:val="20"/>
              </w:rPr>
            </w:pPr>
            <w:r w:rsidRPr="00965D6A">
              <w:rPr>
                <w:sz w:val="20"/>
                <w:szCs w:val="20"/>
              </w:rPr>
              <w:t>9</w:t>
            </w:r>
          </w:p>
        </w:tc>
      </w:tr>
      <w:tr w:rsidR="00965D6A" w:rsidRPr="00965D6A" w14:paraId="1ECA87C0" w14:textId="77777777" w:rsidTr="00255578">
        <w:trPr>
          <w:trHeight w:val="166"/>
        </w:trPr>
        <w:tc>
          <w:tcPr>
            <w:tcW w:w="9388" w:type="dxa"/>
            <w:gridSpan w:val="5"/>
            <w:tcBorders>
              <w:top w:val="single" w:sz="4" w:space="0" w:color="auto"/>
              <w:left w:val="nil"/>
              <w:right w:val="nil"/>
            </w:tcBorders>
            <w:tcMar>
              <w:top w:w="72" w:type="dxa"/>
              <w:left w:w="144" w:type="dxa"/>
              <w:bottom w:w="72" w:type="dxa"/>
              <w:right w:w="144" w:type="dxa"/>
            </w:tcMar>
          </w:tcPr>
          <w:p w14:paraId="0B6E3A98" w14:textId="7AF8FFDA" w:rsidR="00E87338" w:rsidRPr="00965D6A" w:rsidRDefault="00E87338" w:rsidP="00255578">
            <w:pPr>
              <w:jc w:val="both"/>
              <w:rPr>
                <w:sz w:val="20"/>
                <w:szCs w:val="20"/>
              </w:rPr>
            </w:pPr>
            <w:r w:rsidRPr="00965D6A">
              <w:rPr>
                <w:i/>
                <w:iCs/>
                <w:sz w:val="20"/>
                <w:szCs w:val="20"/>
              </w:rPr>
              <w:t xml:space="preserve">Notes: </w:t>
            </w:r>
            <w:r w:rsidRPr="00965D6A">
              <w:rPr>
                <w:sz w:val="20"/>
                <w:szCs w:val="20"/>
              </w:rPr>
              <w:t xml:space="preserve">Descriptive statistics for share of trips online are reported before the logit link transformation. Descriptive statistics for </w:t>
            </w:r>
            <m:oMath>
              <m:acc>
                <m:accPr>
                  <m:chr m:val="̅"/>
                  <m:ctrlPr>
                    <w:rPr>
                      <w:rFonts w:ascii="Cambria Math" w:hAnsi="Cambria Math"/>
                      <w:i/>
                      <w:iCs/>
                      <w:sz w:val="20"/>
                      <w:szCs w:val="20"/>
                    </w:rPr>
                  </m:ctrlPr>
                </m:accPr>
                <m:e>
                  <m:r>
                    <w:rPr>
                      <w:rFonts w:ascii="Cambria Math" w:hAnsi="Cambria Math"/>
                      <w:sz w:val="20"/>
                      <w:szCs w:val="20"/>
                    </w:rPr>
                    <m:t>Rural</m:t>
                  </m:r>
                </m:e>
              </m:acc>
            </m:oMath>
            <w:r w:rsidRPr="00965D6A">
              <w:rPr>
                <w:rFonts w:eastAsiaTheme="minorEastAsia"/>
                <w:iCs/>
                <w:sz w:val="20"/>
                <w:szCs w:val="20"/>
              </w:rPr>
              <w:t xml:space="preserve"> are reported before grand mean centering. N = </w:t>
            </w:r>
            <w:r w:rsidR="000137B9" w:rsidRPr="00965D6A">
              <w:rPr>
                <w:rFonts w:eastAsiaTheme="minorEastAsia"/>
                <w:iCs/>
                <w:sz w:val="20"/>
                <w:szCs w:val="20"/>
              </w:rPr>
              <w:t>8,862</w:t>
            </w:r>
            <w:r w:rsidRPr="00965D6A">
              <w:rPr>
                <w:rFonts w:eastAsiaTheme="minorEastAsia"/>
                <w:iCs/>
                <w:sz w:val="20"/>
                <w:szCs w:val="20"/>
              </w:rPr>
              <w:t>.</w:t>
            </w:r>
          </w:p>
        </w:tc>
      </w:tr>
    </w:tbl>
    <w:p w14:paraId="1D8B31B4" w14:textId="13AF7D38" w:rsidR="00CE74ED" w:rsidRPr="00965D6A" w:rsidRDefault="00CE74ED" w:rsidP="00CE74ED">
      <w:r w:rsidRPr="00965D6A">
        <w:rPr>
          <w:b/>
          <w:bCs/>
          <w:sz w:val="20"/>
          <w:szCs w:val="20"/>
        </w:rPr>
        <w:t xml:space="preserve">Source(s): </w:t>
      </w:r>
      <w:r w:rsidRPr="00965D6A">
        <w:rPr>
          <w:sz w:val="20"/>
          <w:szCs w:val="20"/>
        </w:rPr>
        <w:t xml:space="preserve">Authors’ </w:t>
      </w:r>
      <w:proofErr w:type="gramStart"/>
      <w:r w:rsidRPr="00965D6A">
        <w:rPr>
          <w:sz w:val="20"/>
          <w:szCs w:val="20"/>
        </w:rPr>
        <w:t>own</w:t>
      </w:r>
      <w:proofErr w:type="gramEnd"/>
      <w:r w:rsidRPr="00965D6A">
        <w:rPr>
          <w:sz w:val="20"/>
          <w:szCs w:val="20"/>
        </w:rPr>
        <w:t xml:space="preserve"> </w:t>
      </w:r>
      <w:r w:rsidR="00567E07">
        <w:rPr>
          <w:sz w:val="20"/>
          <w:szCs w:val="20"/>
        </w:rPr>
        <w:t>work</w:t>
      </w:r>
    </w:p>
    <w:p w14:paraId="6D4438EC" w14:textId="77777777" w:rsidR="00E87338" w:rsidRPr="00965D6A" w:rsidRDefault="00E87338" w:rsidP="008D4781">
      <w:pPr>
        <w:jc w:val="both"/>
        <w:rPr>
          <w:b/>
          <w:bCs/>
        </w:rPr>
      </w:pPr>
    </w:p>
    <w:p w14:paraId="6A2B46E2" w14:textId="77777777" w:rsidR="00EC0159" w:rsidRPr="00965D6A" w:rsidRDefault="00EC0159">
      <w:pPr>
        <w:spacing w:after="160" w:line="278" w:lineRule="auto"/>
        <w:rPr>
          <w:b/>
          <w:bCs/>
        </w:rPr>
      </w:pPr>
      <w:r w:rsidRPr="00965D6A">
        <w:rPr>
          <w:b/>
          <w:bCs/>
        </w:rPr>
        <w:br w:type="page"/>
      </w:r>
    </w:p>
    <w:p w14:paraId="7264356F" w14:textId="0CDA95B5" w:rsidR="00EC0159" w:rsidRPr="00965D6A" w:rsidRDefault="00EC0159" w:rsidP="00EC0159">
      <w:pPr>
        <w:spacing w:line="480" w:lineRule="auto"/>
        <w:jc w:val="center"/>
        <w:rPr>
          <w:b/>
          <w:bCs/>
        </w:rPr>
      </w:pPr>
      <w:r w:rsidRPr="00965D6A">
        <w:rPr>
          <w:b/>
          <w:bCs/>
        </w:rPr>
        <w:lastRenderedPageBreak/>
        <w:t>SUPPLEMENTARY MATERIALS</w:t>
      </w:r>
      <w:r w:rsidR="00E95126" w:rsidRPr="00965D6A">
        <w:rPr>
          <w:b/>
          <w:bCs/>
        </w:rPr>
        <w:t xml:space="preserve"> SECTION IV</w:t>
      </w:r>
      <w:r w:rsidRPr="00965D6A">
        <w:rPr>
          <w:b/>
          <w:bCs/>
        </w:rPr>
        <w:t>: MODEL-FREE EVIDENCE</w:t>
      </w:r>
    </w:p>
    <w:p w14:paraId="71E7B0CD" w14:textId="527F4FFD" w:rsidR="008D4781" w:rsidRPr="00965D6A" w:rsidRDefault="005549CA" w:rsidP="00EC0159">
      <w:pPr>
        <w:spacing w:line="480" w:lineRule="auto"/>
        <w:ind w:firstLine="720"/>
        <w:jc w:val="both"/>
      </w:pPr>
      <w:r w:rsidRPr="00965D6A">
        <w:t xml:space="preserve">To provide </w:t>
      </w:r>
      <w:r w:rsidRPr="00567E07">
        <w:t>model-free evidence (Davis-Sramek</w:t>
      </w:r>
      <w:r w:rsidR="001D0C60" w:rsidRPr="00567E07">
        <w:t xml:space="preserve"> </w:t>
      </w:r>
      <w:r w:rsidR="001D0C60" w:rsidRPr="00567E07">
        <w:rPr>
          <w:i/>
          <w:iCs/>
        </w:rPr>
        <w:t>et al</w:t>
      </w:r>
      <w:r w:rsidR="001D0C60" w:rsidRPr="00567E07">
        <w:t xml:space="preserve">., </w:t>
      </w:r>
      <w:r w:rsidRPr="00567E07">
        <w:t xml:space="preserve">2023) in support of the general upward trend over time in </w:t>
      </w:r>
      <w:r w:rsidR="00E97734" w:rsidRPr="00567E07">
        <w:t>demand for last-mile fulfillment services</w:t>
      </w:r>
      <w:r w:rsidR="00191D61" w:rsidRPr="00567E07">
        <w:t xml:space="preserve"> (LMFS)</w:t>
      </w:r>
      <w:r w:rsidRPr="00567E07">
        <w:t xml:space="preserve"> and a jump in 2020, Figures </w:t>
      </w:r>
      <w:r w:rsidR="00EC0159" w:rsidRPr="00567E07">
        <w:t>A</w:t>
      </w:r>
      <w:r w:rsidRPr="00567E07">
        <w:t xml:space="preserve">, </w:t>
      </w:r>
      <w:r w:rsidR="00EC0159" w:rsidRPr="00567E07">
        <w:t>B</w:t>
      </w:r>
      <w:r w:rsidRPr="00567E07">
        <w:t xml:space="preserve">, and </w:t>
      </w:r>
      <w:r w:rsidR="00EC0159" w:rsidRPr="00567E07">
        <w:t>C</w:t>
      </w:r>
      <w:r w:rsidRPr="00567E07">
        <w:t xml:space="preserve"> plot the share of shopping trips in the online channel for three groups of commuting zones: (1) two large commuting zones, (2) eight randomly selected commuting zones, and (3) one strongly urban and one strongly rural commuting zone. In addition to illustrating the expected upward trend and jump, these figures provide additional insights justifying the study. Figure </w:t>
      </w:r>
      <w:r w:rsidR="005848BF" w:rsidRPr="00567E07">
        <w:t>B</w:t>
      </w:r>
      <w:r w:rsidRPr="00567E07">
        <w:t xml:space="preserve">, for example, shows heterogeneity in </w:t>
      </w:r>
      <w:r w:rsidR="00191D61" w:rsidRPr="00567E07">
        <w:t xml:space="preserve">online shopping </w:t>
      </w:r>
      <w:r w:rsidRPr="00567E07">
        <w:t xml:space="preserve">patterns across </w:t>
      </w:r>
      <w:r w:rsidRPr="00965D6A">
        <w:t xml:space="preserve">zones, while Figure </w:t>
      </w:r>
      <w:r w:rsidR="005848BF" w:rsidRPr="00965D6A">
        <w:t>C</w:t>
      </w:r>
      <w:r w:rsidRPr="00965D6A">
        <w:t xml:space="preserve"> shows differences between urban and rural areas.</w:t>
      </w:r>
    </w:p>
    <w:p w14:paraId="09DA67DA" w14:textId="0F120B3C" w:rsidR="007D2A9B" w:rsidRPr="00965D6A" w:rsidRDefault="00EC0159" w:rsidP="00F47CC8">
      <w:r w:rsidRPr="00965D6A">
        <w:rPr>
          <w:b/>
          <w:bCs/>
        </w:rPr>
        <w:t>Figure A.</w:t>
      </w:r>
      <w:r w:rsidR="007D2A9B" w:rsidRPr="00965D6A">
        <w:t xml:space="preserve"> Share of trips per year online for 3 large commuting zones</w:t>
      </w:r>
    </w:p>
    <w:p w14:paraId="1ACEBC7C" w14:textId="3D7C524B" w:rsidR="007D2A9B" w:rsidRPr="00965D6A" w:rsidRDefault="00C02FAC" w:rsidP="00F47CC8">
      <w:r w:rsidRPr="00965D6A">
        <w:rPr>
          <w:noProof/>
        </w:rPr>
        <w:drawing>
          <wp:inline distT="0" distB="0" distL="0" distR="0" wp14:anchorId="3A2B0B19" wp14:editId="52CE7585">
            <wp:extent cx="5943600" cy="3438525"/>
            <wp:effectExtent l="0" t="0" r="0" b="9525"/>
            <wp:docPr id="829258734" name="Chart 1">
              <a:extLst xmlns:a="http://schemas.openxmlformats.org/drawingml/2006/main">
                <a:ext uri="{FF2B5EF4-FFF2-40B4-BE49-F238E27FC236}">
                  <a16:creationId xmlns:a16="http://schemas.microsoft.com/office/drawing/2014/main" id="{FA3AAE55-0EC6-F777-4B4F-41AEC4CE90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821B3EC" w14:textId="27A6A9C8" w:rsidR="007D2A9B" w:rsidRPr="00965D6A" w:rsidRDefault="0007532F" w:rsidP="007D2A9B">
      <w:r w:rsidRPr="00965D6A">
        <w:rPr>
          <w:b/>
          <w:bCs/>
          <w:sz w:val="20"/>
          <w:szCs w:val="20"/>
        </w:rPr>
        <w:t xml:space="preserve">Source(s): </w:t>
      </w:r>
      <w:r w:rsidRPr="00965D6A">
        <w:rPr>
          <w:sz w:val="20"/>
          <w:szCs w:val="20"/>
        </w:rPr>
        <w:t xml:space="preserve">Authors’ </w:t>
      </w:r>
      <w:proofErr w:type="gramStart"/>
      <w:r w:rsidRPr="00965D6A">
        <w:rPr>
          <w:sz w:val="20"/>
          <w:szCs w:val="20"/>
        </w:rPr>
        <w:t>own</w:t>
      </w:r>
      <w:proofErr w:type="gramEnd"/>
      <w:r w:rsidR="00567E07">
        <w:rPr>
          <w:sz w:val="20"/>
          <w:szCs w:val="20"/>
        </w:rPr>
        <w:t xml:space="preserve"> work</w:t>
      </w:r>
    </w:p>
    <w:p w14:paraId="0271511F" w14:textId="77777777" w:rsidR="00CA7422" w:rsidRPr="00965D6A" w:rsidRDefault="00CA7422">
      <w:pPr>
        <w:spacing w:after="160" w:line="278" w:lineRule="auto"/>
        <w:rPr>
          <w:b/>
          <w:bCs/>
        </w:rPr>
      </w:pPr>
      <w:r w:rsidRPr="00965D6A">
        <w:rPr>
          <w:b/>
          <w:bCs/>
        </w:rPr>
        <w:br w:type="page"/>
      </w:r>
    </w:p>
    <w:p w14:paraId="6E126845" w14:textId="4F42F8FD" w:rsidR="007D2A9B" w:rsidRPr="00965D6A" w:rsidRDefault="00EC0159" w:rsidP="00F47CC8">
      <w:r w:rsidRPr="00965D6A">
        <w:rPr>
          <w:b/>
          <w:bCs/>
        </w:rPr>
        <w:lastRenderedPageBreak/>
        <w:t>Figure B.</w:t>
      </w:r>
      <w:r w:rsidR="007D2A9B" w:rsidRPr="00965D6A">
        <w:t xml:space="preserve"> Share of trips per year online for 8 randomly selected commuting zones</w:t>
      </w:r>
      <w:r w:rsidR="00ED3370" w:rsidRPr="00965D6A">
        <w:rPr>
          <w:noProof/>
        </w:rPr>
        <w:t xml:space="preserve"> </w:t>
      </w:r>
      <w:r w:rsidR="00ED3370" w:rsidRPr="00965D6A">
        <w:rPr>
          <w:noProof/>
        </w:rPr>
        <w:drawing>
          <wp:inline distT="0" distB="0" distL="0" distR="0" wp14:anchorId="234AF375" wp14:editId="557F403D">
            <wp:extent cx="6018028" cy="3349256"/>
            <wp:effectExtent l="0" t="0" r="1905" b="3810"/>
            <wp:docPr id="1056269595" name="Chart 1">
              <a:extLst xmlns:a="http://schemas.openxmlformats.org/drawingml/2006/main">
                <a:ext uri="{FF2B5EF4-FFF2-40B4-BE49-F238E27FC236}">
                  <a16:creationId xmlns:a16="http://schemas.microsoft.com/office/drawing/2014/main" id="{EED4A62C-E174-33C6-7C14-01C1AB5682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ED1BECE" w14:textId="27C6D2B4" w:rsidR="00CE74ED" w:rsidRPr="00965D6A" w:rsidRDefault="00CE74ED" w:rsidP="00CE74ED">
      <w:r w:rsidRPr="00965D6A">
        <w:rPr>
          <w:b/>
          <w:bCs/>
          <w:sz w:val="20"/>
          <w:szCs w:val="20"/>
        </w:rPr>
        <w:t xml:space="preserve">Source(s): </w:t>
      </w:r>
      <w:r w:rsidRPr="00965D6A">
        <w:rPr>
          <w:sz w:val="20"/>
          <w:szCs w:val="20"/>
        </w:rPr>
        <w:t xml:space="preserve">Authors’ </w:t>
      </w:r>
      <w:proofErr w:type="gramStart"/>
      <w:r w:rsidRPr="00965D6A">
        <w:rPr>
          <w:sz w:val="20"/>
          <w:szCs w:val="20"/>
        </w:rPr>
        <w:t>own</w:t>
      </w:r>
      <w:proofErr w:type="gramEnd"/>
      <w:r w:rsidRPr="00965D6A">
        <w:rPr>
          <w:sz w:val="20"/>
          <w:szCs w:val="20"/>
        </w:rPr>
        <w:t xml:space="preserve"> </w:t>
      </w:r>
      <w:r w:rsidR="00567E07">
        <w:rPr>
          <w:sz w:val="20"/>
          <w:szCs w:val="20"/>
        </w:rPr>
        <w:t>work</w:t>
      </w:r>
    </w:p>
    <w:p w14:paraId="340C99F2" w14:textId="77777777" w:rsidR="0006426C" w:rsidRPr="00965D6A" w:rsidRDefault="0006426C" w:rsidP="007D2A9B">
      <w:pPr>
        <w:jc w:val="center"/>
      </w:pPr>
    </w:p>
    <w:p w14:paraId="05FB3EBC" w14:textId="5DAB7C81" w:rsidR="007D2A9B" w:rsidRPr="00965D6A" w:rsidRDefault="00EC0159" w:rsidP="007D2A9B">
      <w:pPr>
        <w:jc w:val="both"/>
      </w:pPr>
      <w:r w:rsidRPr="00965D6A">
        <w:rPr>
          <w:b/>
          <w:bCs/>
        </w:rPr>
        <w:t>Figure C.</w:t>
      </w:r>
      <w:r w:rsidR="007D2A9B" w:rsidRPr="00965D6A">
        <w:t xml:space="preserve"> Share of trips per year online for 1 strongly urban and 1 strongly rural commuting zone</w:t>
      </w:r>
    </w:p>
    <w:bookmarkEnd w:id="0"/>
    <w:p w14:paraId="714225E2" w14:textId="42C8272B" w:rsidR="00CA7422" w:rsidRPr="00965D6A" w:rsidRDefault="002B3333" w:rsidP="00CA7422">
      <w:pPr>
        <w:jc w:val="center"/>
        <w:rPr>
          <w:i/>
        </w:rPr>
      </w:pPr>
      <w:r w:rsidRPr="00965D6A">
        <w:rPr>
          <w:noProof/>
        </w:rPr>
        <w:drawing>
          <wp:inline distT="0" distB="0" distL="0" distR="0" wp14:anchorId="4B80CB14" wp14:editId="52BF2E22">
            <wp:extent cx="5943600" cy="3165475"/>
            <wp:effectExtent l="0" t="0" r="0" b="15875"/>
            <wp:docPr id="55035813" name="Chart 1">
              <a:extLst xmlns:a="http://schemas.openxmlformats.org/drawingml/2006/main">
                <a:ext uri="{FF2B5EF4-FFF2-40B4-BE49-F238E27FC236}">
                  <a16:creationId xmlns:a16="http://schemas.microsoft.com/office/drawing/2014/main" id="{8A9ACB41-64CA-4E07-93BF-DF2B8CF2B5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453953A" w14:textId="230107CA" w:rsidR="00CE74ED" w:rsidRPr="00965D6A" w:rsidRDefault="00CE74ED" w:rsidP="00CE74ED">
      <w:r w:rsidRPr="00965D6A">
        <w:rPr>
          <w:b/>
          <w:bCs/>
          <w:sz w:val="20"/>
          <w:szCs w:val="20"/>
        </w:rPr>
        <w:t xml:space="preserve">Source(s): </w:t>
      </w:r>
      <w:r w:rsidRPr="00965D6A">
        <w:rPr>
          <w:sz w:val="20"/>
          <w:szCs w:val="20"/>
        </w:rPr>
        <w:t xml:space="preserve">Authors’ </w:t>
      </w:r>
      <w:proofErr w:type="gramStart"/>
      <w:r w:rsidRPr="00965D6A">
        <w:rPr>
          <w:sz w:val="20"/>
          <w:szCs w:val="20"/>
        </w:rPr>
        <w:t>own</w:t>
      </w:r>
      <w:proofErr w:type="gramEnd"/>
      <w:r w:rsidRPr="00965D6A">
        <w:rPr>
          <w:sz w:val="20"/>
          <w:szCs w:val="20"/>
        </w:rPr>
        <w:t xml:space="preserve"> </w:t>
      </w:r>
      <w:r w:rsidR="00567E07">
        <w:rPr>
          <w:sz w:val="20"/>
          <w:szCs w:val="20"/>
        </w:rPr>
        <w:t>work</w:t>
      </w:r>
    </w:p>
    <w:p w14:paraId="4CE03A41" w14:textId="77777777" w:rsidR="00CA7422" w:rsidRPr="00965D6A" w:rsidRDefault="00CA7422" w:rsidP="00CA7422">
      <w:pPr>
        <w:rPr>
          <w:i/>
        </w:rPr>
      </w:pPr>
    </w:p>
    <w:p w14:paraId="7C4B99E6" w14:textId="77777777" w:rsidR="00CA7422" w:rsidRPr="00965D6A" w:rsidRDefault="00CA7422">
      <w:pPr>
        <w:spacing w:after="160" w:line="278" w:lineRule="auto"/>
        <w:rPr>
          <w:i/>
        </w:rPr>
      </w:pPr>
      <w:r w:rsidRPr="00965D6A">
        <w:rPr>
          <w:i/>
        </w:rPr>
        <w:br w:type="page"/>
      </w:r>
    </w:p>
    <w:p w14:paraId="5262D297" w14:textId="5C472A83" w:rsidR="00A066C3" w:rsidRPr="00965D6A" w:rsidRDefault="00A066C3" w:rsidP="00A066C3">
      <w:pPr>
        <w:spacing w:line="480" w:lineRule="auto"/>
        <w:jc w:val="center"/>
      </w:pPr>
      <w:r w:rsidRPr="00965D6A">
        <w:rPr>
          <w:b/>
          <w:bCs/>
        </w:rPr>
        <w:lastRenderedPageBreak/>
        <w:t>SUPPLEMENTARY MATERIALS</w:t>
      </w:r>
      <w:r w:rsidR="00C27726" w:rsidRPr="00965D6A">
        <w:rPr>
          <w:b/>
          <w:bCs/>
        </w:rPr>
        <w:t xml:space="preserve"> SECTION V</w:t>
      </w:r>
      <w:r w:rsidRPr="00965D6A">
        <w:rPr>
          <w:b/>
          <w:bCs/>
        </w:rPr>
        <w:t>: ROBUSTNESS TESTING</w:t>
      </w:r>
    </w:p>
    <w:p w14:paraId="17310B54" w14:textId="2A08DFD8" w:rsidR="00CA7422" w:rsidRPr="00965D6A" w:rsidRDefault="00DF71EA" w:rsidP="00DF71EA">
      <w:pPr>
        <w:spacing w:line="480" w:lineRule="auto"/>
        <w:jc w:val="center"/>
        <w:rPr>
          <w:b/>
          <w:bCs/>
        </w:rPr>
      </w:pPr>
      <w:r w:rsidRPr="00965D6A">
        <w:rPr>
          <w:b/>
          <w:bCs/>
        </w:rPr>
        <w:t xml:space="preserve">Robustness test employing an alternate dependent variable </w:t>
      </w:r>
    </w:p>
    <w:p w14:paraId="1E23ADF1" w14:textId="2EC98542" w:rsidR="00027CD8" w:rsidRPr="00965D6A" w:rsidRDefault="00027CD8" w:rsidP="00027CD8">
      <w:pPr>
        <w:spacing w:line="480" w:lineRule="auto"/>
        <w:jc w:val="both"/>
      </w:pPr>
      <w:r w:rsidRPr="00965D6A">
        <w:tab/>
        <w:t xml:space="preserve">In the </w:t>
      </w:r>
      <w:r w:rsidR="00DF71EA" w:rsidRPr="00965D6A">
        <w:t>first</w:t>
      </w:r>
      <w:r w:rsidRPr="00965D6A">
        <w:t xml:space="preserve"> robustness test, we utilize an alternate dependent variable. Instead of focusing on the proportion of shopping trips that are conducted </w:t>
      </w:r>
      <w:proofErr w:type="gramStart"/>
      <w:r w:rsidRPr="00965D6A">
        <w:t>in</w:t>
      </w:r>
      <w:proofErr w:type="gramEnd"/>
      <w:r w:rsidRPr="00965D6A">
        <w:t xml:space="preserve"> the online channel as the dependent variable, we focus on the proportion of dollars spent </w:t>
      </w:r>
      <w:proofErr w:type="gramStart"/>
      <w:r w:rsidRPr="00965D6A">
        <w:t>in</w:t>
      </w:r>
      <w:proofErr w:type="gramEnd"/>
      <w:r w:rsidRPr="00965D6A">
        <w:t xml:space="preserve"> the online channel. Like the primary analysis, we pool all dollars spent within a commuting zone in a year and calculate the proportion of spend in the online channel as follows: </w:t>
      </w:r>
    </w:p>
    <w:p w14:paraId="59D4BAE2" w14:textId="77777777" w:rsidR="00027CD8" w:rsidRPr="00965D6A" w:rsidRDefault="00034C1F" w:rsidP="00027CD8">
      <w:pPr>
        <w:spacing w:line="480" w:lineRule="auto"/>
        <w:jc w:val="both"/>
      </w:pPr>
      <m:oMathPara>
        <m:oMathParaPr>
          <m:jc m:val="right"/>
        </m:oMathParaPr>
        <m:oMath>
          <m:sSub>
            <m:sSubPr>
              <m:ctrlPr>
                <w:rPr>
                  <w:rFonts w:ascii="Cambria Math" w:hAnsi="Cambria Math"/>
                  <w:i/>
                </w:rPr>
              </m:ctrlPr>
            </m:sSubPr>
            <m:e>
              <m:r>
                <w:rPr>
                  <w:rFonts w:ascii="Cambria Math" w:hAnsi="Cambria Math"/>
                </w:rPr>
                <m:t>ShareSpendOnline</m:t>
              </m:r>
            </m:e>
            <m:sub>
              <m:r>
                <w:rPr>
                  <w:rFonts w:ascii="Cambria Math" w:hAnsi="Cambria Math"/>
                </w:rPr>
                <m:t>it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Dollars Spent Online</m:t>
                  </m:r>
                </m:e>
                <m:sub>
                  <m:r>
                    <w:rPr>
                      <w:rFonts w:ascii="Cambria Math" w:hAnsi="Cambria Math"/>
                    </w:rPr>
                    <m:t>it</m:t>
                  </m:r>
                </m:sub>
              </m:sSub>
            </m:num>
            <m:den>
              <m:sSub>
                <m:sSubPr>
                  <m:ctrlPr>
                    <w:rPr>
                      <w:rFonts w:ascii="Cambria Math" w:hAnsi="Cambria Math"/>
                      <w:i/>
                    </w:rPr>
                  </m:ctrlPr>
                </m:sSubPr>
                <m:e>
                  <m:r>
                    <w:rPr>
                      <w:rFonts w:ascii="Cambria Math" w:hAnsi="Cambria Math"/>
                    </w:rPr>
                    <m:t>Total Dollars Spent</m:t>
                  </m:r>
                </m:e>
                <m:sub>
                  <m:r>
                    <w:rPr>
                      <w:rFonts w:ascii="Cambria Math" w:hAnsi="Cambria Math"/>
                    </w:rPr>
                    <m:t>it</m:t>
                  </m:r>
                </m:sub>
              </m:sSub>
            </m:den>
          </m:f>
          <m:r>
            <w:rPr>
              <w:rFonts w:ascii="Cambria Math" w:hAnsi="Cambria Math"/>
            </w:rPr>
            <m:t xml:space="preserve">                                 </m:t>
          </m:r>
          <m:d>
            <m:dPr>
              <m:ctrlPr>
                <w:rPr>
                  <w:rFonts w:ascii="Cambria Math" w:hAnsi="Cambria Math"/>
                  <w:i/>
                </w:rPr>
              </m:ctrlPr>
            </m:dPr>
            <m:e>
              <m:r>
                <w:rPr>
                  <w:rFonts w:ascii="Cambria Math" w:hAnsi="Cambria Math"/>
                </w:rPr>
                <m:t>15</m:t>
              </m:r>
            </m:e>
          </m:d>
        </m:oMath>
      </m:oMathPara>
    </w:p>
    <w:p w14:paraId="5112631E" w14:textId="77777777" w:rsidR="00027CD8" w:rsidRPr="00965D6A" w:rsidRDefault="00027CD8" w:rsidP="00027CD8">
      <w:pPr>
        <w:spacing w:line="480" w:lineRule="auto"/>
        <w:jc w:val="both"/>
      </w:pPr>
      <w:r w:rsidRPr="00965D6A">
        <w:t xml:space="preserve">After calculating the </w:t>
      </w:r>
      <w:proofErr w:type="gramStart"/>
      <w:r w:rsidRPr="00965D6A">
        <w:t>percent</w:t>
      </w:r>
      <w:proofErr w:type="gramEnd"/>
      <w:r w:rsidRPr="00965D6A">
        <w:t xml:space="preserve"> of spend online, we add 0.005 to each proportion then employ a logit transformation following Smithson and Verkuilen (2006) as follows:</w:t>
      </w:r>
    </w:p>
    <w:p w14:paraId="497148C5" w14:textId="77777777" w:rsidR="00027CD8" w:rsidRPr="00965D6A" w:rsidRDefault="00034C1F" w:rsidP="00027CD8">
      <w:pPr>
        <w:spacing w:line="480" w:lineRule="auto"/>
        <w:jc w:val="both"/>
        <w:rPr>
          <w:rFonts w:eastAsiaTheme="minorEastAsia"/>
        </w:rPr>
      </w:pPr>
      <m:oMathPara>
        <m:oMathParaPr>
          <m:jc m:val="right"/>
        </m:oMathParaPr>
        <m:oMath>
          <m:sSub>
            <m:sSubPr>
              <m:ctrlPr>
                <w:rPr>
                  <w:rFonts w:ascii="Cambria Math" w:hAnsi="Cambria Math"/>
                  <w:i/>
                </w:rPr>
              </m:ctrlPr>
            </m:sSubPr>
            <m:e>
              <m:r>
                <w:rPr>
                  <w:rFonts w:ascii="Cambria Math" w:hAnsi="Cambria Math"/>
                </w:rPr>
                <m:t>LogitShareSpendOnline</m:t>
              </m:r>
            </m:e>
            <m:sub>
              <m:r>
                <w:rPr>
                  <w:rFonts w:ascii="Cambria Math" w:hAnsi="Cambria Math"/>
                </w:rPr>
                <m:t>it</m:t>
              </m:r>
            </m:sub>
          </m:sSub>
          <m:r>
            <w:rPr>
              <w:rFonts w:ascii="Cambria Math" w:hAnsi="Cambria Math"/>
            </w:rPr>
            <m:t>=Ln</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ShareSpendOnline</m:t>
                      </m:r>
                    </m:e>
                    <m:sub>
                      <m:r>
                        <w:rPr>
                          <w:rFonts w:ascii="Cambria Math" w:hAnsi="Cambria Math"/>
                        </w:rPr>
                        <m:t>it</m:t>
                      </m:r>
                    </m:sub>
                  </m:sSub>
                </m:num>
                <m:den>
                  <m:r>
                    <w:rPr>
                      <w:rFonts w:ascii="Cambria Math" w:hAnsi="Cambria Math"/>
                    </w:rPr>
                    <m:t>1-</m:t>
                  </m:r>
                  <m:sSub>
                    <m:sSubPr>
                      <m:ctrlPr>
                        <w:rPr>
                          <w:rFonts w:ascii="Cambria Math" w:hAnsi="Cambria Math"/>
                          <w:i/>
                        </w:rPr>
                      </m:ctrlPr>
                    </m:sSubPr>
                    <m:e>
                      <m:r>
                        <w:rPr>
                          <w:rFonts w:ascii="Cambria Math" w:hAnsi="Cambria Math"/>
                        </w:rPr>
                        <m:t>ShareSpendOnline</m:t>
                      </m:r>
                    </m:e>
                    <m:sub>
                      <m:r>
                        <w:rPr>
                          <w:rFonts w:ascii="Cambria Math" w:hAnsi="Cambria Math"/>
                        </w:rPr>
                        <m:t>it</m:t>
                      </m:r>
                    </m:sub>
                  </m:sSub>
                </m:den>
              </m:f>
            </m:e>
          </m:d>
          <m:r>
            <w:rPr>
              <w:rFonts w:ascii="Cambria Math" w:hAnsi="Cambria Math"/>
            </w:rPr>
            <m:t xml:space="preserve">                      (16)</m:t>
          </m:r>
        </m:oMath>
      </m:oMathPara>
    </w:p>
    <w:p w14:paraId="1A01835D" w14:textId="549631E4" w:rsidR="00027CD8" w:rsidRPr="00567E07" w:rsidRDefault="00027CD8" w:rsidP="00027CD8">
      <w:pPr>
        <w:spacing w:line="480" w:lineRule="auto"/>
        <w:jc w:val="both"/>
        <w:rPr>
          <w:rFonts w:eastAsiaTheme="minorEastAsia"/>
          <w:iCs/>
          <w:highlight w:val="yellow"/>
        </w:rPr>
      </w:pPr>
      <w:r w:rsidRPr="00965D6A">
        <w:rPr>
          <w:rFonts w:eastAsiaTheme="minorEastAsia"/>
        </w:rPr>
        <w:tab/>
        <w:t xml:space="preserve">Results are reported in Table </w:t>
      </w:r>
      <w:r w:rsidR="00FA6E73" w:rsidRPr="00965D6A">
        <w:rPr>
          <w:rFonts w:eastAsiaTheme="minorEastAsia"/>
        </w:rPr>
        <w:t>D</w:t>
      </w:r>
      <w:r w:rsidRPr="00965D6A">
        <w:rPr>
          <w:rFonts w:eastAsiaTheme="minorEastAsia"/>
        </w:rPr>
        <w:t>. Conclusions align with that in the primary analysis. As it relates to H2, Model 3 reports a significant negative covariance between the random intercept</w:t>
      </w:r>
      <w:r w:rsidRPr="00965D6A">
        <w:rPr>
          <w:rFonts w:eastAsiaTheme="minorEastAsia"/>
          <w:i/>
          <w:iCs/>
        </w:rPr>
        <w:t xml:space="preserve"> </w:t>
      </w:r>
      <w:r w:rsidRPr="00965D6A">
        <w:rPr>
          <w:rFonts w:eastAsiaTheme="minorEastAsia"/>
        </w:rPr>
        <w:t xml:space="preserve">and </w:t>
      </w:r>
      <w:r w:rsidR="00DB739D" w:rsidRPr="00965D6A">
        <w:rPr>
          <w:rFonts w:eastAsiaTheme="minorEastAsia"/>
          <w:i/>
          <w:iCs/>
        </w:rPr>
        <w:t>Jump20</w:t>
      </w:r>
      <w:r w:rsidR="0036642D" w:rsidRPr="00965D6A">
        <w:rPr>
          <w:rFonts w:eastAsiaTheme="minorEastAsia"/>
          <w:i/>
          <w:iCs/>
        </w:rPr>
        <w:t>to</w:t>
      </w:r>
      <w:r w:rsidR="00DB739D" w:rsidRPr="00965D6A">
        <w:rPr>
          <w:rFonts w:eastAsiaTheme="minorEastAsia"/>
          <w:i/>
          <w:iCs/>
        </w:rPr>
        <w:t>23</w:t>
      </w:r>
      <w:r w:rsidRPr="00965D6A">
        <w:t xml:space="preserve"> (</w:t>
      </w:r>
      <m:oMath>
        <m:sSub>
          <m:sSubPr>
            <m:ctrlPr>
              <w:rPr>
                <w:rFonts w:ascii="Cambria Math" w:hAnsi="Cambria Math"/>
                <w:i/>
              </w:rPr>
            </m:ctrlPr>
          </m:sSubPr>
          <m:e>
            <m:r>
              <w:rPr>
                <w:rFonts w:ascii="Cambria Math" w:hAnsi="Cambria Math"/>
              </w:rPr>
              <m:t>σ</m:t>
            </m:r>
          </m:e>
          <m:sub>
            <m:r>
              <w:rPr>
                <w:rFonts w:ascii="Cambria Math" w:hAnsi="Cambria Math"/>
              </w:rPr>
              <m:t>02</m:t>
            </m:r>
          </m:sub>
        </m:sSub>
      </m:oMath>
      <w:r w:rsidRPr="00965D6A">
        <w:rPr>
          <w:rFonts w:ascii="Cambria Math" w:eastAsiaTheme="minorEastAsia" w:hAnsi="Cambria Math"/>
          <w:iCs/>
        </w:rPr>
        <w:t xml:space="preserve"> = </w:t>
      </w:r>
      <w:r w:rsidR="0041305B" w:rsidRPr="00965D6A">
        <w:t>–0.113</w:t>
      </w:r>
      <w:r w:rsidR="00257F7D" w:rsidRPr="00965D6A">
        <w:t>, z-statistic</w:t>
      </w:r>
      <w:r w:rsidR="0041305B" w:rsidRPr="00965D6A">
        <w:t xml:space="preserve"> </w:t>
      </w:r>
      <w:r w:rsidR="00257F7D" w:rsidRPr="00965D6A">
        <w:t xml:space="preserve">= </w:t>
      </w:r>
      <w:r w:rsidR="0041305B" w:rsidRPr="00965D6A">
        <w:t>–6.68</w:t>
      </w:r>
      <w:r w:rsidR="00257F7D" w:rsidRPr="00965D6A">
        <w:t>, p &lt; 0.0</w:t>
      </w:r>
      <w:r w:rsidR="00790742" w:rsidRPr="00965D6A">
        <w:t>1</w:t>
      </w:r>
      <w:r w:rsidRPr="00965D6A">
        <w:t xml:space="preserve">), </w:t>
      </w:r>
      <w:r w:rsidRPr="00965D6A">
        <w:rPr>
          <w:rFonts w:eastAsiaTheme="minorEastAsia"/>
        </w:rPr>
        <w:t xml:space="preserve">indicating that </w:t>
      </w:r>
      <w:r w:rsidRPr="00965D6A">
        <w:rPr>
          <w:rFonts w:eastAsiaTheme="minorEastAsia"/>
          <w:i/>
          <w:iCs/>
        </w:rPr>
        <w:t>H2 is supported</w:t>
      </w:r>
      <w:r w:rsidRPr="00965D6A">
        <w:rPr>
          <w:rFonts w:eastAsiaTheme="minorEastAsia"/>
        </w:rPr>
        <w:t xml:space="preserve">. Next, Model 4 reports a </w:t>
      </w:r>
      <w:r w:rsidR="001C6122" w:rsidRPr="00965D6A">
        <w:rPr>
          <w:rFonts w:eastAsiaTheme="minorEastAsia"/>
        </w:rPr>
        <w:t xml:space="preserve">marginally </w:t>
      </w:r>
      <w:r w:rsidRPr="00965D6A">
        <w:rPr>
          <w:rFonts w:eastAsiaTheme="minorEastAsia"/>
        </w:rPr>
        <w:t>significant</w:t>
      </w:r>
      <w:r w:rsidR="001E5FF2" w:rsidRPr="00965D6A">
        <w:rPr>
          <w:rFonts w:eastAsiaTheme="minorEastAsia"/>
        </w:rPr>
        <w:t xml:space="preserve"> negative</w:t>
      </w:r>
      <w:r w:rsidRPr="00965D6A">
        <w:rPr>
          <w:rFonts w:eastAsiaTheme="minorEastAsia"/>
        </w:rPr>
        <w:t xml:space="preserve"> interaction between </w:t>
      </w:r>
      <w:r w:rsidRPr="00965D6A">
        <w:rPr>
          <w:rFonts w:eastAsiaTheme="minorEastAsia"/>
          <w:i/>
          <w:iCs/>
        </w:rPr>
        <w:t>Trend</w:t>
      </w:r>
      <w:r w:rsidR="00DB739D" w:rsidRPr="00965D6A">
        <w:rPr>
          <w:rFonts w:eastAsiaTheme="minorEastAsia"/>
          <w:i/>
          <w:iCs/>
        </w:rPr>
        <w:t>10</w:t>
      </w:r>
      <w:r w:rsidR="009F1EB0" w:rsidRPr="00965D6A">
        <w:rPr>
          <w:rFonts w:eastAsiaTheme="minorEastAsia"/>
          <w:i/>
          <w:iCs/>
        </w:rPr>
        <w:t>to</w:t>
      </w:r>
      <w:r w:rsidR="00DB739D" w:rsidRPr="00965D6A">
        <w:rPr>
          <w:rFonts w:eastAsiaTheme="minorEastAsia"/>
          <w:i/>
          <w:iCs/>
        </w:rPr>
        <w:t>19</w:t>
      </w:r>
      <w:r w:rsidRPr="00965D6A">
        <w:rPr>
          <w:rFonts w:eastAsiaTheme="minorEastAsia"/>
          <w:i/>
          <w:iCs/>
        </w:rPr>
        <w:t xml:space="preserve"> </w:t>
      </w:r>
      <w:r w:rsidRPr="00965D6A">
        <w:rPr>
          <w:rFonts w:eastAsiaTheme="minorEastAsia"/>
        </w:rPr>
        <w:t xml:space="preserve">and </w:t>
      </w:r>
      <m:oMath>
        <m:acc>
          <m:accPr>
            <m:chr m:val="̅"/>
            <m:ctrlPr>
              <w:rPr>
                <w:rFonts w:ascii="Cambria Math" w:hAnsi="Cambria Math"/>
                <w:i/>
              </w:rPr>
            </m:ctrlPr>
          </m:accPr>
          <m:e>
            <m:r>
              <w:rPr>
                <w:rFonts w:ascii="Cambria Math" w:hAnsi="Cambria Math"/>
              </w:rPr>
              <m:t>Rural</m:t>
            </m:r>
          </m:e>
        </m:acc>
      </m:oMath>
      <w:r w:rsidRPr="00965D6A">
        <w:t xml:space="preserve"> (</w:t>
      </w:r>
      <m:oMath>
        <m:sSub>
          <m:sSubPr>
            <m:ctrlPr>
              <w:rPr>
                <w:rFonts w:ascii="Cambria Math" w:hAnsi="Cambria Math"/>
                <w:i/>
                <w:iCs/>
              </w:rPr>
            </m:ctrlPr>
          </m:sSubPr>
          <m:e>
            <m:r>
              <w:rPr>
                <w:rFonts w:ascii="Cambria Math" w:hAnsi="Cambria Math"/>
              </w:rPr>
              <m:t>γ</m:t>
            </m:r>
          </m:e>
          <m:sub>
            <m:r>
              <w:rPr>
                <w:rFonts w:ascii="Cambria Math" w:hAnsi="Cambria Math"/>
              </w:rPr>
              <m:t>50</m:t>
            </m:r>
          </m:sub>
        </m:sSub>
      </m:oMath>
      <w:r w:rsidRPr="00965D6A">
        <w:rPr>
          <w:rFonts w:eastAsiaTheme="minorEastAsia"/>
          <w:iCs/>
        </w:rPr>
        <w:t xml:space="preserve"> = </w:t>
      </w:r>
      <w:r w:rsidR="001C6122" w:rsidRPr="00965D6A">
        <w:t xml:space="preserve">–0.004, </w:t>
      </w:r>
      <w:r w:rsidRPr="00965D6A">
        <w:t>z-statistic = –1.</w:t>
      </w:r>
      <w:r w:rsidR="001C6122" w:rsidRPr="00965D6A">
        <w:t>90</w:t>
      </w:r>
      <w:r w:rsidRPr="00965D6A">
        <w:t xml:space="preserve">, p </w:t>
      </w:r>
      <w:r w:rsidR="001C6122" w:rsidRPr="00965D6A">
        <w:t>&lt;</w:t>
      </w:r>
      <w:r w:rsidRPr="00965D6A">
        <w:t xml:space="preserve"> 0.10)</w:t>
      </w:r>
      <w:r w:rsidRPr="00965D6A">
        <w:rPr>
          <w:rFonts w:eastAsiaTheme="minorEastAsia"/>
        </w:rPr>
        <w:t xml:space="preserve">. </w:t>
      </w:r>
      <w:r w:rsidRPr="00965D6A">
        <w:rPr>
          <w:rFonts w:eastAsiaTheme="minorEastAsia"/>
          <w:iCs/>
        </w:rPr>
        <w:t xml:space="preserve">While only marginally significant, this, combined with the statistical significance in the primary analysis—in which the dependent variable aligned more closely </w:t>
      </w:r>
      <w:r w:rsidRPr="00567E07">
        <w:rPr>
          <w:rFonts w:eastAsiaTheme="minorEastAsia"/>
          <w:iCs/>
        </w:rPr>
        <w:t xml:space="preserve">to that commonly studied in the literature, frequency of online shopping (e.g., </w:t>
      </w:r>
      <w:r w:rsidRPr="00567E07">
        <w:t>Beckers</w:t>
      </w:r>
      <w:r w:rsidR="00374594" w:rsidRPr="00567E07">
        <w:t xml:space="preserve"> </w:t>
      </w:r>
      <w:r w:rsidR="00374594" w:rsidRPr="00567E07">
        <w:rPr>
          <w:i/>
          <w:iCs/>
        </w:rPr>
        <w:t>et al</w:t>
      </w:r>
      <w:r w:rsidR="00374594" w:rsidRPr="00567E07">
        <w:t xml:space="preserve">., </w:t>
      </w:r>
      <w:r w:rsidRPr="00567E07">
        <w:rPr>
          <w:rFonts w:eastAsiaTheme="minorEastAsia"/>
          <w:iCs/>
        </w:rPr>
        <w:t>2018), and arguably has greater implications for last</w:t>
      </w:r>
      <w:r w:rsidR="00BA13CF" w:rsidRPr="00567E07">
        <w:rPr>
          <w:rFonts w:eastAsiaTheme="minorEastAsia"/>
          <w:iCs/>
        </w:rPr>
        <w:t>-</w:t>
      </w:r>
      <w:r w:rsidRPr="00567E07">
        <w:rPr>
          <w:rFonts w:eastAsiaTheme="minorEastAsia"/>
          <w:iCs/>
        </w:rPr>
        <w:t xml:space="preserve">mile providers—offers </w:t>
      </w:r>
      <w:r w:rsidRPr="00567E07">
        <w:rPr>
          <w:rFonts w:eastAsiaTheme="minorEastAsia"/>
          <w:i/>
        </w:rPr>
        <w:t xml:space="preserve">support in favor of </w:t>
      </w:r>
      <w:r w:rsidR="001C6122" w:rsidRPr="00567E07">
        <w:rPr>
          <w:rFonts w:eastAsiaTheme="minorEastAsia"/>
          <w:i/>
        </w:rPr>
        <w:t>H1</w:t>
      </w:r>
      <w:r w:rsidR="001C6122" w:rsidRPr="00567E07">
        <w:rPr>
          <w:rFonts w:eastAsiaTheme="minorEastAsia"/>
          <w:iCs/>
        </w:rPr>
        <w:t xml:space="preserve">, indicating that from 2010-2019, urban zones were increasing their </w:t>
      </w:r>
      <w:r w:rsidR="00BA13CF" w:rsidRPr="00567E07">
        <w:t xml:space="preserve">demand for </w:t>
      </w:r>
      <w:r w:rsidR="00191D61" w:rsidRPr="00567E07">
        <w:t>LMFS</w:t>
      </w:r>
      <w:r w:rsidR="001C6122" w:rsidRPr="00567E07">
        <w:rPr>
          <w:rFonts w:eastAsiaTheme="minorEastAsia"/>
          <w:iCs/>
        </w:rPr>
        <w:t xml:space="preserve"> more quickly than rural zones. </w:t>
      </w:r>
      <w:r w:rsidR="001C6122" w:rsidRPr="00567E07">
        <w:rPr>
          <w:rFonts w:eastAsiaTheme="minorEastAsia"/>
        </w:rPr>
        <w:t>Lastly considering H3, there is a significant negative interaction between</w:t>
      </w:r>
      <w:r w:rsidR="001C6122" w:rsidRPr="00567E07">
        <w:rPr>
          <w:rFonts w:eastAsiaTheme="minorEastAsia"/>
          <w:i/>
          <w:iCs/>
        </w:rPr>
        <w:t xml:space="preserve"> </w:t>
      </w:r>
      <w:r w:rsidR="00DB739D" w:rsidRPr="00567E07">
        <w:rPr>
          <w:rFonts w:eastAsiaTheme="minorEastAsia"/>
          <w:i/>
          <w:iCs/>
        </w:rPr>
        <w:t>Jump20</w:t>
      </w:r>
      <w:r w:rsidR="009F1EB0" w:rsidRPr="00567E07">
        <w:rPr>
          <w:rFonts w:eastAsiaTheme="minorEastAsia"/>
          <w:i/>
          <w:iCs/>
        </w:rPr>
        <w:t>to</w:t>
      </w:r>
      <w:r w:rsidR="00DB739D" w:rsidRPr="00567E07">
        <w:rPr>
          <w:rFonts w:eastAsiaTheme="minorEastAsia"/>
          <w:i/>
          <w:iCs/>
        </w:rPr>
        <w:t>23</w:t>
      </w:r>
      <w:r w:rsidR="001C6122" w:rsidRPr="00567E07">
        <w:rPr>
          <w:rFonts w:eastAsiaTheme="minorEastAsia"/>
          <w:i/>
          <w:iCs/>
        </w:rPr>
        <w:t xml:space="preserve"> </w:t>
      </w:r>
      <w:r w:rsidR="001C6122" w:rsidRPr="00567E07">
        <w:rPr>
          <w:rFonts w:eastAsiaTheme="minorEastAsia"/>
        </w:rPr>
        <w:t xml:space="preserve">and </w:t>
      </w:r>
      <m:oMath>
        <m:acc>
          <m:accPr>
            <m:chr m:val="̅"/>
            <m:ctrlPr>
              <w:rPr>
                <w:rFonts w:ascii="Cambria Math" w:hAnsi="Cambria Math"/>
                <w:i/>
              </w:rPr>
            </m:ctrlPr>
          </m:accPr>
          <m:e>
            <m:r>
              <w:rPr>
                <w:rFonts w:ascii="Cambria Math" w:hAnsi="Cambria Math"/>
              </w:rPr>
              <m:t>Rural</m:t>
            </m:r>
          </m:e>
        </m:acc>
      </m:oMath>
      <w:r w:rsidR="001C6122" w:rsidRPr="00567E07">
        <w:rPr>
          <w:rFonts w:eastAsiaTheme="minorEastAsia"/>
        </w:rPr>
        <w:t xml:space="preserve"> in Model 4 (</w:t>
      </w:r>
      <m:oMath>
        <m:sSub>
          <m:sSubPr>
            <m:ctrlPr>
              <w:rPr>
                <w:rFonts w:ascii="Cambria Math" w:hAnsi="Cambria Math"/>
                <w:i/>
                <w:iCs/>
              </w:rPr>
            </m:ctrlPr>
          </m:sSubPr>
          <m:e>
            <m:r>
              <w:rPr>
                <w:rFonts w:ascii="Cambria Math" w:hAnsi="Cambria Math"/>
              </w:rPr>
              <m:t>γ</m:t>
            </m:r>
          </m:e>
          <m:sub>
            <m:r>
              <w:rPr>
                <w:rFonts w:ascii="Cambria Math" w:hAnsi="Cambria Math"/>
              </w:rPr>
              <m:t>60</m:t>
            </m:r>
          </m:sub>
        </m:sSub>
      </m:oMath>
      <w:r w:rsidR="001C6122" w:rsidRPr="00567E07">
        <w:rPr>
          <w:rFonts w:eastAsiaTheme="minorEastAsia"/>
          <w:iCs/>
        </w:rPr>
        <w:t xml:space="preserve"> = –0.028, z-statistic = –2.29, p &lt; 0.05)</w:t>
      </w:r>
      <w:r w:rsidRPr="00567E07">
        <w:rPr>
          <w:rFonts w:eastAsiaTheme="minorEastAsia"/>
          <w:iCs/>
        </w:rPr>
        <w:t xml:space="preserve"> </w:t>
      </w:r>
      <w:r w:rsidRPr="00567E07">
        <w:rPr>
          <w:rFonts w:eastAsiaTheme="minorEastAsia"/>
          <w:iCs/>
        </w:rPr>
        <w:lastRenderedPageBreak/>
        <w:t xml:space="preserve">indicating that urban zones experienced a larger </w:t>
      </w:r>
      <w:r w:rsidRPr="00567E07">
        <w:t xml:space="preserve">percentage increase in </w:t>
      </w:r>
      <w:r w:rsidR="00BA13CF" w:rsidRPr="00567E07">
        <w:t xml:space="preserve">demand for </w:t>
      </w:r>
      <w:r w:rsidR="00191D61" w:rsidRPr="00567E07">
        <w:t>LMFS</w:t>
      </w:r>
      <w:r w:rsidR="00BA13CF" w:rsidRPr="00567E07">
        <w:t xml:space="preserve"> </w:t>
      </w:r>
      <w:r w:rsidRPr="00567E07">
        <w:t>than rural zones following the onset of the COVID-19 pandemic.</w:t>
      </w:r>
    </w:p>
    <w:p w14:paraId="5160ADB5" w14:textId="77777777" w:rsidR="00FA6E73" w:rsidRPr="00965D6A" w:rsidRDefault="00FA6E73" w:rsidP="00FA6E73">
      <w:pPr>
        <w:jc w:val="both"/>
        <w:rPr>
          <w:b/>
          <w:bCs/>
        </w:rPr>
        <w:sectPr w:rsidR="00FA6E73" w:rsidRPr="00965D6A">
          <w:pgSz w:w="12240" w:h="15840"/>
          <w:pgMar w:top="1440" w:right="1440" w:bottom="1440" w:left="1440" w:header="720" w:footer="720" w:gutter="0"/>
          <w:cols w:space="720"/>
          <w:docGrid w:linePitch="360"/>
        </w:sectPr>
      </w:pPr>
    </w:p>
    <w:p w14:paraId="1D9CC5E8" w14:textId="0B964B0F" w:rsidR="00FA6E73" w:rsidRPr="00965D6A" w:rsidRDefault="00FA6E73" w:rsidP="00FA6E73">
      <w:pPr>
        <w:jc w:val="both"/>
      </w:pPr>
      <w:r w:rsidRPr="00965D6A">
        <w:rPr>
          <w:b/>
          <w:bCs/>
        </w:rPr>
        <w:lastRenderedPageBreak/>
        <w:t>Table D.</w:t>
      </w:r>
      <w:r w:rsidRPr="00965D6A">
        <w:t xml:space="preserve"> Robustness test results, logit transformed proportion of spend in online channel as the outcome </w:t>
      </w:r>
    </w:p>
    <w:tbl>
      <w:tblPr>
        <w:tblW w:w="12789" w:type="dxa"/>
        <w:tblCellMar>
          <w:left w:w="0" w:type="dxa"/>
          <w:right w:w="0" w:type="dxa"/>
        </w:tblCellMar>
        <w:tblLook w:val="04A0" w:firstRow="1" w:lastRow="0" w:firstColumn="1" w:lastColumn="0" w:noHBand="0" w:noVBand="1"/>
      </w:tblPr>
      <w:tblGrid>
        <w:gridCol w:w="2970"/>
        <w:gridCol w:w="1170"/>
        <w:gridCol w:w="2162"/>
        <w:gridCol w:w="2162"/>
        <w:gridCol w:w="2162"/>
        <w:gridCol w:w="2163"/>
      </w:tblGrid>
      <w:tr w:rsidR="00965D6A" w:rsidRPr="00965D6A" w14:paraId="2C2B3E32" w14:textId="77777777" w:rsidTr="00F47CC8">
        <w:trPr>
          <w:trHeight w:val="53"/>
        </w:trPr>
        <w:tc>
          <w:tcPr>
            <w:tcW w:w="2970" w:type="dxa"/>
            <w:tcBorders>
              <w:top w:val="single" w:sz="4" w:space="0" w:color="auto"/>
              <w:left w:val="nil"/>
              <w:bottom w:val="single" w:sz="8" w:space="0" w:color="525053"/>
              <w:right w:val="nil"/>
            </w:tcBorders>
            <w:tcMar>
              <w:top w:w="43" w:type="dxa"/>
              <w:left w:w="72" w:type="dxa"/>
              <w:bottom w:w="43" w:type="dxa"/>
              <w:right w:w="72" w:type="dxa"/>
            </w:tcMar>
            <w:hideMark/>
          </w:tcPr>
          <w:p w14:paraId="22612562" w14:textId="77777777" w:rsidR="00FA6E73" w:rsidRPr="00965D6A" w:rsidRDefault="00FA6E73" w:rsidP="00010333">
            <w:pPr>
              <w:rPr>
                <w:sz w:val="20"/>
                <w:szCs w:val="20"/>
              </w:rPr>
            </w:pPr>
          </w:p>
        </w:tc>
        <w:tc>
          <w:tcPr>
            <w:tcW w:w="1170" w:type="dxa"/>
            <w:tcBorders>
              <w:top w:val="single" w:sz="4" w:space="0" w:color="auto"/>
              <w:left w:val="nil"/>
              <w:bottom w:val="single" w:sz="8" w:space="0" w:color="525053"/>
              <w:right w:val="nil"/>
            </w:tcBorders>
            <w:tcMar>
              <w:top w:w="43" w:type="dxa"/>
              <w:left w:w="72" w:type="dxa"/>
              <w:bottom w:w="43" w:type="dxa"/>
              <w:right w:w="72" w:type="dxa"/>
            </w:tcMar>
            <w:vAlign w:val="center"/>
            <w:hideMark/>
          </w:tcPr>
          <w:p w14:paraId="03E3DAC0" w14:textId="77777777" w:rsidR="00FA6E73" w:rsidRPr="00965D6A" w:rsidRDefault="00FA6E73" w:rsidP="00010333">
            <w:pPr>
              <w:jc w:val="center"/>
              <w:rPr>
                <w:sz w:val="20"/>
                <w:szCs w:val="20"/>
              </w:rPr>
            </w:pPr>
            <w:r w:rsidRPr="00965D6A">
              <w:rPr>
                <w:b/>
                <w:bCs/>
                <w:sz w:val="20"/>
                <w:szCs w:val="20"/>
              </w:rPr>
              <w:t>Label</w:t>
            </w:r>
          </w:p>
        </w:tc>
        <w:tc>
          <w:tcPr>
            <w:tcW w:w="2162" w:type="dxa"/>
            <w:tcBorders>
              <w:top w:val="single" w:sz="4" w:space="0" w:color="auto"/>
              <w:left w:val="nil"/>
              <w:bottom w:val="single" w:sz="8" w:space="0" w:color="525053"/>
              <w:right w:val="nil"/>
            </w:tcBorders>
            <w:tcMar>
              <w:top w:w="43" w:type="dxa"/>
              <w:left w:w="72" w:type="dxa"/>
              <w:bottom w:w="43" w:type="dxa"/>
              <w:right w:w="72" w:type="dxa"/>
            </w:tcMar>
            <w:vAlign w:val="center"/>
            <w:hideMark/>
          </w:tcPr>
          <w:p w14:paraId="574BA96D" w14:textId="77777777" w:rsidR="00FA6E73" w:rsidRPr="00965D6A" w:rsidRDefault="00FA6E73" w:rsidP="00010333">
            <w:pPr>
              <w:jc w:val="center"/>
              <w:rPr>
                <w:sz w:val="20"/>
                <w:szCs w:val="20"/>
              </w:rPr>
            </w:pPr>
            <w:r w:rsidRPr="00965D6A">
              <w:rPr>
                <w:b/>
                <w:bCs/>
                <w:sz w:val="20"/>
                <w:szCs w:val="20"/>
              </w:rPr>
              <w:t>Model 1</w:t>
            </w:r>
          </w:p>
        </w:tc>
        <w:tc>
          <w:tcPr>
            <w:tcW w:w="2162" w:type="dxa"/>
            <w:tcBorders>
              <w:top w:val="single" w:sz="4" w:space="0" w:color="auto"/>
              <w:left w:val="nil"/>
              <w:bottom w:val="single" w:sz="8" w:space="0" w:color="525053"/>
              <w:right w:val="nil"/>
            </w:tcBorders>
            <w:tcMar>
              <w:top w:w="43" w:type="dxa"/>
              <w:left w:w="72" w:type="dxa"/>
              <w:bottom w:w="43" w:type="dxa"/>
              <w:right w:w="72" w:type="dxa"/>
            </w:tcMar>
            <w:vAlign w:val="center"/>
            <w:hideMark/>
          </w:tcPr>
          <w:p w14:paraId="0CAFA4D9" w14:textId="77777777" w:rsidR="00FA6E73" w:rsidRPr="00965D6A" w:rsidRDefault="00FA6E73" w:rsidP="00010333">
            <w:pPr>
              <w:jc w:val="center"/>
              <w:rPr>
                <w:sz w:val="20"/>
                <w:szCs w:val="20"/>
              </w:rPr>
            </w:pPr>
            <w:r w:rsidRPr="00965D6A">
              <w:rPr>
                <w:b/>
                <w:bCs/>
                <w:sz w:val="20"/>
                <w:szCs w:val="20"/>
              </w:rPr>
              <w:t>Model 2</w:t>
            </w:r>
          </w:p>
        </w:tc>
        <w:tc>
          <w:tcPr>
            <w:tcW w:w="2162" w:type="dxa"/>
            <w:tcBorders>
              <w:top w:val="single" w:sz="4" w:space="0" w:color="auto"/>
              <w:left w:val="nil"/>
              <w:bottom w:val="single" w:sz="8" w:space="0" w:color="525053"/>
              <w:right w:val="nil"/>
            </w:tcBorders>
            <w:tcMar>
              <w:top w:w="43" w:type="dxa"/>
              <w:left w:w="72" w:type="dxa"/>
              <w:bottom w:w="43" w:type="dxa"/>
              <w:right w:w="72" w:type="dxa"/>
            </w:tcMar>
            <w:vAlign w:val="center"/>
            <w:hideMark/>
          </w:tcPr>
          <w:p w14:paraId="4953E209" w14:textId="77777777" w:rsidR="00FA6E73" w:rsidRPr="00965D6A" w:rsidRDefault="00FA6E73" w:rsidP="00010333">
            <w:pPr>
              <w:jc w:val="center"/>
              <w:rPr>
                <w:sz w:val="20"/>
                <w:szCs w:val="20"/>
              </w:rPr>
            </w:pPr>
            <w:r w:rsidRPr="00965D6A">
              <w:rPr>
                <w:b/>
                <w:bCs/>
                <w:sz w:val="20"/>
                <w:szCs w:val="20"/>
              </w:rPr>
              <w:t>Model 3</w:t>
            </w:r>
          </w:p>
        </w:tc>
        <w:tc>
          <w:tcPr>
            <w:tcW w:w="2163" w:type="dxa"/>
            <w:tcBorders>
              <w:top w:val="single" w:sz="4" w:space="0" w:color="auto"/>
              <w:left w:val="nil"/>
              <w:bottom w:val="single" w:sz="8" w:space="0" w:color="525053"/>
              <w:right w:val="nil"/>
            </w:tcBorders>
            <w:vAlign w:val="center"/>
          </w:tcPr>
          <w:p w14:paraId="32135EDE" w14:textId="77777777" w:rsidR="00FA6E73" w:rsidRPr="00965D6A" w:rsidRDefault="00FA6E73" w:rsidP="00010333">
            <w:pPr>
              <w:jc w:val="center"/>
              <w:rPr>
                <w:b/>
                <w:bCs/>
                <w:sz w:val="20"/>
                <w:szCs w:val="20"/>
              </w:rPr>
            </w:pPr>
            <w:r w:rsidRPr="00965D6A">
              <w:rPr>
                <w:b/>
                <w:bCs/>
                <w:sz w:val="20"/>
                <w:szCs w:val="20"/>
              </w:rPr>
              <w:t>Model 4</w:t>
            </w:r>
          </w:p>
        </w:tc>
      </w:tr>
      <w:tr w:rsidR="00965D6A" w:rsidRPr="00965D6A" w14:paraId="760060DC" w14:textId="77777777" w:rsidTr="00F47CC8">
        <w:trPr>
          <w:trHeight w:val="21"/>
        </w:trPr>
        <w:tc>
          <w:tcPr>
            <w:tcW w:w="2970" w:type="dxa"/>
            <w:tcBorders>
              <w:top w:val="single" w:sz="8" w:space="0" w:color="525053"/>
              <w:left w:val="nil"/>
              <w:right w:val="nil"/>
            </w:tcBorders>
            <w:tcMar>
              <w:top w:w="43" w:type="dxa"/>
              <w:left w:w="72" w:type="dxa"/>
              <w:bottom w:w="43" w:type="dxa"/>
              <w:right w:w="72" w:type="dxa"/>
            </w:tcMar>
          </w:tcPr>
          <w:p w14:paraId="11FDCBF3" w14:textId="77777777" w:rsidR="00FA6E73" w:rsidRPr="00965D6A" w:rsidRDefault="00FA6E73" w:rsidP="00010333">
            <w:pPr>
              <w:rPr>
                <w:i/>
                <w:iCs/>
                <w:sz w:val="20"/>
                <w:szCs w:val="20"/>
              </w:rPr>
            </w:pPr>
            <w:r w:rsidRPr="00965D6A">
              <w:rPr>
                <w:i/>
                <w:iCs/>
                <w:sz w:val="20"/>
                <w:szCs w:val="20"/>
              </w:rPr>
              <w:t>Fixed effects</w:t>
            </w:r>
          </w:p>
        </w:tc>
        <w:tc>
          <w:tcPr>
            <w:tcW w:w="1170" w:type="dxa"/>
            <w:tcBorders>
              <w:top w:val="single" w:sz="8" w:space="0" w:color="525053"/>
              <w:left w:val="nil"/>
              <w:right w:val="nil"/>
            </w:tcBorders>
            <w:tcMar>
              <w:top w:w="43" w:type="dxa"/>
              <w:left w:w="72" w:type="dxa"/>
              <w:bottom w:w="43" w:type="dxa"/>
              <w:right w:w="72" w:type="dxa"/>
            </w:tcMar>
          </w:tcPr>
          <w:p w14:paraId="5085DD34" w14:textId="77777777" w:rsidR="00FA6E73" w:rsidRPr="00965D6A" w:rsidRDefault="00FA6E73" w:rsidP="00010333">
            <w:pPr>
              <w:rPr>
                <w:sz w:val="20"/>
                <w:szCs w:val="20"/>
              </w:rPr>
            </w:pPr>
          </w:p>
        </w:tc>
        <w:tc>
          <w:tcPr>
            <w:tcW w:w="2162" w:type="dxa"/>
            <w:tcBorders>
              <w:top w:val="single" w:sz="8" w:space="0" w:color="525053"/>
              <w:left w:val="nil"/>
              <w:right w:val="nil"/>
            </w:tcBorders>
            <w:tcMar>
              <w:top w:w="43" w:type="dxa"/>
              <w:left w:w="72" w:type="dxa"/>
              <w:bottom w:w="43" w:type="dxa"/>
              <w:right w:w="72" w:type="dxa"/>
            </w:tcMar>
          </w:tcPr>
          <w:p w14:paraId="3A83E903" w14:textId="77777777" w:rsidR="00FA6E73" w:rsidRPr="00965D6A" w:rsidRDefault="00FA6E73" w:rsidP="00010333">
            <w:pPr>
              <w:tabs>
                <w:tab w:val="decimal" w:pos="432"/>
              </w:tabs>
              <w:rPr>
                <w:sz w:val="20"/>
                <w:szCs w:val="20"/>
              </w:rPr>
            </w:pPr>
          </w:p>
        </w:tc>
        <w:tc>
          <w:tcPr>
            <w:tcW w:w="2162" w:type="dxa"/>
            <w:tcBorders>
              <w:top w:val="single" w:sz="8" w:space="0" w:color="525053"/>
              <w:left w:val="nil"/>
              <w:right w:val="nil"/>
            </w:tcBorders>
            <w:tcMar>
              <w:top w:w="43" w:type="dxa"/>
              <w:left w:w="72" w:type="dxa"/>
              <w:bottom w:w="43" w:type="dxa"/>
              <w:right w:w="72" w:type="dxa"/>
            </w:tcMar>
          </w:tcPr>
          <w:p w14:paraId="718ED8C0" w14:textId="77777777" w:rsidR="00FA6E73" w:rsidRPr="00965D6A" w:rsidRDefault="00FA6E73" w:rsidP="00010333">
            <w:pPr>
              <w:tabs>
                <w:tab w:val="decimal" w:pos="432"/>
              </w:tabs>
              <w:rPr>
                <w:sz w:val="20"/>
                <w:szCs w:val="20"/>
              </w:rPr>
            </w:pPr>
          </w:p>
        </w:tc>
        <w:tc>
          <w:tcPr>
            <w:tcW w:w="2162" w:type="dxa"/>
            <w:tcBorders>
              <w:top w:val="single" w:sz="8" w:space="0" w:color="525053"/>
              <w:left w:val="nil"/>
              <w:right w:val="nil"/>
            </w:tcBorders>
            <w:tcMar>
              <w:top w:w="43" w:type="dxa"/>
              <w:left w:w="72" w:type="dxa"/>
              <w:bottom w:w="43" w:type="dxa"/>
              <w:right w:w="72" w:type="dxa"/>
            </w:tcMar>
          </w:tcPr>
          <w:p w14:paraId="101E3497" w14:textId="77777777" w:rsidR="00FA6E73" w:rsidRPr="00965D6A" w:rsidRDefault="00FA6E73" w:rsidP="00010333">
            <w:pPr>
              <w:tabs>
                <w:tab w:val="decimal" w:pos="432"/>
              </w:tabs>
              <w:rPr>
                <w:sz w:val="20"/>
                <w:szCs w:val="20"/>
              </w:rPr>
            </w:pPr>
          </w:p>
        </w:tc>
        <w:tc>
          <w:tcPr>
            <w:tcW w:w="2163" w:type="dxa"/>
            <w:tcBorders>
              <w:top w:val="single" w:sz="8" w:space="0" w:color="525053"/>
              <w:left w:val="nil"/>
              <w:right w:val="nil"/>
            </w:tcBorders>
          </w:tcPr>
          <w:p w14:paraId="71D43BA0" w14:textId="77777777" w:rsidR="00FA6E73" w:rsidRPr="00965D6A" w:rsidRDefault="00FA6E73" w:rsidP="00010333">
            <w:pPr>
              <w:tabs>
                <w:tab w:val="decimal" w:pos="432"/>
              </w:tabs>
              <w:rPr>
                <w:sz w:val="20"/>
                <w:szCs w:val="20"/>
              </w:rPr>
            </w:pPr>
          </w:p>
        </w:tc>
      </w:tr>
      <w:tr w:rsidR="00965D6A" w:rsidRPr="00965D6A" w14:paraId="631E2C46" w14:textId="77777777" w:rsidTr="00F47CC8">
        <w:trPr>
          <w:trHeight w:val="21"/>
        </w:trPr>
        <w:tc>
          <w:tcPr>
            <w:tcW w:w="2970" w:type="dxa"/>
            <w:tcBorders>
              <w:left w:val="nil"/>
              <w:bottom w:val="nil"/>
              <w:right w:val="nil"/>
            </w:tcBorders>
            <w:tcMar>
              <w:top w:w="43" w:type="dxa"/>
              <w:left w:w="72" w:type="dxa"/>
              <w:bottom w:w="43" w:type="dxa"/>
              <w:right w:w="72" w:type="dxa"/>
            </w:tcMar>
            <w:hideMark/>
          </w:tcPr>
          <w:p w14:paraId="0790BBF4" w14:textId="77777777" w:rsidR="00FA6E73" w:rsidRPr="00965D6A" w:rsidRDefault="00FA6E73" w:rsidP="00010333">
            <w:pPr>
              <w:rPr>
                <w:sz w:val="20"/>
                <w:szCs w:val="20"/>
              </w:rPr>
            </w:pPr>
            <w:r w:rsidRPr="00965D6A">
              <w:rPr>
                <w:sz w:val="20"/>
                <w:szCs w:val="20"/>
              </w:rPr>
              <w:t xml:space="preserve">     Intercept</w:t>
            </w:r>
          </w:p>
        </w:tc>
        <w:tc>
          <w:tcPr>
            <w:tcW w:w="1170" w:type="dxa"/>
            <w:tcBorders>
              <w:left w:val="nil"/>
              <w:bottom w:val="nil"/>
              <w:right w:val="nil"/>
            </w:tcBorders>
            <w:tcMar>
              <w:top w:w="43" w:type="dxa"/>
              <w:left w:w="72" w:type="dxa"/>
              <w:bottom w:w="43" w:type="dxa"/>
              <w:right w:w="72" w:type="dxa"/>
            </w:tcMar>
            <w:hideMark/>
          </w:tcPr>
          <w:p w14:paraId="568745FF" w14:textId="77777777" w:rsidR="00FA6E73" w:rsidRPr="00965D6A" w:rsidRDefault="00034C1F" w:rsidP="00010333">
            <w:pPr>
              <w:rPr>
                <w:sz w:val="20"/>
                <w:szCs w:val="20"/>
              </w:rPr>
            </w:pPr>
            <m:oMathPara>
              <m:oMath>
                <m:sSub>
                  <m:sSubPr>
                    <m:ctrlPr>
                      <w:rPr>
                        <w:rFonts w:ascii="Cambria Math" w:hAnsi="Cambria Math"/>
                        <w:i/>
                        <w:iCs/>
                        <w:sz w:val="20"/>
                        <w:szCs w:val="20"/>
                      </w:rPr>
                    </m:ctrlPr>
                  </m:sSubPr>
                  <m:e>
                    <m:r>
                      <w:rPr>
                        <w:rFonts w:ascii="Cambria Math" w:hAnsi="Cambria Math"/>
                        <w:sz w:val="20"/>
                        <w:szCs w:val="20"/>
                      </w:rPr>
                      <m:t>γ</m:t>
                    </m:r>
                  </m:e>
                  <m:sub>
                    <m:r>
                      <w:rPr>
                        <w:rFonts w:ascii="Cambria Math" w:hAnsi="Cambria Math"/>
                        <w:sz w:val="20"/>
                        <w:szCs w:val="20"/>
                      </w:rPr>
                      <m:t>00</m:t>
                    </m:r>
                  </m:sub>
                </m:sSub>
              </m:oMath>
            </m:oMathPara>
          </w:p>
        </w:tc>
        <w:tc>
          <w:tcPr>
            <w:tcW w:w="2162" w:type="dxa"/>
            <w:tcBorders>
              <w:left w:val="nil"/>
              <w:bottom w:val="nil"/>
              <w:right w:val="nil"/>
            </w:tcBorders>
            <w:tcMar>
              <w:top w:w="43" w:type="dxa"/>
              <w:left w:w="72" w:type="dxa"/>
              <w:bottom w:w="43" w:type="dxa"/>
              <w:right w:w="72" w:type="dxa"/>
            </w:tcMar>
          </w:tcPr>
          <w:p w14:paraId="1E9536FC" w14:textId="7C660A0C" w:rsidR="00FA6E73" w:rsidRPr="00965D6A" w:rsidRDefault="00FA6E73" w:rsidP="00010333">
            <w:pPr>
              <w:tabs>
                <w:tab w:val="decimal" w:pos="432"/>
              </w:tabs>
              <w:rPr>
                <w:sz w:val="20"/>
                <w:szCs w:val="20"/>
              </w:rPr>
            </w:pPr>
            <w:r w:rsidRPr="00965D6A">
              <w:rPr>
                <w:sz w:val="20"/>
                <w:szCs w:val="20"/>
              </w:rPr>
              <w:t>–3.</w:t>
            </w:r>
            <w:r w:rsidR="00A03390" w:rsidRPr="00965D6A">
              <w:rPr>
                <w:sz w:val="20"/>
                <w:szCs w:val="20"/>
              </w:rPr>
              <w:t>373</w:t>
            </w:r>
            <w:r w:rsidRPr="00965D6A">
              <w:rPr>
                <w:sz w:val="20"/>
                <w:szCs w:val="20"/>
              </w:rPr>
              <w:t>*** (–1</w:t>
            </w:r>
            <w:r w:rsidR="00A03390" w:rsidRPr="00965D6A">
              <w:rPr>
                <w:sz w:val="20"/>
                <w:szCs w:val="20"/>
              </w:rPr>
              <w:t>89.03</w:t>
            </w:r>
            <w:r w:rsidRPr="00965D6A">
              <w:rPr>
                <w:sz w:val="20"/>
                <w:szCs w:val="20"/>
              </w:rPr>
              <w:t>)</w:t>
            </w:r>
          </w:p>
        </w:tc>
        <w:tc>
          <w:tcPr>
            <w:tcW w:w="2162" w:type="dxa"/>
            <w:tcBorders>
              <w:left w:val="nil"/>
              <w:bottom w:val="nil"/>
              <w:right w:val="nil"/>
            </w:tcBorders>
            <w:tcMar>
              <w:top w:w="43" w:type="dxa"/>
              <w:left w:w="72" w:type="dxa"/>
              <w:bottom w:w="43" w:type="dxa"/>
              <w:right w:w="72" w:type="dxa"/>
            </w:tcMar>
          </w:tcPr>
          <w:p w14:paraId="5D6B11E0" w14:textId="16A9BA53" w:rsidR="00FA6E73" w:rsidRPr="00965D6A" w:rsidRDefault="00FA6E73" w:rsidP="00010333">
            <w:pPr>
              <w:tabs>
                <w:tab w:val="decimal" w:pos="432"/>
              </w:tabs>
              <w:rPr>
                <w:sz w:val="20"/>
                <w:szCs w:val="20"/>
              </w:rPr>
            </w:pPr>
            <w:r w:rsidRPr="00965D6A">
              <w:rPr>
                <w:sz w:val="20"/>
                <w:szCs w:val="20"/>
              </w:rPr>
              <w:t>–3.35</w:t>
            </w:r>
            <w:r w:rsidR="005808E1" w:rsidRPr="00965D6A">
              <w:rPr>
                <w:sz w:val="20"/>
                <w:szCs w:val="20"/>
              </w:rPr>
              <w:t>6</w:t>
            </w:r>
            <w:r w:rsidRPr="00965D6A">
              <w:rPr>
                <w:sz w:val="20"/>
                <w:szCs w:val="20"/>
              </w:rPr>
              <w:t>*** (–1</w:t>
            </w:r>
            <w:r w:rsidR="005808E1" w:rsidRPr="00965D6A">
              <w:rPr>
                <w:sz w:val="20"/>
                <w:szCs w:val="20"/>
              </w:rPr>
              <w:t>31.60</w:t>
            </w:r>
            <w:r w:rsidRPr="00965D6A">
              <w:rPr>
                <w:sz w:val="20"/>
                <w:szCs w:val="20"/>
              </w:rPr>
              <w:t>)</w:t>
            </w:r>
          </w:p>
        </w:tc>
        <w:tc>
          <w:tcPr>
            <w:tcW w:w="2162" w:type="dxa"/>
            <w:tcBorders>
              <w:left w:val="nil"/>
              <w:bottom w:val="nil"/>
              <w:right w:val="nil"/>
            </w:tcBorders>
            <w:tcMar>
              <w:top w:w="43" w:type="dxa"/>
              <w:left w:w="72" w:type="dxa"/>
              <w:bottom w:w="43" w:type="dxa"/>
              <w:right w:w="72" w:type="dxa"/>
            </w:tcMar>
          </w:tcPr>
          <w:p w14:paraId="6F999E48" w14:textId="0FD3DEBB" w:rsidR="00FA6E73" w:rsidRPr="00965D6A" w:rsidRDefault="00FA6E73" w:rsidP="00010333">
            <w:pPr>
              <w:tabs>
                <w:tab w:val="decimal" w:pos="432"/>
              </w:tabs>
              <w:rPr>
                <w:sz w:val="20"/>
                <w:szCs w:val="20"/>
              </w:rPr>
            </w:pPr>
            <w:r w:rsidRPr="00965D6A">
              <w:rPr>
                <w:sz w:val="20"/>
                <w:szCs w:val="20"/>
              </w:rPr>
              <w:t>–3.36</w:t>
            </w:r>
            <w:r w:rsidR="00F034D4" w:rsidRPr="00965D6A">
              <w:rPr>
                <w:sz w:val="20"/>
                <w:szCs w:val="20"/>
              </w:rPr>
              <w:t>7</w:t>
            </w:r>
            <w:r w:rsidRPr="00965D6A">
              <w:rPr>
                <w:sz w:val="20"/>
                <w:szCs w:val="20"/>
              </w:rPr>
              <w:t>*** (–</w:t>
            </w:r>
            <w:r w:rsidR="00F034D4" w:rsidRPr="00965D6A">
              <w:rPr>
                <w:sz w:val="20"/>
                <w:szCs w:val="20"/>
              </w:rPr>
              <w:t>131.32</w:t>
            </w:r>
            <w:r w:rsidRPr="00965D6A">
              <w:rPr>
                <w:sz w:val="20"/>
                <w:szCs w:val="20"/>
              </w:rPr>
              <w:t>)</w:t>
            </w:r>
          </w:p>
        </w:tc>
        <w:tc>
          <w:tcPr>
            <w:tcW w:w="2163" w:type="dxa"/>
            <w:tcBorders>
              <w:left w:val="nil"/>
              <w:bottom w:val="nil"/>
              <w:right w:val="nil"/>
            </w:tcBorders>
          </w:tcPr>
          <w:p w14:paraId="735A1D2D" w14:textId="7EB40FC7" w:rsidR="00FA6E73" w:rsidRPr="00965D6A" w:rsidRDefault="00FA6E73" w:rsidP="00010333">
            <w:pPr>
              <w:tabs>
                <w:tab w:val="decimal" w:pos="432"/>
              </w:tabs>
              <w:rPr>
                <w:sz w:val="20"/>
                <w:szCs w:val="20"/>
              </w:rPr>
            </w:pPr>
            <w:r w:rsidRPr="00965D6A">
              <w:rPr>
                <w:sz w:val="20"/>
                <w:szCs w:val="20"/>
              </w:rPr>
              <w:t>–3.36</w:t>
            </w:r>
            <w:r w:rsidR="0069788E" w:rsidRPr="00965D6A">
              <w:rPr>
                <w:sz w:val="20"/>
                <w:szCs w:val="20"/>
              </w:rPr>
              <w:t>4</w:t>
            </w:r>
            <w:r w:rsidRPr="00965D6A">
              <w:rPr>
                <w:sz w:val="20"/>
                <w:szCs w:val="20"/>
              </w:rPr>
              <w:t>*** (–</w:t>
            </w:r>
            <w:r w:rsidR="0069788E" w:rsidRPr="00965D6A">
              <w:rPr>
                <w:sz w:val="20"/>
                <w:szCs w:val="20"/>
              </w:rPr>
              <w:t>129.10</w:t>
            </w:r>
            <w:r w:rsidRPr="00965D6A">
              <w:rPr>
                <w:sz w:val="20"/>
                <w:szCs w:val="20"/>
              </w:rPr>
              <w:t>)</w:t>
            </w:r>
          </w:p>
        </w:tc>
      </w:tr>
      <w:tr w:rsidR="00965D6A" w:rsidRPr="00965D6A" w14:paraId="6FCB6F1D" w14:textId="77777777" w:rsidTr="00F47CC8">
        <w:trPr>
          <w:trHeight w:val="197"/>
        </w:trPr>
        <w:tc>
          <w:tcPr>
            <w:tcW w:w="2970" w:type="dxa"/>
            <w:tcBorders>
              <w:top w:val="nil"/>
              <w:left w:val="nil"/>
              <w:bottom w:val="nil"/>
              <w:right w:val="nil"/>
            </w:tcBorders>
            <w:tcMar>
              <w:top w:w="43" w:type="dxa"/>
              <w:left w:w="72" w:type="dxa"/>
              <w:bottom w:w="43" w:type="dxa"/>
              <w:right w:w="72" w:type="dxa"/>
            </w:tcMar>
            <w:hideMark/>
          </w:tcPr>
          <w:p w14:paraId="17956D0C" w14:textId="6A59A04E" w:rsidR="00FA6E73" w:rsidRPr="00965D6A" w:rsidRDefault="00FA6E73" w:rsidP="00010333">
            <w:pPr>
              <w:rPr>
                <w:sz w:val="20"/>
                <w:szCs w:val="20"/>
              </w:rPr>
            </w:pPr>
            <w:r w:rsidRPr="00965D6A">
              <w:rPr>
                <w:sz w:val="20"/>
                <w:szCs w:val="20"/>
              </w:rPr>
              <w:t xml:space="preserve">     Trend</w:t>
            </w:r>
            <w:r w:rsidR="00DB739D" w:rsidRPr="00965D6A">
              <w:rPr>
                <w:sz w:val="20"/>
                <w:szCs w:val="20"/>
              </w:rPr>
              <w:t>10</w:t>
            </w:r>
            <w:r w:rsidR="009F1EB0" w:rsidRPr="00965D6A">
              <w:rPr>
                <w:sz w:val="20"/>
                <w:szCs w:val="20"/>
              </w:rPr>
              <w:t>to</w:t>
            </w:r>
            <w:r w:rsidR="00DB739D" w:rsidRPr="00965D6A">
              <w:rPr>
                <w:sz w:val="20"/>
                <w:szCs w:val="20"/>
              </w:rPr>
              <w:t>19</w:t>
            </w:r>
          </w:p>
        </w:tc>
        <w:tc>
          <w:tcPr>
            <w:tcW w:w="1170" w:type="dxa"/>
            <w:tcBorders>
              <w:top w:val="nil"/>
              <w:left w:val="nil"/>
              <w:bottom w:val="nil"/>
              <w:right w:val="nil"/>
            </w:tcBorders>
            <w:tcMar>
              <w:top w:w="43" w:type="dxa"/>
              <w:left w:w="72" w:type="dxa"/>
              <w:bottom w:w="43" w:type="dxa"/>
              <w:right w:w="72" w:type="dxa"/>
            </w:tcMar>
            <w:hideMark/>
          </w:tcPr>
          <w:p w14:paraId="5A852340" w14:textId="77777777" w:rsidR="00FA6E73" w:rsidRPr="00965D6A" w:rsidRDefault="00034C1F" w:rsidP="00010333">
            <w:pPr>
              <w:rPr>
                <w:sz w:val="20"/>
                <w:szCs w:val="20"/>
              </w:rPr>
            </w:pPr>
            <m:oMathPara>
              <m:oMath>
                <m:sSub>
                  <m:sSubPr>
                    <m:ctrlPr>
                      <w:rPr>
                        <w:rFonts w:ascii="Cambria Math" w:hAnsi="Cambria Math"/>
                        <w:i/>
                        <w:iCs/>
                        <w:sz w:val="20"/>
                        <w:szCs w:val="20"/>
                      </w:rPr>
                    </m:ctrlPr>
                  </m:sSubPr>
                  <m:e>
                    <m:r>
                      <w:rPr>
                        <w:rFonts w:ascii="Cambria Math" w:hAnsi="Cambria Math"/>
                        <w:sz w:val="20"/>
                        <w:szCs w:val="20"/>
                      </w:rPr>
                      <m:t>γ</m:t>
                    </m:r>
                  </m:e>
                  <m:sub>
                    <m:r>
                      <w:rPr>
                        <w:rFonts w:ascii="Cambria Math" w:hAnsi="Cambria Math"/>
                        <w:sz w:val="20"/>
                        <w:szCs w:val="20"/>
                      </w:rPr>
                      <m:t>10</m:t>
                    </m:r>
                  </m:sub>
                </m:sSub>
              </m:oMath>
            </m:oMathPara>
          </w:p>
        </w:tc>
        <w:tc>
          <w:tcPr>
            <w:tcW w:w="2162" w:type="dxa"/>
            <w:tcBorders>
              <w:top w:val="nil"/>
              <w:left w:val="nil"/>
              <w:bottom w:val="nil"/>
              <w:right w:val="nil"/>
            </w:tcBorders>
            <w:tcMar>
              <w:top w:w="43" w:type="dxa"/>
              <w:left w:w="72" w:type="dxa"/>
              <w:bottom w:w="43" w:type="dxa"/>
              <w:right w:w="72" w:type="dxa"/>
            </w:tcMar>
          </w:tcPr>
          <w:p w14:paraId="40A62970" w14:textId="77777777" w:rsidR="00FA6E73" w:rsidRPr="00965D6A" w:rsidRDefault="00FA6E73" w:rsidP="00010333">
            <w:pPr>
              <w:tabs>
                <w:tab w:val="decimal" w:pos="432"/>
              </w:tabs>
              <w:rPr>
                <w:sz w:val="20"/>
                <w:szCs w:val="20"/>
              </w:rPr>
            </w:pPr>
          </w:p>
        </w:tc>
        <w:tc>
          <w:tcPr>
            <w:tcW w:w="2162" w:type="dxa"/>
            <w:tcBorders>
              <w:top w:val="nil"/>
              <w:left w:val="nil"/>
              <w:bottom w:val="nil"/>
              <w:right w:val="nil"/>
            </w:tcBorders>
            <w:tcMar>
              <w:top w:w="43" w:type="dxa"/>
              <w:left w:w="72" w:type="dxa"/>
              <w:bottom w:w="43" w:type="dxa"/>
              <w:right w:w="72" w:type="dxa"/>
            </w:tcMar>
          </w:tcPr>
          <w:p w14:paraId="419089B3" w14:textId="710AA258" w:rsidR="00FA6E73" w:rsidRPr="00965D6A" w:rsidRDefault="00FA6E73" w:rsidP="00010333">
            <w:pPr>
              <w:tabs>
                <w:tab w:val="decimal" w:pos="432"/>
              </w:tabs>
              <w:rPr>
                <w:sz w:val="20"/>
                <w:szCs w:val="20"/>
              </w:rPr>
            </w:pPr>
            <w:r w:rsidRPr="00965D6A">
              <w:rPr>
                <w:sz w:val="20"/>
                <w:szCs w:val="20"/>
              </w:rPr>
              <w:t>0.03</w:t>
            </w:r>
            <w:r w:rsidR="005808E1" w:rsidRPr="00965D6A">
              <w:rPr>
                <w:sz w:val="20"/>
                <w:szCs w:val="20"/>
              </w:rPr>
              <w:t>7</w:t>
            </w:r>
            <w:r w:rsidRPr="00965D6A">
              <w:rPr>
                <w:sz w:val="20"/>
                <w:szCs w:val="20"/>
              </w:rPr>
              <w:t>*** (</w:t>
            </w:r>
            <w:r w:rsidR="005808E1" w:rsidRPr="00965D6A">
              <w:rPr>
                <w:sz w:val="20"/>
                <w:szCs w:val="20"/>
              </w:rPr>
              <w:t>9.96</w:t>
            </w:r>
            <w:r w:rsidRPr="00965D6A">
              <w:rPr>
                <w:sz w:val="20"/>
                <w:szCs w:val="20"/>
              </w:rPr>
              <w:t>)</w:t>
            </w:r>
          </w:p>
        </w:tc>
        <w:tc>
          <w:tcPr>
            <w:tcW w:w="2162" w:type="dxa"/>
            <w:tcBorders>
              <w:top w:val="nil"/>
              <w:left w:val="nil"/>
              <w:bottom w:val="nil"/>
              <w:right w:val="nil"/>
            </w:tcBorders>
            <w:tcMar>
              <w:top w:w="43" w:type="dxa"/>
              <w:left w:w="72" w:type="dxa"/>
              <w:bottom w:w="43" w:type="dxa"/>
              <w:right w:w="72" w:type="dxa"/>
            </w:tcMar>
          </w:tcPr>
          <w:p w14:paraId="60FF73F6" w14:textId="501FE65A" w:rsidR="00FA6E73" w:rsidRPr="00965D6A" w:rsidRDefault="00FA6E73" w:rsidP="00010333">
            <w:pPr>
              <w:tabs>
                <w:tab w:val="decimal" w:pos="432"/>
              </w:tabs>
              <w:rPr>
                <w:sz w:val="20"/>
                <w:szCs w:val="20"/>
              </w:rPr>
            </w:pPr>
            <w:r w:rsidRPr="00965D6A">
              <w:rPr>
                <w:sz w:val="20"/>
                <w:szCs w:val="20"/>
              </w:rPr>
              <w:t>0.03</w:t>
            </w:r>
            <w:r w:rsidR="00F034D4" w:rsidRPr="00965D6A">
              <w:rPr>
                <w:sz w:val="20"/>
                <w:szCs w:val="20"/>
              </w:rPr>
              <w:t>6</w:t>
            </w:r>
            <w:r w:rsidRPr="00965D6A">
              <w:rPr>
                <w:sz w:val="20"/>
                <w:szCs w:val="20"/>
              </w:rPr>
              <w:t>*** (9.</w:t>
            </w:r>
            <w:r w:rsidR="00F034D4" w:rsidRPr="00965D6A">
              <w:rPr>
                <w:sz w:val="20"/>
                <w:szCs w:val="20"/>
              </w:rPr>
              <w:t>72</w:t>
            </w:r>
            <w:r w:rsidRPr="00965D6A">
              <w:rPr>
                <w:sz w:val="20"/>
                <w:szCs w:val="20"/>
              </w:rPr>
              <w:t>)</w:t>
            </w:r>
          </w:p>
        </w:tc>
        <w:tc>
          <w:tcPr>
            <w:tcW w:w="2163" w:type="dxa"/>
            <w:tcBorders>
              <w:top w:val="nil"/>
              <w:left w:val="nil"/>
              <w:bottom w:val="nil"/>
              <w:right w:val="nil"/>
            </w:tcBorders>
          </w:tcPr>
          <w:p w14:paraId="43109FB3" w14:textId="6FABA6C5" w:rsidR="00FA6E73" w:rsidRPr="00965D6A" w:rsidRDefault="00FA6E73" w:rsidP="00010333">
            <w:pPr>
              <w:tabs>
                <w:tab w:val="decimal" w:pos="432"/>
              </w:tabs>
              <w:rPr>
                <w:sz w:val="20"/>
                <w:szCs w:val="20"/>
              </w:rPr>
            </w:pPr>
            <w:r w:rsidRPr="00965D6A">
              <w:rPr>
                <w:sz w:val="20"/>
                <w:szCs w:val="20"/>
              </w:rPr>
              <w:t>0.03</w:t>
            </w:r>
            <w:r w:rsidR="0069788E" w:rsidRPr="00965D6A">
              <w:rPr>
                <w:sz w:val="20"/>
                <w:szCs w:val="20"/>
              </w:rPr>
              <w:t>6</w:t>
            </w:r>
            <w:r w:rsidRPr="00965D6A">
              <w:rPr>
                <w:sz w:val="20"/>
                <w:szCs w:val="20"/>
              </w:rPr>
              <w:t>*** (</w:t>
            </w:r>
            <w:r w:rsidR="0069788E" w:rsidRPr="00965D6A">
              <w:rPr>
                <w:sz w:val="20"/>
                <w:szCs w:val="20"/>
              </w:rPr>
              <w:t>9.43</w:t>
            </w:r>
            <w:r w:rsidRPr="00965D6A">
              <w:rPr>
                <w:sz w:val="20"/>
                <w:szCs w:val="20"/>
              </w:rPr>
              <w:t>)</w:t>
            </w:r>
          </w:p>
        </w:tc>
      </w:tr>
      <w:tr w:rsidR="00965D6A" w:rsidRPr="00965D6A" w14:paraId="49CF8547" w14:textId="77777777" w:rsidTr="00F47CC8">
        <w:trPr>
          <w:trHeight w:val="50"/>
        </w:trPr>
        <w:tc>
          <w:tcPr>
            <w:tcW w:w="2970" w:type="dxa"/>
            <w:tcBorders>
              <w:top w:val="nil"/>
              <w:left w:val="nil"/>
              <w:bottom w:val="nil"/>
              <w:right w:val="nil"/>
            </w:tcBorders>
            <w:tcMar>
              <w:top w:w="43" w:type="dxa"/>
              <w:left w:w="72" w:type="dxa"/>
              <w:bottom w:w="43" w:type="dxa"/>
              <w:right w:w="72" w:type="dxa"/>
            </w:tcMar>
            <w:hideMark/>
          </w:tcPr>
          <w:p w14:paraId="6A72AA9C" w14:textId="2729CED3" w:rsidR="00FA6E73" w:rsidRPr="00965D6A" w:rsidRDefault="00FA6E73" w:rsidP="00010333">
            <w:pPr>
              <w:rPr>
                <w:sz w:val="20"/>
                <w:szCs w:val="20"/>
              </w:rPr>
            </w:pPr>
            <w:r w:rsidRPr="00965D6A">
              <w:rPr>
                <w:sz w:val="20"/>
                <w:szCs w:val="20"/>
              </w:rPr>
              <w:t xml:space="preserve">     </w:t>
            </w:r>
            <w:r w:rsidR="00DB739D" w:rsidRPr="00965D6A">
              <w:rPr>
                <w:sz w:val="20"/>
                <w:szCs w:val="20"/>
              </w:rPr>
              <w:t>Jump20</w:t>
            </w:r>
            <w:r w:rsidR="009F1EB0" w:rsidRPr="00965D6A">
              <w:rPr>
                <w:sz w:val="20"/>
                <w:szCs w:val="20"/>
              </w:rPr>
              <w:t>to</w:t>
            </w:r>
            <w:r w:rsidR="00DB739D" w:rsidRPr="00965D6A">
              <w:rPr>
                <w:sz w:val="20"/>
                <w:szCs w:val="20"/>
              </w:rPr>
              <w:t>23</w:t>
            </w:r>
          </w:p>
        </w:tc>
        <w:tc>
          <w:tcPr>
            <w:tcW w:w="1170" w:type="dxa"/>
            <w:tcBorders>
              <w:top w:val="nil"/>
              <w:left w:val="nil"/>
              <w:bottom w:val="nil"/>
              <w:right w:val="nil"/>
            </w:tcBorders>
            <w:tcMar>
              <w:top w:w="43" w:type="dxa"/>
              <w:left w:w="72" w:type="dxa"/>
              <w:bottom w:w="43" w:type="dxa"/>
              <w:right w:w="72" w:type="dxa"/>
            </w:tcMar>
            <w:hideMark/>
          </w:tcPr>
          <w:p w14:paraId="4C082545" w14:textId="77777777" w:rsidR="00FA6E73" w:rsidRPr="00965D6A" w:rsidRDefault="00034C1F" w:rsidP="00010333">
            <w:pPr>
              <w:rPr>
                <w:sz w:val="20"/>
                <w:szCs w:val="20"/>
              </w:rPr>
            </w:pPr>
            <m:oMathPara>
              <m:oMath>
                <m:sSub>
                  <m:sSubPr>
                    <m:ctrlPr>
                      <w:rPr>
                        <w:rFonts w:ascii="Cambria Math" w:hAnsi="Cambria Math"/>
                        <w:i/>
                        <w:iCs/>
                        <w:sz w:val="20"/>
                        <w:szCs w:val="20"/>
                      </w:rPr>
                    </m:ctrlPr>
                  </m:sSubPr>
                  <m:e>
                    <m:r>
                      <w:rPr>
                        <w:rFonts w:ascii="Cambria Math" w:hAnsi="Cambria Math"/>
                        <w:sz w:val="20"/>
                        <w:szCs w:val="20"/>
                      </w:rPr>
                      <m:t>γ</m:t>
                    </m:r>
                  </m:e>
                  <m:sub>
                    <m:r>
                      <w:rPr>
                        <w:rFonts w:ascii="Cambria Math" w:hAnsi="Cambria Math"/>
                        <w:sz w:val="20"/>
                        <w:szCs w:val="20"/>
                      </w:rPr>
                      <m:t>20</m:t>
                    </m:r>
                  </m:sub>
                </m:sSub>
              </m:oMath>
            </m:oMathPara>
          </w:p>
        </w:tc>
        <w:tc>
          <w:tcPr>
            <w:tcW w:w="2162" w:type="dxa"/>
            <w:tcBorders>
              <w:top w:val="nil"/>
              <w:left w:val="nil"/>
              <w:bottom w:val="nil"/>
              <w:right w:val="nil"/>
            </w:tcBorders>
            <w:tcMar>
              <w:top w:w="43" w:type="dxa"/>
              <w:left w:w="72" w:type="dxa"/>
              <w:bottom w:w="43" w:type="dxa"/>
              <w:right w:w="72" w:type="dxa"/>
            </w:tcMar>
          </w:tcPr>
          <w:p w14:paraId="6F8AB8E8" w14:textId="77777777" w:rsidR="00FA6E73" w:rsidRPr="00965D6A" w:rsidRDefault="00FA6E73" w:rsidP="00010333">
            <w:pPr>
              <w:tabs>
                <w:tab w:val="decimal" w:pos="432"/>
              </w:tabs>
              <w:rPr>
                <w:sz w:val="20"/>
                <w:szCs w:val="20"/>
              </w:rPr>
            </w:pPr>
          </w:p>
        </w:tc>
        <w:tc>
          <w:tcPr>
            <w:tcW w:w="2162" w:type="dxa"/>
            <w:tcBorders>
              <w:top w:val="nil"/>
              <w:left w:val="nil"/>
              <w:bottom w:val="nil"/>
              <w:right w:val="nil"/>
            </w:tcBorders>
            <w:tcMar>
              <w:top w:w="43" w:type="dxa"/>
              <w:left w:w="72" w:type="dxa"/>
              <w:bottom w:w="43" w:type="dxa"/>
              <w:right w:w="72" w:type="dxa"/>
            </w:tcMar>
          </w:tcPr>
          <w:p w14:paraId="37E48B40" w14:textId="61DAD6A3" w:rsidR="00FA6E73" w:rsidRPr="00965D6A" w:rsidRDefault="00FA6E73" w:rsidP="00010333">
            <w:pPr>
              <w:tabs>
                <w:tab w:val="decimal" w:pos="432"/>
              </w:tabs>
              <w:rPr>
                <w:sz w:val="20"/>
                <w:szCs w:val="20"/>
              </w:rPr>
            </w:pPr>
            <w:r w:rsidRPr="00965D6A">
              <w:rPr>
                <w:sz w:val="20"/>
                <w:szCs w:val="20"/>
              </w:rPr>
              <w:t>0.3</w:t>
            </w:r>
            <w:r w:rsidR="005808E1" w:rsidRPr="00965D6A">
              <w:rPr>
                <w:sz w:val="20"/>
                <w:szCs w:val="20"/>
              </w:rPr>
              <w:t>56</w:t>
            </w:r>
            <w:r w:rsidRPr="00965D6A">
              <w:rPr>
                <w:sz w:val="20"/>
                <w:szCs w:val="20"/>
              </w:rPr>
              <w:t>*** (14</w:t>
            </w:r>
            <w:r w:rsidR="005808E1" w:rsidRPr="00965D6A">
              <w:rPr>
                <w:sz w:val="20"/>
                <w:szCs w:val="20"/>
              </w:rPr>
              <w:t>.88</w:t>
            </w:r>
            <w:r w:rsidRPr="00965D6A">
              <w:rPr>
                <w:sz w:val="20"/>
                <w:szCs w:val="20"/>
              </w:rPr>
              <w:t>)</w:t>
            </w:r>
          </w:p>
        </w:tc>
        <w:tc>
          <w:tcPr>
            <w:tcW w:w="2162" w:type="dxa"/>
            <w:tcBorders>
              <w:top w:val="nil"/>
              <w:left w:val="nil"/>
              <w:bottom w:val="nil"/>
              <w:right w:val="nil"/>
            </w:tcBorders>
            <w:tcMar>
              <w:top w:w="43" w:type="dxa"/>
              <w:left w:w="72" w:type="dxa"/>
              <w:bottom w:w="43" w:type="dxa"/>
              <w:right w:w="72" w:type="dxa"/>
            </w:tcMar>
          </w:tcPr>
          <w:p w14:paraId="55BEF08A" w14:textId="0EA33F62" w:rsidR="00FA6E73" w:rsidRPr="00965D6A" w:rsidRDefault="00FA6E73" w:rsidP="00010333">
            <w:pPr>
              <w:tabs>
                <w:tab w:val="decimal" w:pos="432"/>
              </w:tabs>
              <w:rPr>
                <w:sz w:val="20"/>
                <w:szCs w:val="20"/>
              </w:rPr>
            </w:pPr>
            <w:r w:rsidRPr="00965D6A">
              <w:rPr>
                <w:sz w:val="20"/>
                <w:szCs w:val="20"/>
              </w:rPr>
              <w:t>0.3</w:t>
            </w:r>
            <w:r w:rsidR="00F034D4" w:rsidRPr="00965D6A">
              <w:rPr>
                <w:sz w:val="20"/>
                <w:szCs w:val="20"/>
              </w:rPr>
              <w:t>53</w:t>
            </w:r>
            <w:r w:rsidRPr="00965D6A">
              <w:rPr>
                <w:sz w:val="20"/>
                <w:szCs w:val="20"/>
              </w:rPr>
              <w:t>*** (14.</w:t>
            </w:r>
            <w:r w:rsidR="00F034D4" w:rsidRPr="00965D6A">
              <w:rPr>
                <w:sz w:val="20"/>
                <w:szCs w:val="20"/>
              </w:rPr>
              <w:t>58</w:t>
            </w:r>
            <w:r w:rsidRPr="00965D6A">
              <w:rPr>
                <w:sz w:val="20"/>
                <w:szCs w:val="20"/>
              </w:rPr>
              <w:t>)</w:t>
            </w:r>
          </w:p>
        </w:tc>
        <w:tc>
          <w:tcPr>
            <w:tcW w:w="2163" w:type="dxa"/>
            <w:tcBorders>
              <w:top w:val="nil"/>
              <w:left w:val="nil"/>
              <w:bottom w:val="nil"/>
              <w:right w:val="nil"/>
            </w:tcBorders>
          </w:tcPr>
          <w:p w14:paraId="191EB341" w14:textId="095E7F33" w:rsidR="00FA6E73" w:rsidRPr="00965D6A" w:rsidRDefault="00FA6E73" w:rsidP="00010333">
            <w:pPr>
              <w:tabs>
                <w:tab w:val="decimal" w:pos="432"/>
              </w:tabs>
              <w:rPr>
                <w:sz w:val="20"/>
                <w:szCs w:val="20"/>
              </w:rPr>
            </w:pPr>
            <w:r w:rsidRPr="00965D6A">
              <w:rPr>
                <w:sz w:val="20"/>
                <w:szCs w:val="20"/>
              </w:rPr>
              <w:t>0.</w:t>
            </w:r>
            <w:r w:rsidR="0069788E" w:rsidRPr="00965D6A">
              <w:rPr>
                <w:sz w:val="20"/>
                <w:szCs w:val="20"/>
              </w:rPr>
              <w:t>352</w:t>
            </w:r>
            <w:r w:rsidRPr="00965D6A">
              <w:rPr>
                <w:sz w:val="20"/>
                <w:szCs w:val="20"/>
              </w:rPr>
              <w:t>*** (14.</w:t>
            </w:r>
            <w:r w:rsidR="0069788E" w:rsidRPr="00965D6A">
              <w:rPr>
                <w:sz w:val="20"/>
                <w:szCs w:val="20"/>
              </w:rPr>
              <w:t>13</w:t>
            </w:r>
            <w:r w:rsidRPr="00965D6A">
              <w:rPr>
                <w:sz w:val="20"/>
                <w:szCs w:val="20"/>
              </w:rPr>
              <w:t>)</w:t>
            </w:r>
          </w:p>
        </w:tc>
      </w:tr>
      <w:tr w:rsidR="00965D6A" w:rsidRPr="00965D6A" w14:paraId="434B02C2" w14:textId="77777777" w:rsidTr="00F47CC8">
        <w:trPr>
          <w:trHeight w:val="86"/>
        </w:trPr>
        <w:tc>
          <w:tcPr>
            <w:tcW w:w="2970" w:type="dxa"/>
            <w:tcBorders>
              <w:top w:val="nil"/>
              <w:left w:val="nil"/>
              <w:bottom w:val="nil"/>
              <w:right w:val="nil"/>
            </w:tcBorders>
            <w:tcMar>
              <w:top w:w="43" w:type="dxa"/>
              <w:left w:w="72" w:type="dxa"/>
              <w:bottom w:w="43" w:type="dxa"/>
              <w:right w:w="72" w:type="dxa"/>
            </w:tcMar>
          </w:tcPr>
          <w:p w14:paraId="3938C544" w14:textId="77777777" w:rsidR="00FA6E73" w:rsidRPr="00965D6A" w:rsidRDefault="00FA6E73" w:rsidP="00010333">
            <w:pPr>
              <w:rPr>
                <w:sz w:val="20"/>
                <w:szCs w:val="20"/>
              </w:rPr>
            </w:pPr>
            <w:r w:rsidRPr="00965D6A">
              <w:rPr>
                <w:sz w:val="20"/>
                <w:szCs w:val="20"/>
              </w:rPr>
              <w:t xml:space="preserve">     Amazon</w:t>
            </w:r>
          </w:p>
        </w:tc>
        <w:tc>
          <w:tcPr>
            <w:tcW w:w="1170" w:type="dxa"/>
            <w:tcBorders>
              <w:top w:val="nil"/>
              <w:left w:val="nil"/>
              <w:bottom w:val="nil"/>
              <w:right w:val="nil"/>
            </w:tcBorders>
            <w:tcMar>
              <w:top w:w="43" w:type="dxa"/>
              <w:left w:w="72" w:type="dxa"/>
              <w:bottom w:w="43" w:type="dxa"/>
              <w:right w:w="72" w:type="dxa"/>
            </w:tcMar>
          </w:tcPr>
          <w:p w14:paraId="51F49EB0" w14:textId="77777777" w:rsidR="00FA6E73" w:rsidRPr="00965D6A" w:rsidRDefault="00034C1F" w:rsidP="00010333">
            <w:pPr>
              <w:rPr>
                <w:rFonts w:eastAsia="Calibri" w:cs="Times New Roman"/>
                <w:iCs/>
                <w:sz w:val="20"/>
                <w:szCs w:val="20"/>
              </w:rPr>
            </w:pPr>
            <m:oMathPara>
              <m:oMath>
                <m:sSub>
                  <m:sSubPr>
                    <m:ctrlPr>
                      <w:rPr>
                        <w:rFonts w:ascii="Cambria Math" w:hAnsi="Cambria Math"/>
                        <w:i/>
                        <w:iCs/>
                        <w:sz w:val="20"/>
                        <w:szCs w:val="20"/>
                      </w:rPr>
                    </m:ctrlPr>
                  </m:sSubPr>
                  <m:e>
                    <m:r>
                      <w:rPr>
                        <w:rFonts w:ascii="Cambria Math" w:hAnsi="Cambria Math"/>
                        <w:sz w:val="20"/>
                        <w:szCs w:val="20"/>
                      </w:rPr>
                      <m:t>γ</m:t>
                    </m:r>
                  </m:e>
                  <m:sub>
                    <m:r>
                      <w:rPr>
                        <w:rFonts w:ascii="Cambria Math" w:hAnsi="Cambria Math"/>
                        <w:sz w:val="20"/>
                        <w:szCs w:val="20"/>
                      </w:rPr>
                      <m:t>30</m:t>
                    </m:r>
                  </m:sub>
                </m:sSub>
              </m:oMath>
            </m:oMathPara>
          </w:p>
        </w:tc>
        <w:tc>
          <w:tcPr>
            <w:tcW w:w="2162" w:type="dxa"/>
            <w:tcBorders>
              <w:top w:val="nil"/>
              <w:left w:val="nil"/>
              <w:bottom w:val="nil"/>
              <w:right w:val="nil"/>
            </w:tcBorders>
            <w:tcMar>
              <w:top w:w="43" w:type="dxa"/>
              <w:left w:w="72" w:type="dxa"/>
              <w:bottom w:w="43" w:type="dxa"/>
              <w:right w:w="72" w:type="dxa"/>
            </w:tcMar>
          </w:tcPr>
          <w:p w14:paraId="3078AFBD" w14:textId="77777777" w:rsidR="00FA6E73" w:rsidRPr="00965D6A" w:rsidRDefault="00FA6E73" w:rsidP="00010333">
            <w:pPr>
              <w:tabs>
                <w:tab w:val="decimal" w:pos="432"/>
              </w:tabs>
              <w:rPr>
                <w:sz w:val="20"/>
                <w:szCs w:val="20"/>
              </w:rPr>
            </w:pPr>
          </w:p>
        </w:tc>
        <w:tc>
          <w:tcPr>
            <w:tcW w:w="2162" w:type="dxa"/>
            <w:tcBorders>
              <w:top w:val="nil"/>
              <w:left w:val="nil"/>
              <w:bottom w:val="nil"/>
              <w:right w:val="nil"/>
            </w:tcBorders>
            <w:tcMar>
              <w:top w:w="43" w:type="dxa"/>
              <w:left w:w="72" w:type="dxa"/>
              <w:bottom w:w="43" w:type="dxa"/>
              <w:right w:w="72" w:type="dxa"/>
            </w:tcMar>
          </w:tcPr>
          <w:p w14:paraId="20FAAB6C" w14:textId="77777777" w:rsidR="00FA6E73" w:rsidRPr="00965D6A" w:rsidRDefault="00FA6E73" w:rsidP="00010333">
            <w:pPr>
              <w:tabs>
                <w:tab w:val="decimal" w:pos="432"/>
              </w:tabs>
              <w:rPr>
                <w:strike/>
                <w:sz w:val="20"/>
                <w:szCs w:val="20"/>
              </w:rPr>
            </w:pPr>
          </w:p>
        </w:tc>
        <w:tc>
          <w:tcPr>
            <w:tcW w:w="2162" w:type="dxa"/>
            <w:tcBorders>
              <w:top w:val="nil"/>
              <w:left w:val="nil"/>
              <w:bottom w:val="nil"/>
              <w:right w:val="nil"/>
            </w:tcBorders>
            <w:tcMar>
              <w:top w:w="43" w:type="dxa"/>
              <w:left w:w="72" w:type="dxa"/>
              <w:bottom w:w="43" w:type="dxa"/>
              <w:right w:w="72" w:type="dxa"/>
            </w:tcMar>
          </w:tcPr>
          <w:p w14:paraId="4B8F05D5" w14:textId="57A09996" w:rsidR="00FA6E73" w:rsidRPr="00965D6A" w:rsidRDefault="00FA6E73" w:rsidP="00010333">
            <w:pPr>
              <w:tabs>
                <w:tab w:val="decimal" w:pos="432"/>
              </w:tabs>
              <w:rPr>
                <w:sz w:val="20"/>
                <w:szCs w:val="20"/>
              </w:rPr>
            </w:pPr>
            <w:r w:rsidRPr="00965D6A">
              <w:rPr>
                <w:sz w:val="20"/>
                <w:szCs w:val="20"/>
              </w:rPr>
              <w:t>0.05</w:t>
            </w:r>
            <w:r w:rsidR="003C120B" w:rsidRPr="00965D6A">
              <w:rPr>
                <w:sz w:val="20"/>
                <w:szCs w:val="20"/>
              </w:rPr>
              <w:t>8</w:t>
            </w:r>
            <w:r w:rsidRPr="00965D6A">
              <w:rPr>
                <w:sz w:val="20"/>
                <w:szCs w:val="20"/>
              </w:rPr>
              <w:t>*** (3.</w:t>
            </w:r>
            <w:r w:rsidR="003C120B" w:rsidRPr="00965D6A">
              <w:rPr>
                <w:sz w:val="20"/>
                <w:szCs w:val="20"/>
              </w:rPr>
              <w:t>45</w:t>
            </w:r>
            <w:r w:rsidRPr="00965D6A">
              <w:rPr>
                <w:sz w:val="20"/>
                <w:szCs w:val="20"/>
              </w:rPr>
              <w:t>)</w:t>
            </w:r>
          </w:p>
        </w:tc>
        <w:tc>
          <w:tcPr>
            <w:tcW w:w="2163" w:type="dxa"/>
            <w:tcBorders>
              <w:top w:val="nil"/>
              <w:left w:val="nil"/>
              <w:bottom w:val="nil"/>
              <w:right w:val="nil"/>
            </w:tcBorders>
          </w:tcPr>
          <w:p w14:paraId="48DF8DAD" w14:textId="3965FFB5" w:rsidR="00FA6E73" w:rsidRPr="00965D6A" w:rsidRDefault="00FA6E73" w:rsidP="00010333">
            <w:pPr>
              <w:tabs>
                <w:tab w:val="decimal" w:pos="432"/>
              </w:tabs>
              <w:rPr>
                <w:sz w:val="20"/>
                <w:szCs w:val="20"/>
              </w:rPr>
            </w:pPr>
            <w:r w:rsidRPr="00965D6A">
              <w:rPr>
                <w:sz w:val="20"/>
                <w:szCs w:val="20"/>
              </w:rPr>
              <w:t>0.0</w:t>
            </w:r>
            <w:r w:rsidR="00EA393F" w:rsidRPr="00965D6A">
              <w:rPr>
                <w:sz w:val="20"/>
                <w:szCs w:val="20"/>
              </w:rPr>
              <w:t>15</w:t>
            </w:r>
            <w:r w:rsidRPr="00965D6A">
              <w:rPr>
                <w:sz w:val="20"/>
                <w:szCs w:val="20"/>
              </w:rPr>
              <w:t xml:space="preserve"> (</w:t>
            </w:r>
            <w:r w:rsidR="00EA393F" w:rsidRPr="00965D6A">
              <w:rPr>
                <w:sz w:val="20"/>
                <w:szCs w:val="20"/>
              </w:rPr>
              <w:t>0.81</w:t>
            </w:r>
            <w:r w:rsidRPr="00965D6A">
              <w:rPr>
                <w:sz w:val="20"/>
                <w:szCs w:val="20"/>
              </w:rPr>
              <w:t>)</w:t>
            </w:r>
          </w:p>
        </w:tc>
      </w:tr>
      <w:tr w:rsidR="00965D6A" w:rsidRPr="00965D6A" w14:paraId="118128B2" w14:textId="77777777" w:rsidTr="00F47CC8">
        <w:trPr>
          <w:trHeight w:val="86"/>
        </w:trPr>
        <w:tc>
          <w:tcPr>
            <w:tcW w:w="2970" w:type="dxa"/>
            <w:tcBorders>
              <w:top w:val="nil"/>
              <w:left w:val="nil"/>
              <w:bottom w:val="nil"/>
              <w:right w:val="nil"/>
            </w:tcBorders>
            <w:tcMar>
              <w:top w:w="43" w:type="dxa"/>
              <w:left w:w="72" w:type="dxa"/>
              <w:bottom w:w="43" w:type="dxa"/>
              <w:right w:w="72" w:type="dxa"/>
            </w:tcMar>
          </w:tcPr>
          <w:p w14:paraId="2FB5AF4F" w14:textId="77777777" w:rsidR="00FA6E73" w:rsidRPr="00965D6A" w:rsidRDefault="00FA6E73" w:rsidP="00010333">
            <w:pPr>
              <w:rPr>
                <w:sz w:val="20"/>
                <w:szCs w:val="20"/>
              </w:rPr>
            </w:pPr>
            <w:r w:rsidRPr="00965D6A">
              <w:rPr>
                <w:sz w:val="20"/>
                <w:szCs w:val="20"/>
              </w:rPr>
              <w:t xml:space="preserve">     </w:t>
            </w:r>
            <m:oMath>
              <m:acc>
                <m:accPr>
                  <m:chr m:val="̅"/>
                  <m:ctrlPr>
                    <w:rPr>
                      <w:rFonts w:ascii="Cambria Math" w:hAnsi="Cambria Math" w:cs="Times New Roman"/>
                      <w:i/>
                      <w:sz w:val="20"/>
                      <w:szCs w:val="20"/>
                    </w:rPr>
                  </m:ctrlPr>
                </m:accPr>
                <m:e>
                  <m:r>
                    <m:rPr>
                      <m:sty m:val="p"/>
                    </m:rPr>
                    <w:rPr>
                      <w:rFonts w:ascii="Cambria Math" w:hAnsi="Cambria Math" w:cs="Times New Roman"/>
                      <w:sz w:val="20"/>
                      <w:szCs w:val="20"/>
                    </w:rPr>
                    <m:t>Rural</m:t>
                  </m:r>
                </m:e>
              </m:acc>
            </m:oMath>
            <w:r w:rsidRPr="00965D6A">
              <w:rPr>
                <w:sz w:val="20"/>
                <w:szCs w:val="20"/>
              </w:rPr>
              <w:t xml:space="preserve"> </w:t>
            </w:r>
          </w:p>
        </w:tc>
        <w:tc>
          <w:tcPr>
            <w:tcW w:w="1170" w:type="dxa"/>
            <w:tcBorders>
              <w:top w:val="nil"/>
              <w:left w:val="nil"/>
              <w:bottom w:val="nil"/>
              <w:right w:val="nil"/>
            </w:tcBorders>
            <w:tcMar>
              <w:top w:w="43" w:type="dxa"/>
              <w:left w:w="72" w:type="dxa"/>
              <w:bottom w:w="43" w:type="dxa"/>
              <w:right w:w="72" w:type="dxa"/>
            </w:tcMar>
          </w:tcPr>
          <w:p w14:paraId="68133394" w14:textId="77777777" w:rsidR="00FA6E73" w:rsidRPr="00965D6A" w:rsidRDefault="00034C1F" w:rsidP="00010333">
            <w:pPr>
              <w:rPr>
                <w:rFonts w:eastAsia="Calibri" w:cs="Times New Roman"/>
                <w:iCs/>
                <w:sz w:val="20"/>
                <w:szCs w:val="20"/>
              </w:rPr>
            </w:pPr>
            <m:oMathPara>
              <m:oMath>
                <m:sSub>
                  <m:sSubPr>
                    <m:ctrlPr>
                      <w:rPr>
                        <w:rFonts w:ascii="Cambria Math" w:hAnsi="Cambria Math"/>
                        <w:i/>
                        <w:iCs/>
                        <w:sz w:val="20"/>
                        <w:szCs w:val="20"/>
                      </w:rPr>
                    </m:ctrlPr>
                  </m:sSubPr>
                  <m:e>
                    <m:r>
                      <w:rPr>
                        <w:rFonts w:ascii="Cambria Math" w:hAnsi="Cambria Math"/>
                        <w:sz w:val="20"/>
                        <w:szCs w:val="20"/>
                      </w:rPr>
                      <m:t>γ</m:t>
                    </m:r>
                  </m:e>
                  <m:sub>
                    <m:r>
                      <w:rPr>
                        <w:rFonts w:ascii="Cambria Math" w:hAnsi="Cambria Math"/>
                        <w:sz w:val="20"/>
                        <w:szCs w:val="20"/>
                      </w:rPr>
                      <m:t>40</m:t>
                    </m:r>
                  </m:sub>
                </m:sSub>
              </m:oMath>
            </m:oMathPara>
          </w:p>
        </w:tc>
        <w:tc>
          <w:tcPr>
            <w:tcW w:w="2162" w:type="dxa"/>
            <w:tcBorders>
              <w:top w:val="nil"/>
              <w:left w:val="nil"/>
              <w:bottom w:val="nil"/>
              <w:right w:val="nil"/>
            </w:tcBorders>
            <w:tcMar>
              <w:top w:w="43" w:type="dxa"/>
              <w:left w:w="72" w:type="dxa"/>
              <w:bottom w:w="43" w:type="dxa"/>
              <w:right w:w="72" w:type="dxa"/>
            </w:tcMar>
          </w:tcPr>
          <w:p w14:paraId="43AE925A" w14:textId="77777777" w:rsidR="00FA6E73" w:rsidRPr="00965D6A" w:rsidRDefault="00FA6E73" w:rsidP="00010333">
            <w:pPr>
              <w:tabs>
                <w:tab w:val="decimal" w:pos="432"/>
              </w:tabs>
              <w:rPr>
                <w:sz w:val="20"/>
                <w:szCs w:val="20"/>
              </w:rPr>
            </w:pPr>
          </w:p>
        </w:tc>
        <w:tc>
          <w:tcPr>
            <w:tcW w:w="2162" w:type="dxa"/>
            <w:tcBorders>
              <w:top w:val="nil"/>
              <w:left w:val="nil"/>
              <w:bottom w:val="nil"/>
              <w:right w:val="nil"/>
            </w:tcBorders>
            <w:tcMar>
              <w:top w:w="43" w:type="dxa"/>
              <w:left w:w="72" w:type="dxa"/>
              <w:bottom w:w="43" w:type="dxa"/>
              <w:right w:w="72" w:type="dxa"/>
            </w:tcMar>
          </w:tcPr>
          <w:p w14:paraId="1B315B84" w14:textId="77777777" w:rsidR="00FA6E73" w:rsidRPr="00965D6A" w:rsidRDefault="00FA6E73" w:rsidP="00010333">
            <w:pPr>
              <w:tabs>
                <w:tab w:val="decimal" w:pos="432"/>
              </w:tabs>
              <w:rPr>
                <w:sz w:val="20"/>
                <w:szCs w:val="20"/>
              </w:rPr>
            </w:pPr>
          </w:p>
        </w:tc>
        <w:tc>
          <w:tcPr>
            <w:tcW w:w="2162" w:type="dxa"/>
            <w:tcBorders>
              <w:top w:val="nil"/>
              <w:left w:val="nil"/>
              <w:bottom w:val="nil"/>
              <w:right w:val="nil"/>
            </w:tcBorders>
            <w:tcMar>
              <w:top w:w="43" w:type="dxa"/>
              <w:left w:w="72" w:type="dxa"/>
              <w:bottom w:w="43" w:type="dxa"/>
              <w:right w:w="72" w:type="dxa"/>
            </w:tcMar>
          </w:tcPr>
          <w:p w14:paraId="4F90A21B" w14:textId="0775BF34" w:rsidR="00FA6E73" w:rsidRPr="00965D6A" w:rsidRDefault="00FA6E73" w:rsidP="00010333">
            <w:pPr>
              <w:tabs>
                <w:tab w:val="decimal" w:pos="432"/>
              </w:tabs>
              <w:rPr>
                <w:sz w:val="20"/>
                <w:szCs w:val="20"/>
              </w:rPr>
            </w:pPr>
            <w:r w:rsidRPr="00965D6A">
              <w:rPr>
                <w:sz w:val="20"/>
                <w:szCs w:val="20"/>
              </w:rPr>
              <w:t>–0.04</w:t>
            </w:r>
            <w:r w:rsidR="003C120B" w:rsidRPr="00965D6A">
              <w:rPr>
                <w:sz w:val="20"/>
                <w:szCs w:val="20"/>
              </w:rPr>
              <w:t>3</w:t>
            </w:r>
            <w:r w:rsidRPr="00965D6A">
              <w:rPr>
                <w:sz w:val="20"/>
                <w:szCs w:val="20"/>
              </w:rPr>
              <w:t>*** (–</w:t>
            </w:r>
            <w:r w:rsidR="003C120B" w:rsidRPr="00965D6A">
              <w:rPr>
                <w:sz w:val="20"/>
                <w:szCs w:val="20"/>
              </w:rPr>
              <w:t>4.70</w:t>
            </w:r>
            <w:r w:rsidRPr="00965D6A">
              <w:rPr>
                <w:sz w:val="20"/>
                <w:szCs w:val="20"/>
              </w:rPr>
              <w:t>)</w:t>
            </w:r>
          </w:p>
        </w:tc>
        <w:tc>
          <w:tcPr>
            <w:tcW w:w="2163" w:type="dxa"/>
            <w:tcBorders>
              <w:top w:val="nil"/>
              <w:left w:val="nil"/>
              <w:bottom w:val="nil"/>
              <w:right w:val="nil"/>
            </w:tcBorders>
          </w:tcPr>
          <w:p w14:paraId="7AA7C6C3" w14:textId="4837D37E" w:rsidR="00FA6E73" w:rsidRPr="00965D6A" w:rsidRDefault="00FA6E73" w:rsidP="00010333">
            <w:pPr>
              <w:tabs>
                <w:tab w:val="decimal" w:pos="432"/>
              </w:tabs>
              <w:rPr>
                <w:sz w:val="20"/>
                <w:szCs w:val="20"/>
              </w:rPr>
            </w:pPr>
            <w:r w:rsidRPr="00965D6A">
              <w:rPr>
                <w:sz w:val="20"/>
                <w:szCs w:val="20"/>
              </w:rPr>
              <w:t>–0.0</w:t>
            </w:r>
            <w:r w:rsidR="00EA393F" w:rsidRPr="00965D6A">
              <w:rPr>
                <w:sz w:val="20"/>
                <w:szCs w:val="20"/>
              </w:rPr>
              <w:t>53</w:t>
            </w:r>
            <w:r w:rsidRPr="00965D6A">
              <w:rPr>
                <w:sz w:val="20"/>
                <w:szCs w:val="20"/>
              </w:rPr>
              <w:t>*** (–3.</w:t>
            </w:r>
            <w:r w:rsidR="00EA393F" w:rsidRPr="00965D6A">
              <w:rPr>
                <w:sz w:val="20"/>
                <w:szCs w:val="20"/>
              </w:rPr>
              <w:t>82</w:t>
            </w:r>
            <w:r w:rsidRPr="00965D6A">
              <w:rPr>
                <w:sz w:val="20"/>
                <w:szCs w:val="20"/>
              </w:rPr>
              <w:t>)</w:t>
            </w:r>
          </w:p>
        </w:tc>
      </w:tr>
      <w:tr w:rsidR="00965D6A" w:rsidRPr="00965D6A" w14:paraId="380F36B4" w14:textId="77777777" w:rsidTr="00F47CC8">
        <w:trPr>
          <w:trHeight w:val="86"/>
        </w:trPr>
        <w:tc>
          <w:tcPr>
            <w:tcW w:w="2970" w:type="dxa"/>
            <w:tcBorders>
              <w:top w:val="nil"/>
              <w:left w:val="nil"/>
              <w:bottom w:val="nil"/>
              <w:right w:val="nil"/>
            </w:tcBorders>
            <w:tcMar>
              <w:top w:w="43" w:type="dxa"/>
              <w:left w:w="72" w:type="dxa"/>
              <w:bottom w:w="43" w:type="dxa"/>
              <w:right w:w="72" w:type="dxa"/>
            </w:tcMar>
          </w:tcPr>
          <w:p w14:paraId="2302DFE6" w14:textId="3BBA48F9" w:rsidR="00FA6E73" w:rsidRPr="00965D6A" w:rsidRDefault="00FA6E73" w:rsidP="00010333">
            <w:pPr>
              <w:rPr>
                <w:sz w:val="20"/>
                <w:szCs w:val="20"/>
              </w:rPr>
            </w:pPr>
            <w:r w:rsidRPr="00965D6A">
              <w:rPr>
                <w:sz w:val="20"/>
                <w:szCs w:val="20"/>
              </w:rPr>
              <w:t xml:space="preserve">     Trend</w:t>
            </w:r>
            <w:r w:rsidR="00DB739D" w:rsidRPr="00965D6A">
              <w:rPr>
                <w:sz w:val="20"/>
                <w:szCs w:val="20"/>
              </w:rPr>
              <w:t>10</w:t>
            </w:r>
            <w:r w:rsidR="009F1EB0" w:rsidRPr="00965D6A">
              <w:rPr>
                <w:sz w:val="20"/>
                <w:szCs w:val="20"/>
              </w:rPr>
              <w:t>to</w:t>
            </w:r>
            <w:r w:rsidR="00DB739D" w:rsidRPr="00965D6A">
              <w:rPr>
                <w:sz w:val="20"/>
                <w:szCs w:val="20"/>
              </w:rPr>
              <w:t>19</w:t>
            </w:r>
            <w:r w:rsidRPr="00965D6A">
              <w:rPr>
                <w:sz w:val="20"/>
                <w:szCs w:val="20"/>
              </w:rPr>
              <w:t xml:space="preserve"> x </w:t>
            </w:r>
            <m:oMath>
              <m:acc>
                <m:accPr>
                  <m:chr m:val="̅"/>
                  <m:ctrlPr>
                    <w:rPr>
                      <w:rFonts w:ascii="Cambria Math" w:hAnsi="Cambria Math" w:cs="Times New Roman"/>
                      <w:i/>
                      <w:sz w:val="20"/>
                      <w:szCs w:val="20"/>
                    </w:rPr>
                  </m:ctrlPr>
                </m:accPr>
                <m:e>
                  <m:r>
                    <m:rPr>
                      <m:sty m:val="p"/>
                    </m:rPr>
                    <w:rPr>
                      <w:rFonts w:ascii="Cambria Math" w:hAnsi="Cambria Math" w:cs="Times New Roman"/>
                      <w:sz w:val="20"/>
                      <w:szCs w:val="20"/>
                    </w:rPr>
                    <m:t>Rural</m:t>
                  </m:r>
                </m:e>
              </m:acc>
            </m:oMath>
            <w:r w:rsidRPr="00965D6A">
              <w:rPr>
                <w:sz w:val="20"/>
                <w:szCs w:val="20"/>
              </w:rPr>
              <w:t xml:space="preserve"> </w:t>
            </w:r>
          </w:p>
        </w:tc>
        <w:tc>
          <w:tcPr>
            <w:tcW w:w="1170" w:type="dxa"/>
            <w:tcBorders>
              <w:top w:val="nil"/>
              <w:left w:val="nil"/>
              <w:bottom w:val="nil"/>
              <w:right w:val="nil"/>
            </w:tcBorders>
            <w:tcMar>
              <w:top w:w="43" w:type="dxa"/>
              <w:left w:w="72" w:type="dxa"/>
              <w:bottom w:w="43" w:type="dxa"/>
              <w:right w:w="72" w:type="dxa"/>
            </w:tcMar>
          </w:tcPr>
          <w:p w14:paraId="40544CFA" w14:textId="77777777" w:rsidR="00FA6E73" w:rsidRPr="00965D6A" w:rsidRDefault="00034C1F" w:rsidP="00010333">
            <w:pPr>
              <w:rPr>
                <w:rFonts w:eastAsia="Calibri" w:cs="Times New Roman"/>
                <w:iCs/>
                <w:sz w:val="20"/>
                <w:szCs w:val="20"/>
              </w:rPr>
            </w:pPr>
            <m:oMathPara>
              <m:oMath>
                <m:sSub>
                  <m:sSubPr>
                    <m:ctrlPr>
                      <w:rPr>
                        <w:rFonts w:ascii="Cambria Math" w:hAnsi="Cambria Math"/>
                        <w:i/>
                        <w:iCs/>
                        <w:sz w:val="20"/>
                        <w:szCs w:val="20"/>
                      </w:rPr>
                    </m:ctrlPr>
                  </m:sSubPr>
                  <m:e>
                    <m:r>
                      <w:rPr>
                        <w:rFonts w:ascii="Cambria Math" w:hAnsi="Cambria Math"/>
                        <w:sz w:val="20"/>
                        <w:szCs w:val="20"/>
                      </w:rPr>
                      <m:t>γ</m:t>
                    </m:r>
                  </m:e>
                  <m:sub>
                    <m:r>
                      <w:rPr>
                        <w:rFonts w:ascii="Cambria Math" w:hAnsi="Cambria Math"/>
                        <w:sz w:val="20"/>
                        <w:szCs w:val="20"/>
                      </w:rPr>
                      <m:t>50</m:t>
                    </m:r>
                  </m:sub>
                </m:sSub>
              </m:oMath>
            </m:oMathPara>
          </w:p>
        </w:tc>
        <w:tc>
          <w:tcPr>
            <w:tcW w:w="2162" w:type="dxa"/>
            <w:tcBorders>
              <w:top w:val="nil"/>
              <w:left w:val="nil"/>
              <w:bottom w:val="nil"/>
              <w:right w:val="nil"/>
            </w:tcBorders>
            <w:tcMar>
              <w:top w:w="43" w:type="dxa"/>
              <w:left w:w="72" w:type="dxa"/>
              <w:bottom w:w="43" w:type="dxa"/>
              <w:right w:w="72" w:type="dxa"/>
            </w:tcMar>
          </w:tcPr>
          <w:p w14:paraId="7D19E52A" w14:textId="77777777" w:rsidR="00FA6E73" w:rsidRPr="00965D6A" w:rsidRDefault="00FA6E73" w:rsidP="00010333">
            <w:pPr>
              <w:tabs>
                <w:tab w:val="decimal" w:pos="432"/>
              </w:tabs>
              <w:rPr>
                <w:sz w:val="20"/>
                <w:szCs w:val="20"/>
              </w:rPr>
            </w:pPr>
          </w:p>
        </w:tc>
        <w:tc>
          <w:tcPr>
            <w:tcW w:w="2162" w:type="dxa"/>
            <w:tcBorders>
              <w:top w:val="nil"/>
              <w:left w:val="nil"/>
              <w:bottom w:val="nil"/>
              <w:right w:val="nil"/>
            </w:tcBorders>
            <w:tcMar>
              <w:top w:w="43" w:type="dxa"/>
              <w:left w:w="72" w:type="dxa"/>
              <w:bottom w:w="43" w:type="dxa"/>
              <w:right w:w="72" w:type="dxa"/>
            </w:tcMar>
          </w:tcPr>
          <w:p w14:paraId="65796DFF" w14:textId="77777777" w:rsidR="00FA6E73" w:rsidRPr="00965D6A" w:rsidRDefault="00FA6E73" w:rsidP="00010333">
            <w:pPr>
              <w:tabs>
                <w:tab w:val="decimal" w:pos="432"/>
              </w:tabs>
              <w:rPr>
                <w:sz w:val="20"/>
                <w:szCs w:val="20"/>
              </w:rPr>
            </w:pPr>
          </w:p>
        </w:tc>
        <w:tc>
          <w:tcPr>
            <w:tcW w:w="2162" w:type="dxa"/>
            <w:tcBorders>
              <w:top w:val="nil"/>
              <w:left w:val="nil"/>
              <w:bottom w:val="nil"/>
              <w:right w:val="nil"/>
            </w:tcBorders>
            <w:tcMar>
              <w:top w:w="43" w:type="dxa"/>
              <w:left w:w="72" w:type="dxa"/>
              <w:bottom w:w="43" w:type="dxa"/>
              <w:right w:w="72" w:type="dxa"/>
            </w:tcMar>
          </w:tcPr>
          <w:p w14:paraId="7E7DC5A5" w14:textId="77777777" w:rsidR="00FA6E73" w:rsidRPr="00965D6A" w:rsidRDefault="00FA6E73" w:rsidP="00010333">
            <w:pPr>
              <w:tabs>
                <w:tab w:val="decimal" w:pos="432"/>
              </w:tabs>
              <w:rPr>
                <w:sz w:val="20"/>
                <w:szCs w:val="20"/>
              </w:rPr>
            </w:pPr>
          </w:p>
        </w:tc>
        <w:tc>
          <w:tcPr>
            <w:tcW w:w="2163" w:type="dxa"/>
            <w:tcBorders>
              <w:top w:val="nil"/>
              <w:left w:val="nil"/>
              <w:bottom w:val="nil"/>
              <w:right w:val="nil"/>
            </w:tcBorders>
          </w:tcPr>
          <w:p w14:paraId="3A144E5E" w14:textId="00B30D9C" w:rsidR="00FA6E73" w:rsidRPr="00965D6A" w:rsidRDefault="00FA6E73" w:rsidP="00010333">
            <w:pPr>
              <w:tabs>
                <w:tab w:val="decimal" w:pos="432"/>
              </w:tabs>
              <w:rPr>
                <w:sz w:val="20"/>
                <w:szCs w:val="20"/>
                <w:highlight w:val="yellow"/>
              </w:rPr>
            </w:pPr>
            <w:r w:rsidRPr="00965D6A">
              <w:rPr>
                <w:sz w:val="20"/>
                <w:szCs w:val="20"/>
              </w:rPr>
              <w:t>–0.00</w:t>
            </w:r>
            <w:r w:rsidR="00EA393F" w:rsidRPr="00965D6A">
              <w:rPr>
                <w:sz w:val="20"/>
                <w:szCs w:val="20"/>
              </w:rPr>
              <w:t>4*</w:t>
            </w:r>
            <w:r w:rsidRPr="00965D6A">
              <w:rPr>
                <w:sz w:val="20"/>
                <w:szCs w:val="20"/>
              </w:rPr>
              <w:t xml:space="preserve"> (–1</w:t>
            </w:r>
            <w:r w:rsidR="00EA393F" w:rsidRPr="00965D6A">
              <w:rPr>
                <w:sz w:val="20"/>
                <w:szCs w:val="20"/>
              </w:rPr>
              <w:t>.90</w:t>
            </w:r>
            <w:r w:rsidRPr="00965D6A">
              <w:rPr>
                <w:sz w:val="20"/>
                <w:szCs w:val="20"/>
              </w:rPr>
              <w:t>)</w:t>
            </w:r>
          </w:p>
        </w:tc>
      </w:tr>
      <w:tr w:rsidR="00965D6A" w:rsidRPr="00965D6A" w14:paraId="5CCC31D8" w14:textId="77777777" w:rsidTr="00F47CC8">
        <w:trPr>
          <w:trHeight w:val="34"/>
        </w:trPr>
        <w:tc>
          <w:tcPr>
            <w:tcW w:w="2970" w:type="dxa"/>
            <w:tcBorders>
              <w:top w:val="nil"/>
              <w:left w:val="nil"/>
              <w:bottom w:val="nil"/>
              <w:right w:val="nil"/>
            </w:tcBorders>
            <w:tcMar>
              <w:top w:w="43" w:type="dxa"/>
              <w:left w:w="72" w:type="dxa"/>
              <w:bottom w:w="43" w:type="dxa"/>
              <w:right w:w="72" w:type="dxa"/>
            </w:tcMar>
            <w:hideMark/>
          </w:tcPr>
          <w:p w14:paraId="3AB266F7" w14:textId="701DD9E2" w:rsidR="00FA6E73" w:rsidRPr="00965D6A" w:rsidRDefault="00FA6E73" w:rsidP="00010333">
            <w:pPr>
              <w:rPr>
                <w:sz w:val="20"/>
                <w:szCs w:val="20"/>
              </w:rPr>
            </w:pPr>
            <w:r w:rsidRPr="00965D6A">
              <w:rPr>
                <w:sz w:val="20"/>
                <w:szCs w:val="20"/>
              </w:rPr>
              <w:t xml:space="preserve">     </w:t>
            </w:r>
            <w:r w:rsidR="00DB739D" w:rsidRPr="00965D6A">
              <w:rPr>
                <w:sz w:val="20"/>
                <w:szCs w:val="20"/>
              </w:rPr>
              <w:t>Jump20</w:t>
            </w:r>
            <w:r w:rsidR="009F1EB0" w:rsidRPr="00965D6A">
              <w:rPr>
                <w:sz w:val="20"/>
                <w:szCs w:val="20"/>
              </w:rPr>
              <w:t>to</w:t>
            </w:r>
            <w:r w:rsidR="00DB739D" w:rsidRPr="00965D6A">
              <w:rPr>
                <w:sz w:val="20"/>
                <w:szCs w:val="20"/>
              </w:rPr>
              <w:t>23</w:t>
            </w:r>
            <w:r w:rsidRPr="00965D6A">
              <w:rPr>
                <w:sz w:val="20"/>
                <w:szCs w:val="20"/>
              </w:rPr>
              <w:t xml:space="preserve"> x </w:t>
            </w:r>
            <m:oMath>
              <m:acc>
                <m:accPr>
                  <m:chr m:val="̅"/>
                  <m:ctrlPr>
                    <w:rPr>
                      <w:rFonts w:ascii="Cambria Math" w:hAnsi="Cambria Math" w:cs="Times New Roman"/>
                      <w:i/>
                      <w:sz w:val="20"/>
                      <w:szCs w:val="20"/>
                    </w:rPr>
                  </m:ctrlPr>
                </m:accPr>
                <m:e>
                  <m:r>
                    <m:rPr>
                      <m:sty m:val="p"/>
                    </m:rPr>
                    <w:rPr>
                      <w:rFonts w:ascii="Cambria Math" w:hAnsi="Cambria Math" w:cs="Times New Roman"/>
                      <w:sz w:val="20"/>
                      <w:szCs w:val="20"/>
                    </w:rPr>
                    <m:t>Rural</m:t>
                  </m:r>
                </m:e>
              </m:acc>
            </m:oMath>
          </w:p>
        </w:tc>
        <w:tc>
          <w:tcPr>
            <w:tcW w:w="1170" w:type="dxa"/>
            <w:tcBorders>
              <w:top w:val="nil"/>
              <w:left w:val="nil"/>
              <w:bottom w:val="nil"/>
              <w:right w:val="nil"/>
            </w:tcBorders>
            <w:tcMar>
              <w:top w:w="43" w:type="dxa"/>
              <w:left w:w="72" w:type="dxa"/>
              <w:bottom w:w="43" w:type="dxa"/>
              <w:right w:w="72" w:type="dxa"/>
            </w:tcMar>
            <w:hideMark/>
          </w:tcPr>
          <w:p w14:paraId="6924E7D2" w14:textId="77777777" w:rsidR="00FA6E73" w:rsidRPr="00965D6A" w:rsidRDefault="00034C1F" w:rsidP="00010333">
            <w:pPr>
              <w:rPr>
                <w:sz w:val="20"/>
                <w:szCs w:val="20"/>
              </w:rPr>
            </w:pPr>
            <m:oMathPara>
              <m:oMath>
                <m:sSub>
                  <m:sSubPr>
                    <m:ctrlPr>
                      <w:rPr>
                        <w:rFonts w:ascii="Cambria Math" w:hAnsi="Cambria Math"/>
                        <w:i/>
                        <w:iCs/>
                        <w:sz w:val="20"/>
                        <w:szCs w:val="20"/>
                      </w:rPr>
                    </m:ctrlPr>
                  </m:sSubPr>
                  <m:e>
                    <m:r>
                      <w:rPr>
                        <w:rFonts w:ascii="Cambria Math" w:hAnsi="Cambria Math"/>
                        <w:sz w:val="20"/>
                        <w:szCs w:val="20"/>
                      </w:rPr>
                      <m:t>γ</m:t>
                    </m:r>
                  </m:e>
                  <m:sub>
                    <m:r>
                      <w:rPr>
                        <w:rFonts w:ascii="Cambria Math" w:hAnsi="Cambria Math"/>
                        <w:sz w:val="20"/>
                        <w:szCs w:val="20"/>
                      </w:rPr>
                      <m:t>60</m:t>
                    </m:r>
                  </m:sub>
                </m:sSub>
              </m:oMath>
            </m:oMathPara>
          </w:p>
        </w:tc>
        <w:tc>
          <w:tcPr>
            <w:tcW w:w="2162" w:type="dxa"/>
            <w:tcBorders>
              <w:top w:val="nil"/>
              <w:left w:val="nil"/>
              <w:bottom w:val="nil"/>
              <w:right w:val="nil"/>
            </w:tcBorders>
            <w:tcMar>
              <w:top w:w="43" w:type="dxa"/>
              <w:left w:w="72" w:type="dxa"/>
              <w:bottom w:w="43" w:type="dxa"/>
              <w:right w:w="72" w:type="dxa"/>
            </w:tcMar>
          </w:tcPr>
          <w:p w14:paraId="47DE582D" w14:textId="77777777" w:rsidR="00FA6E73" w:rsidRPr="00965D6A" w:rsidRDefault="00FA6E73" w:rsidP="00010333">
            <w:pPr>
              <w:tabs>
                <w:tab w:val="decimal" w:pos="432"/>
              </w:tabs>
              <w:rPr>
                <w:sz w:val="20"/>
                <w:szCs w:val="20"/>
              </w:rPr>
            </w:pPr>
          </w:p>
        </w:tc>
        <w:tc>
          <w:tcPr>
            <w:tcW w:w="2162" w:type="dxa"/>
            <w:tcBorders>
              <w:top w:val="nil"/>
              <w:left w:val="nil"/>
              <w:bottom w:val="nil"/>
              <w:right w:val="nil"/>
            </w:tcBorders>
            <w:tcMar>
              <w:top w:w="43" w:type="dxa"/>
              <w:left w:w="72" w:type="dxa"/>
              <w:bottom w:w="43" w:type="dxa"/>
              <w:right w:w="72" w:type="dxa"/>
            </w:tcMar>
          </w:tcPr>
          <w:p w14:paraId="37E99DF9" w14:textId="77777777" w:rsidR="00FA6E73" w:rsidRPr="00965D6A" w:rsidRDefault="00FA6E73" w:rsidP="00010333">
            <w:pPr>
              <w:tabs>
                <w:tab w:val="decimal" w:pos="432"/>
              </w:tabs>
              <w:rPr>
                <w:sz w:val="20"/>
                <w:szCs w:val="20"/>
              </w:rPr>
            </w:pPr>
          </w:p>
        </w:tc>
        <w:tc>
          <w:tcPr>
            <w:tcW w:w="2162" w:type="dxa"/>
            <w:tcBorders>
              <w:top w:val="nil"/>
              <w:left w:val="nil"/>
              <w:bottom w:val="nil"/>
              <w:right w:val="nil"/>
            </w:tcBorders>
            <w:tcMar>
              <w:top w:w="43" w:type="dxa"/>
              <w:left w:w="72" w:type="dxa"/>
              <w:bottom w:w="43" w:type="dxa"/>
              <w:right w:w="72" w:type="dxa"/>
            </w:tcMar>
          </w:tcPr>
          <w:p w14:paraId="185E3B51" w14:textId="77777777" w:rsidR="00FA6E73" w:rsidRPr="00965D6A" w:rsidRDefault="00FA6E73" w:rsidP="00010333">
            <w:pPr>
              <w:tabs>
                <w:tab w:val="decimal" w:pos="432"/>
              </w:tabs>
              <w:rPr>
                <w:sz w:val="20"/>
                <w:szCs w:val="20"/>
              </w:rPr>
            </w:pPr>
          </w:p>
        </w:tc>
        <w:tc>
          <w:tcPr>
            <w:tcW w:w="2163" w:type="dxa"/>
            <w:tcBorders>
              <w:top w:val="nil"/>
              <w:left w:val="nil"/>
              <w:bottom w:val="nil"/>
              <w:right w:val="nil"/>
            </w:tcBorders>
          </w:tcPr>
          <w:p w14:paraId="72164E71" w14:textId="65CC0AA9" w:rsidR="00FA6E73" w:rsidRPr="00965D6A" w:rsidRDefault="00FA6E73" w:rsidP="00010333">
            <w:pPr>
              <w:tabs>
                <w:tab w:val="decimal" w:pos="432"/>
              </w:tabs>
              <w:rPr>
                <w:sz w:val="20"/>
                <w:szCs w:val="20"/>
                <w:highlight w:val="yellow"/>
              </w:rPr>
            </w:pPr>
            <w:r w:rsidRPr="00965D6A">
              <w:rPr>
                <w:sz w:val="20"/>
                <w:szCs w:val="20"/>
              </w:rPr>
              <w:t>–0.02</w:t>
            </w:r>
            <w:r w:rsidR="00657389" w:rsidRPr="00965D6A">
              <w:rPr>
                <w:sz w:val="20"/>
                <w:szCs w:val="20"/>
              </w:rPr>
              <w:t>8</w:t>
            </w:r>
            <w:r w:rsidR="00EA393F" w:rsidRPr="00965D6A">
              <w:rPr>
                <w:sz w:val="20"/>
                <w:szCs w:val="20"/>
              </w:rPr>
              <w:t>*</w:t>
            </w:r>
            <w:r w:rsidRPr="00965D6A">
              <w:rPr>
                <w:sz w:val="20"/>
                <w:szCs w:val="20"/>
              </w:rPr>
              <w:t>* (–</w:t>
            </w:r>
            <w:r w:rsidR="00657389" w:rsidRPr="00965D6A">
              <w:rPr>
                <w:sz w:val="20"/>
                <w:szCs w:val="20"/>
              </w:rPr>
              <w:t>2.29</w:t>
            </w:r>
            <w:r w:rsidRPr="00965D6A">
              <w:rPr>
                <w:sz w:val="20"/>
                <w:szCs w:val="20"/>
              </w:rPr>
              <w:t>)</w:t>
            </w:r>
          </w:p>
        </w:tc>
      </w:tr>
      <w:tr w:rsidR="00965D6A" w:rsidRPr="00965D6A" w14:paraId="18B4F7A8" w14:textId="77777777" w:rsidTr="00F47CC8">
        <w:trPr>
          <w:trHeight w:val="35"/>
        </w:trPr>
        <w:tc>
          <w:tcPr>
            <w:tcW w:w="2970" w:type="dxa"/>
            <w:tcBorders>
              <w:top w:val="nil"/>
              <w:left w:val="nil"/>
              <w:bottom w:val="nil"/>
              <w:right w:val="nil"/>
            </w:tcBorders>
            <w:tcMar>
              <w:top w:w="43" w:type="dxa"/>
              <w:left w:w="72" w:type="dxa"/>
              <w:bottom w:w="43" w:type="dxa"/>
              <w:right w:w="72" w:type="dxa"/>
            </w:tcMar>
          </w:tcPr>
          <w:p w14:paraId="20A121C8" w14:textId="77777777" w:rsidR="00FA6E73" w:rsidRPr="00965D6A" w:rsidRDefault="00FA6E73" w:rsidP="00010333">
            <w:pPr>
              <w:rPr>
                <w:i/>
                <w:iCs/>
                <w:sz w:val="20"/>
                <w:szCs w:val="20"/>
              </w:rPr>
            </w:pPr>
            <w:r w:rsidRPr="00965D6A">
              <w:rPr>
                <w:i/>
                <w:iCs/>
                <w:sz w:val="20"/>
                <w:szCs w:val="20"/>
              </w:rPr>
              <w:t>Variance components</w:t>
            </w:r>
          </w:p>
        </w:tc>
        <w:tc>
          <w:tcPr>
            <w:tcW w:w="1170" w:type="dxa"/>
            <w:tcBorders>
              <w:top w:val="nil"/>
              <w:left w:val="nil"/>
              <w:bottom w:val="nil"/>
              <w:right w:val="nil"/>
            </w:tcBorders>
            <w:tcMar>
              <w:top w:w="43" w:type="dxa"/>
              <w:left w:w="72" w:type="dxa"/>
              <w:bottom w:w="43" w:type="dxa"/>
              <w:right w:w="72" w:type="dxa"/>
            </w:tcMar>
          </w:tcPr>
          <w:p w14:paraId="6099C83A" w14:textId="77777777" w:rsidR="00FA6E73" w:rsidRPr="00965D6A" w:rsidRDefault="00FA6E73" w:rsidP="00010333">
            <w:pPr>
              <w:rPr>
                <w:sz w:val="20"/>
                <w:szCs w:val="20"/>
              </w:rPr>
            </w:pPr>
          </w:p>
        </w:tc>
        <w:tc>
          <w:tcPr>
            <w:tcW w:w="2162" w:type="dxa"/>
            <w:tcBorders>
              <w:top w:val="nil"/>
              <w:left w:val="nil"/>
              <w:bottom w:val="nil"/>
              <w:right w:val="nil"/>
            </w:tcBorders>
            <w:tcMar>
              <w:top w:w="43" w:type="dxa"/>
              <w:left w:w="72" w:type="dxa"/>
              <w:bottom w:w="43" w:type="dxa"/>
              <w:right w:w="72" w:type="dxa"/>
            </w:tcMar>
          </w:tcPr>
          <w:p w14:paraId="06A3395B" w14:textId="77777777" w:rsidR="00FA6E73" w:rsidRPr="00965D6A" w:rsidRDefault="00FA6E73" w:rsidP="00010333">
            <w:pPr>
              <w:tabs>
                <w:tab w:val="decimal" w:pos="432"/>
              </w:tabs>
              <w:rPr>
                <w:sz w:val="20"/>
                <w:szCs w:val="20"/>
              </w:rPr>
            </w:pPr>
          </w:p>
        </w:tc>
        <w:tc>
          <w:tcPr>
            <w:tcW w:w="2162" w:type="dxa"/>
            <w:tcBorders>
              <w:top w:val="nil"/>
              <w:left w:val="nil"/>
              <w:bottom w:val="nil"/>
              <w:right w:val="nil"/>
            </w:tcBorders>
            <w:tcMar>
              <w:top w:w="43" w:type="dxa"/>
              <w:left w:w="72" w:type="dxa"/>
              <w:bottom w:w="43" w:type="dxa"/>
              <w:right w:w="72" w:type="dxa"/>
            </w:tcMar>
          </w:tcPr>
          <w:p w14:paraId="3EDC1B32" w14:textId="77777777" w:rsidR="00FA6E73" w:rsidRPr="00965D6A" w:rsidRDefault="00FA6E73" w:rsidP="00010333">
            <w:pPr>
              <w:tabs>
                <w:tab w:val="decimal" w:pos="432"/>
              </w:tabs>
              <w:rPr>
                <w:sz w:val="20"/>
                <w:szCs w:val="20"/>
              </w:rPr>
            </w:pPr>
          </w:p>
        </w:tc>
        <w:tc>
          <w:tcPr>
            <w:tcW w:w="2162" w:type="dxa"/>
            <w:tcBorders>
              <w:top w:val="nil"/>
              <w:left w:val="nil"/>
              <w:bottom w:val="nil"/>
              <w:right w:val="nil"/>
            </w:tcBorders>
            <w:tcMar>
              <w:top w:w="43" w:type="dxa"/>
              <w:left w:w="72" w:type="dxa"/>
              <w:bottom w:w="43" w:type="dxa"/>
              <w:right w:w="72" w:type="dxa"/>
            </w:tcMar>
          </w:tcPr>
          <w:p w14:paraId="1D0C1D6A" w14:textId="77777777" w:rsidR="00FA6E73" w:rsidRPr="00965D6A" w:rsidRDefault="00FA6E73" w:rsidP="00010333">
            <w:pPr>
              <w:tabs>
                <w:tab w:val="decimal" w:pos="432"/>
              </w:tabs>
              <w:rPr>
                <w:sz w:val="20"/>
                <w:szCs w:val="20"/>
              </w:rPr>
            </w:pPr>
          </w:p>
        </w:tc>
        <w:tc>
          <w:tcPr>
            <w:tcW w:w="2163" w:type="dxa"/>
            <w:tcBorders>
              <w:top w:val="nil"/>
              <w:left w:val="nil"/>
              <w:bottom w:val="nil"/>
              <w:right w:val="nil"/>
            </w:tcBorders>
          </w:tcPr>
          <w:p w14:paraId="74D13396" w14:textId="77777777" w:rsidR="00FA6E73" w:rsidRPr="00965D6A" w:rsidRDefault="00FA6E73" w:rsidP="00010333">
            <w:pPr>
              <w:tabs>
                <w:tab w:val="decimal" w:pos="432"/>
              </w:tabs>
              <w:rPr>
                <w:sz w:val="20"/>
                <w:szCs w:val="20"/>
              </w:rPr>
            </w:pPr>
          </w:p>
        </w:tc>
      </w:tr>
      <w:tr w:rsidR="00965D6A" w:rsidRPr="00965D6A" w14:paraId="482F7B77" w14:textId="77777777" w:rsidTr="00F47CC8">
        <w:trPr>
          <w:trHeight w:val="35"/>
        </w:trPr>
        <w:tc>
          <w:tcPr>
            <w:tcW w:w="2970" w:type="dxa"/>
            <w:tcBorders>
              <w:top w:val="nil"/>
              <w:left w:val="nil"/>
              <w:bottom w:val="nil"/>
              <w:right w:val="nil"/>
            </w:tcBorders>
            <w:tcMar>
              <w:top w:w="43" w:type="dxa"/>
              <w:left w:w="72" w:type="dxa"/>
              <w:bottom w:w="43" w:type="dxa"/>
              <w:right w:w="72" w:type="dxa"/>
            </w:tcMar>
          </w:tcPr>
          <w:p w14:paraId="718DACBD" w14:textId="77777777" w:rsidR="00FA6E73" w:rsidRPr="00965D6A" w:rsidRDefault="00FA6E73" w:rsidP="00010333">
            <w:pPr>
              <w:rPr>
                <w:sz w:val="20"/>
                <w:szCs w:val="20"/>
              </w:rPr>
            </w:pPr>
            <w:r w:rsidRPr="00965D6A">
              <w:rPr>
                <w:sz w:val="20"/>
                <w:szCs w:val="20"/>
              </w:rPr>
              <w:t xml:space="preserve">     Var. intercept</w:t>
            </w:r>
          </w:p>
        </w:tc>
        <w:tc>
          <w:tcPr>
            <w:tcW w:w="1170" w:type="dxa"/>
            <w:tcBorders>
              <w:top w:val="nil"/>
              <w:left w:val="nil"/>
              <w:bottom w:val="nil"/>
              <w:right w:val="nil"/>
            </w:tcBorders>
            <w:tcMar>
              <w:top w:w="43" w:type="dxa"/>
              <w:left w:w="72" w:type="dxa"/>
              <w:bottom w:w="43" w:type="dxa"/>
              <w:right w:w="72" w:type="dxa"/>
            </w:tcMar>
          </w:tcPr>
          <w:p w14:paraId="6328BE27" w14:textId="77777777" w:rsidR="00FA6E73" w:rsidRPr="00965D6A" w:rsidRDefault="00034C1F" w:rsidP="00010333">
            <w:pPr>
              <w:rPr>
                <w:rFonts w:eastAsia="Calibri" w:cs="Times New Roman"/>
                <w:sz w:val="20"/>
                <w:szCs w:val="20"/>
              </w:rPr>
            </w:pPr>
            <m:oMathPara>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0</m:t>
                    </m:r>
                  </m:sub>
                  <m:sup>
                    <m:r>
                      <w:rPr>
                        <w:rFonts w:ascii="Cambria Math" w:hAnsi="Cambria Math"/>
                        <w:sz w:val="20"/>
                        <w:szCs w:val="20"/>
                      </w:rPr>
                      <m:t>2</m:t>
                    </m:r>
                  </m:sup>
                </m:sSubSup>
              </m:oMath>
            </m:oMathPara>
          </w:p>
        </w:tc>
        <w:tc>
          <w:tcPr>
            <w:tcW w:w="2162" w:type="dxa"/>
            <w:tcBorders>
              <w:top w:val="nil"/>
              <w:left w:val="nil"/>
              <w:bottom w:val="nil"/>
              <w:right w:val="nil"/>
            </w:tcBorders>
            <w:tcMar>
              <w:top w:w="43" w:type="dxa"/>
              <w:left w:w="72" w:type="dxa"/>
              <w:bottom w:w="43" w:type="dxa"/>
              <w:right w:w="72" w:type="dxa"/>
            </w:tcMar>
          </w:tcPr>
          <w:p w14:paraId="2D13C2CC" w14:textId="313F7682" w:rsidR="00FA6E73" w:rsidRPr="00965D6A" w:rsidRDefault="00FA6E73" w:rsidP="00010333">
            <w:pPr>
              <w:tabs>
                <w:tab w:val="decimal" w:pos="432"/>
              </w:tabs>
              <w:rPr>
                <w:sz w:val="20"/>
                <w:szCs w:val="20"/>
              </w:rPr>
            </w:pPr>
            <w:r w:rsidRPr="00965D6A">
              <w:rPr>
                <w:sz w:val="20"/>
                <w:szCs w:val="20"/>
              </w:rPr>
              <w:t>0.</w:t>
            </w:r>
            <w:r w:rsidR="003E7524" w:rsidRPr="00965D6A">
              <w:rPr>
                <w:sz w:val="20"/>
                <w:szCs w:val="20"/>
              </w:rPr>
              <w:t>174*** (15.38)</w:t>
            </w:r>
          </w:p>
        </w:tc>
        <w:tc>
          <w:tcPr>
            <w:tcW w:w="2162" w:type="dxa"/>
            <w:tcBorders>
              <w:top w:val="nil"/>
              <w:left w:val="nil"/>
              <w:bottom w:val="nil"/>
              <w:right w:val="nil"/>
            </w:tcBorders>
            <w:tcMar>
              <w:top w:w="43" w:type="dxa"/>
              <w:left w:w="72" w:type="dxa"/>
              <w:bottom w:w="43" w:type="dxa"/>
              <w:right w:w="72" w:type="dxa"/>
            </w:tcMar>
          </w:tcPr>
          <w:p w14:paraId="6A24E3C6" w14:textId="3A430ABE" w:rsidR="00FA6E73" w:rsidRPr="00965D6A" w:rsidRDefault="00FA6E73" w:rsidP="00010333">
            <w:pPr>
              <w:tabs>
                <w:tab w:val="decimal" w:pos="432"/>
              </w:tabs>
              <w:rPr>
                <w:sz w:val="20"/>
                <w:szCs w:val="20"/>
              </w:rPr>
            </w:pPr>
            <w:r w:rsidRPr="00965D6A">
              <w:rPr>
                <w:sz w:val="20"/>
                <w:szCs w:val="20"/>
              </w:rPr>
              <w:t>0.3</w:t>
            </w:r>
            <w:r w:rsidR="00B27EB4" w:rsidRPr="00965D6A">
              <w:rPr>
                <w:sz w:val="20"/>
                <w:szCs w:val="20"/>
              </w:rPr>
              <w:t>38***</w:t>
            </w:r>
            <w:r w:rsidRPr="00965D6A">
              <w:rPr>
                <w:sz w:val="20"/>
                <w:szCs w:val="20"/>
              </w:rPr>
              <w:t xml:space="preserve"> (</w:t>
            </w:r>
            <w:r w:rsidR="00B27EB4" w:rsidRPr="00965D6A">
              <w:rPr>
                <w:sz w:val="20"/>
                <w:szCs w:val="20"/>
              </w:rPr>
              <w:t>14.58</w:t>
            </w:r>
            <w:r w:rsidRPr="00965D6A">
              <w:rPr>
                <w:sz w:val="20"/>
                <w:szCs w:val="20"/>
              </w:rPr>
              <w:t>)</w:t>
            </w:r>
          </w:p>
        </w:tc>
        <w:tc>
          <w:tcPr>
            <w:tcW w:w="2162" w:type="dxa"/>
            <w:tcBorders>
              <w:top w:val="nil"/>
              <w:left w:val="nil"/>
              <w:bottom w:val="nil"/>
              <w:right w:val="nil"/>
            </w:tcBorders>
            <w:tcMar>
              <w:top w:w="43" w:type="dxa"/>
              <w:left w:w="72" w:type="dxa"/>
              <w:bottom w:w="43" w:type="dxa"/>
              <w:right w:w="72" w:type="dxa"/>
            </w:tcMar>
          </w:tcPr>
          <w:p w14:paraId="244310B4" w14:textId="12F86CFF" w:rsidR="00FA6E73" w:rsidRPr="00965D6A" w:rsidRDefault="00FA6E73" w:rsidP="00010333">
            <w:pPr>
              <w:tabs>
                <w:tab w:val="decimal" w:pos="432"/>
              </w:tabs>
              <w:rPr>
                <w:sz w:val="20"/>
                <w:szCs w:val="20"/>
              </w:rPr>
            </w:pPr>
            <w:r w:rsidRPr="00965D6A">
              <w:rPr>
                <w:sz w:val="20"/>
                <w:szCs w:val="20"/>
              </w:rPr>
              <w:t>0.3</w:t>
            </w:r>
            <w:r w:rsidR="003C120B" w:rsidRPr="00965D6A">
              <w:rPr>
                <w:sz w:val="20"/>
                <w:szCs w:val="20"/>
              </w:rPr>
              <w:t>24***</w:t>
            </w:r>
            <w:r w:rsidRPr="00965D6A">
              <w:rPr>
                <w:sz w:val="20"/>
                <w:szCs w:val="20"/>
              </w:rPr>
              <w:t xml:space="preserve"> (</w:t>
            </w:r>
            <w:r w:rsidR="003C120B" w:rsidRPr="00965D6A">
              <w:rPr>
                <w:sz w:val="20"/>
                <w:szCs w:val="20"/>
              </w:rPr>
              <w:t>14.46</w:t>
            </w:r>
            <w:r w:rsidRPr="00965D6A">
              <w:rPr>
                <w:sz w:val="20"/>
                <w:szCs w:val="20"/>
              </w:rPr>
              <w:t>)</w:t>
            </w:r>
          </w:p>
        </w:tc>
        <w:tc>
          <w:tcPr>
            <w:tcW w:w="2163" w:type="dxa"/>
            <w:tcBorders>
              <w:top w:val="nil"/>
              <w:left w:val="nil"/>
              <w:bottom w:val="nil"/>
              <w:right w:val="nil"/>
            </w:tcBorders>
          </w:tcPr>
          <w:p w14:paraId="3BE480D7" w14:textId="69E869A4" w:rsidR="00FA6E73" w:rsidRPr="00965D6A" w:rsidRDefault="00FA6E73" w:rsidP="00010333">
            <w:pPr>
              <w:tabs>
                <w:tab w:val="decimal" w:pos="432"/>
              </w:tabs>
              <w:rPr>
                <w:sz w:val="20"/>
                <w:szCs w:val="20"/>
              </w:rPr>
            </w:pPr>
            <w:r w:rsidRPr="00965D6A">
              <w:rPr>
                <w:sz w:val="20"/>
                <w:szCs w:val="20"/>
              </w:rPr>
              <w:t>0.3</w:t>
            </w:r>
            <w:r w:rsidR="00657389" w:rsidRPr="00965D6A">
              <w:rPr>
                <w:sz w:val="20"/>
                <w:szCs w:val="20"/>
              </w:rPr>
              <w:t>24***</w:t>
            </w:r>
            <w:r w:rsidRPr="00965D6A">
              <w:rPr>
                <w:sz w:val="20"/>
                <w:szCs w:val="20"/>
              </w:rPr>
              <w:t xml:space="preserve"> (</w:t>
            </w:r>
            <w:r w:rsidR="00657389" w:rsidRPr="00965D6A">
              <w:rPr>
                <w:sz w:val="20"/>
                <w:szCs w:val="20"/>
              </w:rPr>
              <w:t>14.47</w:t>
            </w:r>
            <w:r w:rsidRPr="00965D6A">
              <w:rPr>
                <w:sz w:val="20"/>
                <w:szCs w:val="20"/>
              </w:rPr>
              <w:t>)</w:t>
            </w:r>
          </w:p>
        </w:tc>
      </w:tr>
      <w:tr w:rsidR="00965D6A" w:rsidRPr="00965D6A" w14:paraId="38822F67" w14:textId="77777777" w:rsidTr="00F47CC8">
        <w:trPr>
          <w:trHeight w:val="35"/>
        </w:trPr>
        <w:tc>
          <w:tcPr>
            <w:tcW w:w="2970" w:type="dxa"/>
            <w:tcBorders>
              <w:top w:val="nil"/>
              <w:left w:val="nil"/>
              <w:bottom w:val="nil"/>
              <w:right w:val="nil"/>
            </w:tcBorders>
            <w:tcMar>
              <w:top w:w="43" w:type="dxa"/>
              <w:left w:w="72" w:type="dxa"/>
              <w:bottom w:w="43" w:type="dxa"/>
              <w:right w:w="72" w:type="dxa"/>
            </w:tcMar>
            <w:hideMark/>
          </w:tcPr>
          <w:p w14:paraId="60A06962" w14:textId="0A3E7F79" w:rsidR="00FA6E73" w:rsidRPr="00965D6A" w:rsidRDefault="00FA6E73" w:rsidP="00010333">
            <w:pPr>
              <w:rPr>
                <w:sz w:val="20"/>
                <w:szCs w:val="20"/>
              </w:rPr>
            </w:pPr>
            <w:r w:rsidRPr="00965D6A">
              <w:rPr>
                <w:sz w:val="20"/>
                <w:szCs w:val="20"/>
              </w:rPr>
              <w:t xml:space="preserve">     Var. Trend</w:t>
            </w:r>
            <w:r w:rsidR="00DB739D" w:rsidRPr="00965D6A">
              <w:rPr>
                <w:sz w:val="20"/>
                <w:szCs w:val="20"/>
              </w:rPr>
              <w:t>10</w:t>
            </w:r>
            <w:r w:rsidR="009F1EB0" w:rsidRPr="00965D6A">
              <w:rPr>
                <w:sz w:val="20"/>
                <w:szCs w:val="20"/>
              </w:rPr>
              <w:t>to</w:t>
            </w:r>
            <w:r w:rsidR="00DB739D" w:rsidRPr="00965D6A">
              <w:rPr>
                <w:sz w:val="20"/>
                <w:szCs w:val="20"/>
              </w:rPr>
              <w:t>19</w:t>
            </w:r>
          </w:p>
        </w:tc>
        <w:tc>
          <w:tcPr>
            <w:tcW w:w="1170" w:type="dxa"/>
            <w:tcBorders>
              <w:top w:val="nil"/>
              <w:left w:val="nil"/>
              <w:bottom w:val="nil"/>
              <w:right w:val="nil"/>
            </w:tcBorders>
            <w:tcMar>
              <w:top w:w="43" w:type="dxa"/>
              <w:left w:w="72" w:type="dxa"/>
              <w:bottom w:w="43" w:type="dxa"/>
              <w:right w:w="72" w:type="dxa"/>
            </w:tcMar>
            <w:hideMark/>
          </w:tcPr>
          <w:p w14:paraId="04F7B6B0" w14:textId="77777777" w:rsidR="00FA6E73" w:rsidRPr="00965D6A" w:rsidRDefault="00034C1F" w:rsidP="00010333">
            <w:pPr>
              <w:rPr>
                <w:sz w:val="20"/>
                <w:szCs w:val="20"/>
              </w:rPr>
            </w:pPr>
            <m:oMathPara>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1</m:t>
                    </m:r>
                  </m:sub>
                  <m:sup>
                    <m:r>
                      <w:rPr>
                        <w:rFonts w:ascii="Cambria Math" w:hAnsi="Cambria Math"/>
                        <w:sz w:val="20"/>
                        <w:szCs w:val="20"/>
                      </w:rPr>
                      <m:t>2</m:t>
                    </m:r>
                  </m:sup>
                </m:sSubSup>
              </m:oMath>
            </m:oMathPara>
          </w:p>
        </w:tc>
        <w:tc>
          <w:tcPr>
            <w:tcW w:w="2162" w:type="dxa"/>
            <w:tcBorders>
              <w:top w:val="nil"/>
              <w:left w:val="nil"/>
              <w:bottom w:val="nil"/>
              <w:right w:val="nil"/>
            </w:tcBorders>
            <w:tcMar>
              <w:top w:w="43" w:type="dxa"/>
              <w:left w:w="72" w:type="dxa"/>
              <w:bottom w:w="43" w:type="dxa"/>
              <w:right w:w="72" w:type="dxa"/>
            </w:tcMar>
          </w:tcPr>
          <w:p w14:paraId="2E282880" w14:textId="77777777" w:rsidR="00FA6E73" w:rsidRPr="00965D6A" w:rsidRDefault="00FA6E73" w:rsidP="00010333">
            <w:pPr>
              <w:tabs>
                <w:tab w:val="decimal" w:pos="432"/>
              </w:tabs>
              <w:rPr>
                <w:sz w:val="20"/>
                <w:szCs w:val="20"/>
              </w:rPr>
            </w:pPr>
          </w:p>
        </w:tc>
        <w:tc>
          <w:tcPr>
            <w:tcW w:w="2162" w:type="dxa"/>
            <w:tcBorders>
              <w:top w:val="nil"/>
              <w:left w:val="nil"/>
              <w:bottom w:val="nil"/>
              <w:right w:val="nil"/>
            </w:tcBorders>
            <w:tcMar>
              <w:top w:w="43" w:type="dxa"/>
              <w:left w:w="72" w:type="dxa"/>
              <w:bottom w:w="43" w:type="dxa"/>
              <w:right w:w="72" w:type="dxa"/>
            </w:tcMar>
          </w:tcPr>
          <w:p w14:paraId="55A67092" w14:textId="0EDA39BC" w:rsidR="00FA6E73" w:rsidRPr="00965D6A" w:rsidRDefault="00FA6E73" w:rsidP="00010333">
            <w:pPr>
              <w:tabs>
                <w:tab w:val="decimal" w:pos="432"/>
              </w:tabs>
              <w:rPr>
                <w:sz w:val="20"/>
                <w:szCs w:val="20"/>
              </w:rPr>
            </w:pPr>
            <w:r w:rsidRPr="00965D6A">
              <w:rPr>
                <w:sz w:val="20"/>
                <w:szCs w:val="20"/>
              </w:rPr>
              <w:t>0.00</w:t>
            </w:r>
            <w:r w:rsidR="00A3368A" w:rsidRPr="00965D6A">
              <w:rPr>
                <w:sz w:val="20"/>
                <w:szCs w:val="20"/>
              </w:rPr>
              <w:t>6***</w:t>
            </w:r>
            <w:r w:rsidRPr="00965D6A">
              <w:rPr>
                <w:sz w:val="20"/>
                <w:szCs w:val="20"/>
              </w:rPr>
              <w:t xml:space="preserve"> (</w:t>
            </w:r>
            <w:r w:rsidR="00A3368A" w:rsidRPr="00965D6A">
              <w:rPr>
                <w:sz w:val="20"/>
                <w:szCs w:val="20"/>
              </w:rPr>
              <w:t>12.39</w:t>
            </w:r>
            <w:r w:rsidRPr="00965D6A">
              <w:rPr>
                <w:sz w:val="20"/>
                <w:szCs w:val="20"/>
              </w:rPr>
              <w:t>)</w:t>
            </w:r>
          </w:p>
        </w:tc>
        <w:tc>
          <w:tcPr>
            <w:tcW w:w="2162" w:type="dxa"/>
            <w:tcBorders>
              <w:top w:val="nil"/>
              <w:left w:val="nil"/>
              <w:bottom w:val="nil"/>
              <w:right w:val="nil"/>
            </w:tcBorders>
            <w:tcMar>
              <w:top w:w="43" w:type="dxa"/>
              <w:left w:w="72" w:type="dxa"/>
              <w:bottom w:w="43" w:type="dxa"/>
              <w:right w:w="72" w:type="dxa"/>
            </w:tcMar>
          </w:tcPr>
          <w:p w14:paraId="6D39621C" w14:textId="7E470481" w:rsidR="00FA6E73" w:rsidRPr="00965D6A" w:rsidRDefault="00FA6E73" w:rsidP="00010333">
            <w:pPr>
              <w:tabs>
                <w:tab w:val="decimal" w:pos="432"/>
              </w:tabs>
              <w:rPr>
                <w:sz w:val="20"/>
                <w:szCs w:val="20"/>
              </w:rPr>
            </w:pPr>
            <w:r w:rsidRPr="00965D6A">
              <w:rPr>
                <w:sz w:val="20"/>
                <w:szCs w:val="20"/>
              </w:rPr>
              <w:t>0.00</w:t>
            </w:r>
            <w:r w:rsidR="008C3FB2" w:rsidRPr="00965D6A">
              <w:rPr>
                <w:sz w:val="20"/>
                <w:szCs w:val="20"/>
              </w:rPr>
              <w:t>6***</w:t>
            </w:r>
            <w:r w:rsidRPr="00965D6A">
              <w:rPr>
                <w:sz w:val="20"/>
                <w:szCs w:val="20"/>
              </w:rPr>
              <w:t xml:space="preserve"> (</w:t>
            </w:r>
            <w:r w:rsidR="008C3FB2" w:rsidRPr="00965D6A">
              <w:rPr>
                <w:sz w:val="20"/>
                <w:szCs w:val="20"/>
              </w:rPr>
              <w:t>12.38</w:t>
            </w:r>
            <w:r w:rsidRPr="00965D6A">
              <w:rPr>
                <w:sz w:val="20"/>
                <w:szCs w:val="20"/>
              </w:rPr>
              <w:t>)</w:t>
            </w:r>
          </w:p>
        </w:tc>
        <w:tc>
          <w:tcPr>
            <w:tcW w:w="2163" w:type="dxa"/>
            <w:tcBorders>
              <w:top w:val="nil"/>
              <w:left w:val="nil"/>
              <w:bottom w:val="nil"/>
              <w:right w:val="nil"/>
            </w:tcBorders>
          </w:tcPr>
          <w:p w14:paraId="4D75BA8A" w14:textId="29BA1DE8" w:rsidR="00FA6E73" w:rsidRPr="00965D6A" w:rsidRDefault="00FA6E73" w:rsidP="00010333">
            <w:pPr>
              <w:tabs>
                <w:tab w:val="decimal" w:pos="432"/>
              </w:tabs>
              <w:rPr>
                <w:sz w:val="20"/>
                <w:szCs w:val="20"/>
              </w:rPr>
            </w:pPr>
            <w:r w:rsidRPr="00965D6A">
              <w:rPr>
                <w:sz w:val="20"/>
                <w:szCs w:val="20"/>
              </w:rPr>
              <w:t>0.00</w:t>
            </w:r>
            <w:r w:rsidR="00657389" w:rsidRPr="00965D6A">
              <w:rPr>
                <w:sz w:val="20"/>
                <w:szCs w:val="20"/>
              </w:rPr>
              <w:t>6</w:t>
            </w:r>
            <w:r w:rsidR="00E626AA" w:rsidRPr="00965D6A">
              <w:rPr>
                <w:sz w:val="20"/>
                <w:szCs w:val="20"/>
              </w:rPr>
              <w:t>***</w:t>
            </w:r>
            <w:r w:rsidRPr="00965D6A">
              <w:rPr>
                <w:sz w:val="20"/>
                <w:szCs w:val="20"/>
              </w:rPr>
              <w:t xml:space="preserve"> (</w:t>
            </w:r>
            <w:r w:rsidR="00E626AA" w:rsidRPr="00965D6A">
              <w:rPr>
                <w:sz w:val="20"/>
                <w:szCs w:val="20"/>
              </w:rPr>
              <w:t>12.35</w:t>
            </w:r>
            <w:r w:rsidRPr="00965D6A">
              <w:rPr>
                <w:sz w:val="20"/>
                <w:szCs w:val="20"/>
              </w:rPr>
              <w:t>)</w:t>
            </w:r>
          </w:p>
        </w:tc>
      </w:tr>
      <w:tr w:rsidR="00965D6A" w:rsidRPr="00965D6A" w14:paraId="62442D35" w14:textId="77777777" w:rsidTr="00F47CC8">
        <w:trPr>
          <w:trHeight w:val="34"/>
        </w:trPr>
        <w:tc>
          <w:tcPr>
            <w:tcW w:w="2970" w:type="dxa"/>
            <w:tcBorders>
              <w:top w:val="nil"/>
              <w:left w:val="nil"/>
              <w:bottom w:val="nil"/>
              <w:right w:val="nil"/>
            </w:tcBorders>
            <w:tcMar>
              <w:top w:w="43" w:type="dxa"/>
              <w:left w:w="72" w:type="dxa"/>
              <w:bottom w:w="43" w:type="dxa"/>
              <w:right w:w="72" w:type="dxa"/>
            </w:tcMar>
            <w:hideMark/>
          </w:tcPr>
          <w:p w14:paraId="75615224" w14:textId="641A1EE0" w:rsidR="00FA6E73" w:rsidRPr="00965D6A" w:rsidRDefault="00FA6E73" w:rsidP="00010333">
            <w:pPr>
              <w:rPr>
                <w:sz w:val="20"/>
                <w:szCs w:val="20"/>
              </w:rPr>
            </w:pPr>
            <w:r w:rsidRPr="00965D6A">
              <w:rPr>
                <w:sz w:val="20"/>
                <w:szCs w:val="20"/>
              </w:rPr>
              <w:t xml:space="preserve">     Var. </w:t>
            </w:r>
            <w:r w:rsidR="00DB739D" w:rsidRPr="00965D6A">
              <w:rPr>
                <w:sz w:val="20"/>
                <w:szCs w:val="20"/>
              </w:rPr>
              <w:t>Jump20</w:t>
            </w:r>
            <w:r w:rsidR="009F1EB0" w:rsidRPr="00965D6A">
              <w:rPr>
                <w:sz w:val="20"/>
                <w:szCs w:val="20"/>
              </w:rPr>
              <w:t>to</w:t>
            </w:r>
            <w:r w:rsidR="00DB739D" w:rsidRPr="00965D6A">
              <w:rPr>
                <w:sz w:val="20"/>
                <w:szCs w:val="20"/>
              </w:rPr>
              <w:t>23</w:t>
            </w:r>
          </w:p>
        </w:tc>
        <w:tc>
          <w:tcPr>
            <w:tcW w:w="1170" w:type="dxa"/>
            <w:tcBorders>
              <w:top w:val="nil"/>
              <w:left w:val="nil"/>
              <w:bottom w:val="nil"/>
              <w:right w:val="nil"/>
            </w:tcBorders>
            <w:tcMar>
              <w:top w:w="43" w:type="dxa"/>
              <w:left w:w="72" w:type="dxa"/>
              <w:bottom w:w="43" w:type="dxa"/>
              <w:right w:w="72" w:type="dxa"/>
            </w:tcMar>
            <w:hideMark/>
          </w:tcPr>
          <w:p w14:paraId="3199131C" w14:textId="77777777" w:rsidR="00FA6E73" w:rsidRPr="00965D6A" w:rsidRDefault="00034C1F" w:rsidP="00010333">
            <w:pPr>
              <w:rPr>
                <w:sz w:val="20"/>
                <w:szCs w:val="20"/>
              </w:rPr>
            </w:pPr>
            <m:oMathPara>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2</m:t>
                    </m:r>
                  </m:sub>
                  <m:sup>
                    <m:r>
                      <w:rPr>
                        <w:rFonts w:ascii="Cambria Math" w:hAnsi="Cambria Math"/>
                        <w:sz w:val="20"/>
                        <w:szCs w:val="20"/>
                      </w:rPr>
                      <m:t>2</m:t>
                    </m:r>
                  </m:sup>
                </m:sSubSup>
              </m:oMath>
            </m:oMathPara>
          </w:p>
        </w:tc>
        <w:tc>
          <w:tcPr>
            <w:tcW w:w="2162" w:type="dxa"/>
            <w:tcBorders>
              <w:top w:val="nil"/>
              <w:left w:val="nil"/>
              <w:bottom w:val="nil"/>
              <w:right w:val="nil"/>
            </w:tcBorders>
            <w:tcMar>
              <w:top w:w="43" w:type="dxa"/>
              <w:left w:w="72" w:type="dxa"/>
              <w:bottom w:w="43" w:type="dxa"/>
              <w:right w:w="72" w:type="dxa"/>
            </w:tcMar>
          </w:tcPr>
          <w:p w14:paraId="587EDF87" w14:textId="77777777" w:rsidR="00FA6E73" w:rsidRPr="00965D6A" w:rsidRDefault="00FA6E73" w:rsidP="00010333">
            <w:pPr>
              <w:tabs>
                <w:tab w:val="decimal" w:pos="432"/>
              </w:tabs>
              <w:rPr>
                <w:sz w:val="20"/>
                <w:szCs w:val="20"/>
              </w:rPr>
            </w:pPr>
          </w:p>
        </w:tc>
        <w:tc>
          <w:tcPr>
            <w:tcW w:w="2162" w:type="dxa"/>
            <w:tcBorders>
              <w:top w:val="nil"/>
              <w:left w:val="nil"/>
              <w:bottom w:val="nil"/>
              <w:right w:val="nil"/>
            </w:tcBorders>
            <w:tcMar>
              <w:top w:w="43" w:type="dxa"/>
              <w:left w:w="72" w:type="dxa"/>
              <w:bottom w:w="43" w:type="dxa"/>
              <w:right w:w="72" w:type="dxa"/>
            </w:tcMar>
          </w:tcPr>
          <w:p w14:paraId="16522D64" w14:textId="0102C0E8" w:rsidR="00FA6E73" w:rsidRPr="00965D6A" w:rsidRDefault="00FA6E73" w:rsidP="00010333">
            <w:pPr>
              <w:tabs>
                <w:tab w:val="decimal" w:pos="432"/>
              </w:tabs>
              <w:rPr>
                <w:sz w:val="20"/>
                <w:szCs w:val="20"/>
              </w:rPr>
            </w:pPr>
            <w:r w:rsidRPr="00965D6A">
              <w:rPr>
                <w:sz w:val="20"/>
                <w:szCs w:val="20"/>
              </w:rPr>
              <w:t>0.</w:t>
            </w:r>
            <w:r w:rsidR="00A3368A" w:rsidRPr="00965D6A">
              <w:rPr>
                <w:sz w:val="20"/>
                <w:szCs w:val="20"/>
              </w:rPr>
              <w:t>236***</w:t>
            </w:r>
            <w:r w:rsidRPr="00965D6A">
              <w:rPr>
                <w:sz w:val="20"/>
                <w:szCs w:val="20"/>
              </w:rPr>
              <w:t xml:space="preserve"> </w:t>
            </w:r>
            <w:r w:rsidR="00373AC0" w:rsidRPr="00965D6A">
              <w:rPr>
                <w:sz w:val="20"/>
                <w:szCs w:val="20"/>
              </w:rPr>
              <w:t>(</w:t>
            </w:r>
            <w:r w:rsidR="00A3368A" w:rsidRPr="00965D6A">
              <w:rPr>
                <w:sz w:val="20"/>
                <w:szCs w:val="20"/>
              </w:rPr>
              <w:t>11.49</w:t>
            </w:r>
            <w:r w:rsidRPr="00965D6A">
              <w:rPr>
                <w:sz w:val="20"/>
                <w:szCs w:val="20"/>
              </w:rPr>
              <w:t>)</w:t>
            </w:r>
          </w:p>
        </w:tc>
        <w:tc>
          <w:tcPr>
            <w:tcW w:w="2162" w:type="dxa"/>
            <w:tcBorders>
              <w:top w:val="nil"/>
              <w:left w:val="nil"/>
              <w:bottom w:val="nil"/>
              <w:right w:val="nil"/>
            </w:tcBorders>
            <w:tcMar>
              <w:top w:w="43" w:type="dxa"/>
              <w:left w:w="72" w:type="dxa"/>
              <w:bottom w:w="43" w:type="dxa"/>
              <w:right w:w="72" w:type="dxa"/>
            </w:tcMar>
          </w:tcPr>
          <w:p w14:paraId="69A405A8" w14:textId="565A84BF" w:rsidR="00FA6E73" w:rsidRPr="00965D6A" w:rsidRDefault="00FA6E73" w:rsidP="00010333">
            <w:pPr>
              <w:tabs>
                <w:tab w:val="decimal" w:pos="432"/>
              </w:tabs>
              <w:rPr>
                <w:sz w:val="20"/>
                <w:szCs w:val="20"/>
              </w:rPr>
            </w:pPr>
            <w:r w:rsidRPr="00965D6A">
              <w:rPr>
                <w:sz w:val="20"/>
                <w:szCs w:val="20"/>
              </w:rPr>
              <w:t>0.</w:t>
            </w:r>
            <w:r w:rsidR="008C3FB2" w:rsidRPr="00965D6A">
              <w:rPr>
                <w:sz w:val="20"/>
                <w:szCs w:val="20"/>
              </w:rPr>
              <w:t>235***</w:t>
            </w:r>
            <w:r w:rsidRPr="00965D6A">
              <w:rPr>
                <w:sz w:val="20"/>
                <w:szCs w:val="20"/>
              </w:rPr>
              <w:t xml:space="preserve"> (</w:t>
            </w:r>
            <w:r w:rsidR="008C3FB2" w:rsidRPr="00965D6A">
              <w:rPr>
                <w:sz w:val="20"/>
                <w:szCs w:val="20"/>
              </w:rPr>
              <w:t>11.48</w:t>
            </w:r>
            <w:r w:rsidRPr="00965D6A">
              <w:rPr>
                <w:sz w:val="20"/>
                <w:szCs w:val="20"/>
              </w:rPr>
              <w:t>)</w:t>
            </w:r>
          </w:p>
        </w:tc>
        <w:tc>
          <w:tcPr>
            <w:tcW w:w="2163" w:type="dxa"/>
            <w:tcBorders>
              <w:top w:val="nil"/>
              <w:left w:val="nil"/>
              <w:bottom w:val="nil"/>
              <w:right w:val="nil"/>
            </w:tcBorders>
          </w:tcPr>
          <w:p w14:paraId="5479DDF0" w14:textId="12DCE98B" w:rsidR="00FA6E73" w:rsidRPr="00965D6A" w:rsidRDefault="00FA6E73" w:rsidP="00010333">
            <w:pPr>
              <w:tabs>
                <w:tab w:val="decimal" w:pos="432"/>
              </w:tabs>
              <w:rPr>
                <w:sz w:val="20"/>
                <w:szCs w:val="20"/>
              </w:rPr>
            </w:pPr>
            <w:r w:rsidRPr="00965D6A">
              <w:rPr>
                <w:sz w:val="20"/>
                <w:szCs w:val="20"/>
              </w:rPr>
              <w:t>0.</w:t>
            </w:r>
            <w:r w:rsidR="00E626AA" w:rsidRPr="00965D6A">
              <w:rPr>
                <w:sz w:val="20"/>
                <w:szCs w:val="20"/>
              </w:rPr>
              <w:t>232***</w:t>
            </w:r>
            <w:r w:rsidRPr="00965D6A">
              <w:rPr>
                <w:sz w:val="20"/>
                <w:szCs w:val="20"/>
              </w:rPr>
              <w:t xml:space="preserve"> (</w:t>
            </w:r>
            <w:r w:rsidR="00E626AA" w:rsidRPr="00965D6A">
              <w:rPr>
                <w:sz w:val="20"/>
                <w:szCs w:val="20"/>
              </w:rPr>
              <w:t>11.42</w:t>
            </w:r>
            <w:r w:rsidRPr="00965D6A">
              <w:rPr>
                <w:sz w:val="20"/>
                <w:szCs w:val="20"/>
              </w:rPr>
              <w:t>)</w:t>
            </w:r>
          </w:p>
        </w:tc>
      </w:tr>
      <w:tr w:rsidR="00965D6A" w:rsidRPr="00965D6A" w14:paraId="265C3CAA" w14:textId="77777777" w:rsidTr="00F47CC8">
        <w:trPr>
          <w:trHeight w:val="34"/>
        </w:trPr>
        <w:tc>
          <w:tcPr>
            <w:tcW w:w="2970" w:type="dxa"/>
            <w:tcBorders>
              <w:top w:val="nil"/>
              <w:left w:val="nil"/>
              <w:bottom w:val="nil"/>
              <w:right w:val="nil"/>
            </w:tcBorders>
            <w:tcMar>
              <w:top w:w="43" w:type="dxa"/>
              <w:left w:w="72" w:type="dxa"/>
              <w:bottom w:w="43" w:type="dxa"/>
              <w:right w:w="72" w:type="dxa"/>
            </w:tcMar>
            <w:hideMark/>
          </w:tcPr>
          <w:p w14:paraId="6C872F1B" w14:textId="3FF83C55" w:rsidR="00FA6E73" w:rsidRPr="00965D6A" w:rsidRDefault="00FA6E73" w:rsidP="00010333">
            <w:pPr>
              <w:rPr>
                <w:sz w:val="20"/>
                <w:szCs w:val="20"/>
              </w:rPr>
            </w:pPr>
            <w:r w:rsidRPr="00965D6A">
              <w:rPr>
                <w:sz w:val="20"/>
                <w:szCs w:val="20"/>
              </w:rPr>
              <w:t xml:space="preserve">     Cov. Trend</w:t>
            </w:r>
            <w:r w:rsidR="00DB739D" w:rsidRPr="00965D6A">
              <w:rPr>
                <w:sz w:val="20"/>
                <w:szCs w:val="20"/>
              </w:rPr>
              <w:t>10</w:t>
            </w:r>
            <w:r w:rsidR="009F1EB0" w:rsidRPr="00965D6A">
              <w:rPr>
                <w:sz w:val="20"/>
                <w:szCs w:val="20"/>
              </w:rPr>
              <w:t>to</w:t>
            </w:r>
            <w:r w:rsidR="00DB739D" w:rsidRPr="00965D6A">
              <w:rPr>
                <w:sz w:val="20"/>
                <w:szCs w:val="20"/>
              </w:rPr>
              <w:t>19</w:t>
            </w:r>
            <w:r w:rsidRPr="00965D6A">
              <w:rPr>
                <w:sz w:val="20"/>
                <w:szCs w:val="20"/>
              </w:rPr>
              <w:t xml:space="preserve">, </w:t>
            </w:r>
            <w:r w:rsidR="00DB739D" w:rsidRPr="00965D6A">
              <w:rPr>
                <w:sz w:val="20"/>
                <w:szCs w:val="20"/>
              </w:rPr>
              <w:t>Jump20</w:t>
            </w:r>
            <w:r w:rsidR="009F1EB0" w:rsidRPr="00965D6A">
              <w:rPr>
                <w:sz w:val="20"/>
                <w:szCs w:val="20"/>
              </w:rPr>
              <w:t>to</w:t>
            </w:r>
            <w:r w:rsidR="00DB739D" w:rsidRPr="00965D6A">
              <w:rPr>
                <w:sz w:val="20"/>
                <w:szCs w:val="20"/>
              </w:rPr>
              <w:t>23</w:t>
            </w:r>
          </w:p>
        </w:tc>
        <w:tc>
          <w:tcPr>
            <w:tcW w:w="1170" w:type="dxa"/>
            <w:tcBorders>
              <w:top w:val="nil"/>
              <w:left w:val="nil"/>
              <w:bottom w:val="nil"/>
              <w:right w:val="nil"/>
            </w:tcBorders>
            <w:tcMar>
              <w:top w:w="43" w:type="dxa"/>
              <w:left w:w="72" w:type="dxa"/>
              <w:bottom w:w="43" w:type="dxa"/>
              <w:right w:w="72" w:type="dxa"/>
            </w:tcMar>
            <w:hideMark/>
          </w:tcPr>
          <w:p w14:paraId="19270B62" w14:textId="77777777" w:rsidR="00FA6E73" w:rsidRPr="00965D6A" w:rsidRDefault="00034C1F" w:rsidP="00010333">
            <w:pPr>
              <w:rPr>
                <w:sz w:val="20"/>
                <w:szCs w:val="20"/>
              </w:rPr>
            </w:pPr>
            <m:oMathPara>
              <m:oMath>
                <m:sSub>
                  <m:sSubPr>
                    <m:ctrlPr>
                      <w:rPr>
                        <w:rFonts w:ascii="Cambria Math" w:hAnsi="Cambria Math"/>
                        <w:i/>
                        <w:sz w:val="20"/>
                        <w:szCs w:val="20"/>
                      </w:rPr>
                    </m:ctrlPr>
                  </m:sSubPr>
                  <m:e>
                    <m:r>
                      <w:rPr>
                        <w:rFonts w:ascii="Cambria Math" w:hAnsi="Cambria Math"/>
                        <w:sz w:val="20"/>
                        <w:szCs w:val="20"/>
                      </w:rPr>
                      <m:t>σ</m:t>
                    </m:r>
                  </m:e>
                  <m:sub>
                    <m:r>
                      <w:rPr>
                        <w:rFonts w:ascii="Cambria Math" w:hAnsi="Cambria Math"/>
                        <w:sz w:val="20"/>
                        <w:szCs w:val="20"/>
                      </w:rPr>
                      <m:t>12</m:t>
                    </m:r>
                  </m:sub>
                </m:sSub>
              </m:oMath>
            </m:oMathPara>
          </w:p>
        </w:tc>
        <w:tc>
          <w:tcPr>
            <w:tcW w:w="2162" w:type="dxa"/>
            <w:tcBorders>
              <w:top w:val="nil"/>
              <w:left w:val="nil"/>
              <w:bottom w:val="nil"/>
              <w:right w:val="nil"/>
            </w:tcBorders>
            <w:tcMar>
              <w:top w:w="43" w:type="dxa"/>
              <w:left w:w="72" w:type="dxa"/>
              <w:bottom w:w="43" w:type="dxa"/>
              <w:right w:w="72" w:type="dxa"/>
            </w:tcMar>
          </w:tcPr>
          <w:p w14:paraId="09EC69B9" w14:textId="77777777" w:rsidR="00FA6E73" w:rsidRPr="00965D6A" w:rsidRDefault="00FA6E73" w:rsidP="00010333">
            <w:pPr>
              <w:tabs>
                <w:tab w:val="decimal" w:pos="432"/>
              </w:tabs>
              <w:rPr>
                <w:sz w:val="20"/>
                <w:szCs w:val="20"/>
              </w:rPr>
            </w:pPr>
          </w:p>
        </w:tc>
        <w:tc>
          <w:tcPr>
            <w:tcW w:w="2162" w:type="dxa"/>
            <w:tcBorders>
              <w:top w:val="nil"/>
              <w:left w:val="nil"/>
              <w:bottom w:val="nil"/>
              <w:right w:val="nil"/>
            </w:tcBorders>
            <w:tcMar>
              <w:top w:w="43" w:type="dxa"/>
              <w:left w:w="72" w:type="dxa"/>
              <w:bottom w:w="43" w:type="dxa"/>
              <w:right w:w="72" w:type="dxa"/>
            </w:tcMar>
          </w:tcPr>
          <w:p w14:paraId="4DA09DBF" w14:textId="020D7CF8" w:rsidR="00FA6E73" w:rsidRPr="00965D6A" w:rsidRDefault="00FA6E73" w:rsidP="00010333">
            <w:pPr>
              <w:tabs>
                <w:tab w:val="decimal" w:pos="432"/>
              </w:tabs>
              <w:rPr>
                <w:sz w:val="20"/>
                <w:szCs w:val="20"/>
              </w:rPr>
            </w:pPr>
            <w:r w:rsidRPr="00965D6A">
              <w:rPr>
                <w:sz w:val="20"/>
                <w:szCs w:val="20"/>
              </w:rPr>
              <w:t>–0.00</w:t>
            </w:r>
            <w:r w:rsidR="00CD5A5A" w:rsidRPr="00965D6A">
              <w:rPr>
                <w:sz w:val="20"/>
                <w:szCs w:val="20"/>
              </w:rPr>
              <w:t>9***</w:t>
            </w:r>
            <w:r w:rsidRPr="00965D6A">
              <w:rPr>
                <w:sz w:val="20"/>
                <w:szCs w:val="20"/>
              </w:rPr>
              <w:t xml:space="preserve"> (–</w:t>
            </w:r>
            <w:r w:rsidR="00CD5A5A" w:rsidRPr="00965D6A">
              <w:rPr>
                <w:sz w:val="20"/>
                <w:szCs w:val="20"/>
              </w:rPr>
              <w:t>3.93</w:t>
            </w:r>
            <w:r w:rsidRPr="00965D6A">
              <w:rPr>
                <w:sz w:val="20"/>
                <w:szCs w:val="20"/>
              </w:rPr>
              <w:t>)</w:t>
            </w:r>
          </w:p>
        </w:tc>
        <w:tc>
          <w:tcPr>
            <w:tcW w:w="2162" w:type="dxa"/>
            <w:tcBorders>
              <w:top w:val="nil"/>
              <w:left w:val="nil"/>
              <w:bottom w:val="nil"/>
              <w:right w:val="nil"/>
            </w:tcBorders>
            <w:tcMar>
              <w:top w:w="43" w:type="dxa"/>
              <w:left w:w="72" w:type="dxa"/>
              <w:bottom w:w="43" w:type="dxa"/>
              <w:right w:w="72" w:type="dxa"/>
            </w:tcMar>
          </w:tcPr>
          <w:p w14:paraId="25D0836D" w14:textId="7675ABA0" w:rsidR="00FA6E73" w:rsidRPr="00965D6A" w:rsidRDefault="00FA6E73" w:rsidP="00010333">
            <w:pPr>
              <w:tabs>
                <w:tab w:val="decimal" w:pos="432"/>
              </w:tabs>
              <w:rPr>
                <w:sz w:val="20"/>
                <w:szCs w:val="20"/>
              </w:rPr>
            </w:pPr>
            <w:r w:rsidRPr="00965D6A">
              <w:rPr>
                <w:sz w:val="20"/>
                <w:szCs w:val="20"/>
              </w:rPr>
              <w:t>–0.00</w:t>
            </w:r>
            <w:r w:rsidR="00545FAA" w:rsidRPr="00965D6A">
              <w:rPr>
                <w:sz w:val="20"/>
                <w:szCs w:val="20"/>
              </w:rPr>
              <w:t>9***</w:t>
            </w:r>
            <w:r w:rsidRPr="00965D6A">
              <w:rPr>
                <w:sz w:val="20"/>
                <w:szCs w:val="20"/>
              </w:rPr>
              <w:t xml:space="preserve"> (–</w:t>
            </w:r>
            <w:r w:rsidR="00545FAA" w:rsidRPr="00965D6A">
              <w:rPr>
                <w:sz w:val="20"/>
                <w:szCs w:val="20"/>
              </w:rPr>
              <w:t>3.95</w:t>
            </w:r>
            <w:r w:rsidRPr="00965D6A">
              <w:rPr>
                <w:sz w:val="20"/>
                <w:szCs w:val="20"/>
              </w:rPr>
              <w:t>)</w:t>
            </w:r>
          </w:p>
        </w:tc>
        <w:tc>
          <w:tcPr>
            <w:tcW w:w="2163" w:type="dxa"/>
            <w:tcBorders>
              <w:top w:val="nil"/>
              <w:left w:val="nil"/>
              <w:bottom w:val="nil"/>
              <w:right w:val="nil"/>
            </w:tcBorders>
          </w:tcPr>
          <w:p w14:paraId="4B4EBAAC" w14:textId="6C0714AC" w:rsidR="00FA6E73" w:rsidRPr="00965D6A" w:rsidRDefault="00FA6E73" w:rsidP="00010333">
            <w:pPr>
              <w:tabs>
                <w:tab w:val="decimal" w:pos="432"/>
              </w:tabs>
              <w:rPr>
                <w:sz w:val="20"/>
                <w:szCs w:val="20"/>
              </w:rPr>
            </w:pPr>
            <w:r w:rsidRPr="00965D6A">
              <w:rPr>
                <w:sz w:val="20"/>
                <w:szCs w:val="20"/>
              </w:rPr>
              <w:t>–0.0</w:t>
            </w:r>
            <w:r w:rsidR="00E626AA" w:rsidRPr="00965D6A">
              <w:rPr>
                <w:sz w:val="20"/>
                <w:szCs w:val="20"/>
              </w:rPr>
              <w:t>10***</w:t>
            </w:r>
            <w:r w:rsidRPr="00965D6A">
              <w:rPr>
                <w:sz w:val="20"/>
                <w:szCs w:val="20"/>
              </w:rPr>
              <w:t xml:space="preserve"> (–</w:t>
            </w:r>
            <w:r w:rsidR="00E626AA" w:rsidRPr="00965D6A">
              <w:rPr>
                <w:sz w:val="20"/>
                <w:szCs w:val="20"/>
              </w:rPr>
              <w:t>4.16</w:t>
            </w:r>
            <w:r w:rsidRPr="00965D6A">
              <w:rPr>
                <w:sz w:val="20"/>
                <w:szCs w:val="20"/>
              </w:rPr>
              <w:t>)</w:t>
            </w:r>
          </w:p>
        </w:tc>
      </w:tr>
      <w:tr w:rsidR="00965D6A" w:rsidRPr="00965D6A" w14:paraId="5DFB229A" w14:textId="77777777" w:rsidTr="00F47CC8">
        <w:trPr>
          <w:trHeight w:val="34"/>
        </w:trPr>
        <w:tc>
          <w:tcPr>
            <w:tcW w:w="2970" w:type="dxa"/>
            <w:tcBorders>
              <w:top w:val="nil"/>
              <w:left w:val="nil"/>
              <w:bottom w:val="nil"/>
              <w:right w:val="nil"/>
            </w:tcBorders>
            <w:tcMar>
              <w:top w:w="43" w:type="dxa"/>
              <w:left w:w="72" w:type="dxa"/>
              <w:bottom w:w="43" w:type="dxa"/>
              <w:right w:w="72" w:type="dxa"/>
            </w:tcMar>
            <w:hideMark/>
          </w:tcPr>
          <w:p w14:paraId="3B9019FA" w14:textId="19349B1F" w:rsidR="00FA6E73" w:rsidRPr="00965D6A" w:rsidRDefault="00FA6E73" w:rsidP="00010333">
            <w:pPr>
              <w:rPr>
                <w:sz w:val="20"/>
                <w:szCs w:val="20"/>
              </w:rPr>
            </w:pPr>
            <w:r w:rsidRPr="00965D6A">
              <w:rPr>
                <w:sz w:val="20"/>
                <w:szCs w:val="20"/>
              </w:rPr>
              <w:t xml:space="preserve">     Cov. Trend</w:t>
            </w:r>
            <w:r w:rsidR="00DB739D" w:rsidRPr="00965D6A">
              <w:rPr>
                <w:sz w:val="20"/>
                <w:szCs w:val="20"/>
              </w:rPr>
              <w:t>10</w:t>
            </w:r>
            <w:r w:rsidR="009F1EB0" w:rsidRPr="00965D6A">
              <w:rPr>
                <w:sz w:val="20"/>
                <w:szCs w:val="20"/>
              </w:rPr>
              <w:t>to</w:t>
            </w:r>
            <w:r w:rsidR="00DB739D" w:rsidRPr="00965D6A">
              <w:rPr>
                <w:sz w:val="20"/>
                <w:szCs w:val="20"/>
              </w:rPr>
              <w:t>19</w:t>
            </w:r>
            <w:r w:rsidRPr="00965D6A">
              <w:rPr>
                <w:sz w:val="20"/>
                <w:szCs w:val="20"/>
              </w:rPr>
              <w:t>, intercept</w:t>
            </w:r>
          </w:p>
        </w:tc>
        <w:tc>
          <w:tcPr>
            <w:tcW w:w="1170" w:type="dxa"/>
            <w:tcBorders>
              <w:top w:val="nil"/>
              <w:left w:val="nil"/>
              <w:bottom w:val="nil"/>
              <w:right w:val="nil"/>
            </w:tcBorders>
            <w:tcMar>
              <w:top w:w="43" w:type="dxa"/>
              <w:left w:w="72" w:type="dxa"/>
              <w:bottom w:w="43" w:type="dxa"/>
              <w:right w:w="72" w:type="dxa"/>
            </w:tcMar>
            <w:hideMark/>
          </w:tcPr>
          <w:p w14:paraId="22416BF5" w14:textId="77777777" w:rsidR="00FA6E73" w:rsidRPr="00965D6A" w:rsidRDefault="00034C1F" w:rsidP="00010333">
            <w:pPr>
              <w:rPr>
                <w:sz w:val="20"/>
                <w:szCs w:val="20"/>
              </w:rPr>
            </w:pPr>
            <m:oMathPara>
              <m:oMath>
                <m:sSub>
                  <m:sSubPr>
                    <m:ctrlPr>
                      <w:rPr>
                        <w:rFonts w:ascii="Cambria Math" w:hAnsi="Cambria Math"/>
                        <w:i/>
                        <w:sz w:val="20"/>
                        <w:szCs w:val="20"/>
                      </w:rPr>
                    </m:ctrlPr>
                  </m:sSubPr>
                  <m:e>
                    <m:r>
                      <w:rPr>
                        <w:rFonts w:ascii="Cambria Math" w:hAnsi="Cambria Math"/>
                        <w:sz w:val="20"/>
                        <w:szCs w:val="20"/>
                      </w:rPr>
                      <m:t>σ</m:t>
                    </m:r>
                  </m:e>
                  <m:sub>
                    <m:r>
                      <w:rPr>
                        <w:rFonts w:ascii="Cambria Math" w:hAnsi="Cambria Math"/>
                        <w:sz w:val="20"/>
                        <w:szCs w:val="20"/>
                      </w:rPr>
                      <m:t>01</m:t>
                    </m:r>
                  </m:sub>
                </m:sSub>
              </m:oMath>
            </m:oMathPara>
          </w:p>
        </w:tc>
        <w:tc>
          <w:tcPr>
            <w:tcW w:w="2162" w:type="dxa"/>
            <w:tcBorders>
              <w:top w:val="nil"/>
              <w:left w:val="nil"/>
              <w:bottom w:val="nil"/>
              <w:right w:val="nil"/>
            </w:tcBorders>
            <w:tcMar>
              <w:top w:w="43" w:type="dxa"/>
              <w:left w:w="72" w:type="dxa"/>
              <w:bottom w:w="43" w:type="dxa"/>
              <w:right w:w="72" w:type="dxa"/>
            </w:tcMar>
          </w:tcPr>
          <w:p w14:paraId="42D74B34" w14:textId="77777777" w:rsidR="00FA6E73" w:rsidRPr="00965D6A" w:rsidRDefault="00FA6E73" w:rsidP="00010333">
            <w:pPr>
              <w:tabs>
                <w:tab w:val="decimal" w:pos="432"/>
              </w:tabs>
              <w:rPr>
                <w:sz w:val="20"/>
                <w:szCs w:val="20"/>
              </w:rPr>
            </w:pPr>
          </w:p>
        </w:tc>
        <w:tc>
          <w:tcPr>
            <w:tcW w:w="2162" w:type="dxa"/>
            <w:tcBorders>
              <w:top w:val="nil"/>
              <w:left w:val="nil"/>
              <w:bottom w:val="nil"/>
              <w:right w:val="nil"/>
            </w:tcBorders>
            <w:tcMar>
              <w:top w:w="43" w:type="dxa"/>
              <w:left w:w="72" w:type="dxa"/>
              <w:bottom w:w="43" w:type="dxa"/>
              <w:right w:w="72" w:type="dxa"/>
            </w:tcMar>
          </w:tcPr>
          <w:p w14:paraId="586CE261" w14:textId="0FF68626" w:rsidR="00FA6E73" w:rsidRPr="00965D6A" w:rsidRDefault="00FA6E73" w:rsidP="00010333">
            <w:pPr>
              <w:tabs>
                <w:tab w:val="decimal" w:pos="432"/>
              </w:tabs>
              <w:rPr>
                <w:sz w:val="20"/>
                <w:szCs w:val="20"/>
              </w:rPr>
            </w:pPr>
            <w:r w:rsidRPr="00965D6A">
              <w:rPr>
                <w:sz w:val="20"/>
                <w:szCs w:val="20"/>
              </w:rPr>
              <w:t>0.029</w:t>
            </w:r>
            <w:r w:rsidR="00CD5A5A" w:rsidRPr="00965D6A">
              <w:rPr>
                <w:sz w:val="20"/>
                <w:szCs w:val="20"/>
              </w:rPr>
              <w:t>***</w:t>
            </w:r>
            <w:r w:rsidRPr="00965D6A">
              <w:rPr>
                <w:sz w:val="20"/>
                <w:szCs w:val="20"/>
              </w:rPr>
              <w:t xml:space="preserve"> (</w:t>
            </w:r>
            <w:r w:rsidR="00CD5A5A" w:rsidRPr="00965D6A">
              <w:rPr>
                <w:sz w:val="20"/>
                <w:szCs w:val="20"/>
              </w:rPr>
              <w:t>10.22</w:t>
            </w:r>
            <w:r w:rsidRPr="00965D6A">
              <w:rPr>
                <w:sz w:val="20"/>
                <w:szCs w:val="20"/>
              </w:rPr>
              <w:t>)</w:t>
            </w:r>
          </w:p>
        </w:tc>
        <w:tc>
          <w:tcPr>
            <w:tcW w:w="2162" w:type="dxa"/>
            <w:tcBorders>
              <w:top w:val="nil"/>
              <w:left w:val="nil"/>
              <w:bottom w:val="nil"/>
              <w:right w:val="nil"/>
            </w:tcBorders>
            <w:tcMar>
              <w:top w:w="43" w:type="dxa"/>
              <w:left w:w="72" w:type="dxa"/>
              <w:bottom w:w="43" w:type="dxa"/>
              <w:right w:w="72" w:type="dxa"/>
            </w:tcMar>
          </w:tcPr>
          <w:p w14:paraId="643590EE" w14:textId="30B73204" w:rsidR="00FA6E73" w:rsidRPr="00965D6A" w:rsidRDefault="00FA6E73" w:rsidP="00010333">
            <w:pPr>
              <w:tabs>
                <w:tab w:val="decimal" w:pos="432"/>
              </w:tabs>
              <w:rPr>
                <w:sz w:val="20"/>
                <w:szCs w:val="20"/>
              </w:rPr>
            </w:pPr>
            <w:r w:rsidRPr="00965D6A">
              <w:rPr>
                <w:sz w:val="20"/>
                <w:szCs w:val="20"/>
              </w:rPr>
              <w:t>0.029</w:t>
            </w:r>
            <w:r w:rsidR="006A32A0" w:rsidRPr="00965D6A">
              <w:rPr>
                <w:sz w:val="20"/>
                <w:szCs w:val="20"/>
              </w:rPr>
              <w:t>***</w:t>
            </w:r>
            <w:r w:rsidRPr="00965D6A">
              <w:rPr>
                <w:sz w:val="20"/>
                <w:szCs w:val="20"/>
              </w:rPr>
              <w:t xml:space="preserve"> (</w:t>
            </w:r>
            <w:r w:rsidR="006A32A0" w:rsidRPr="00965D6A">
              <w:rPr>
                <w:sz w:val="20"/>
                <w:szCs w:val="20"/>
              </w:rPr>
              <w:t>10.09</w:t>
            </w:r>
            <w:r w:rsidRPr="00965D6A">
              <w:rPr>
                <w:sz w:val="20"/>
                <w:szCs w:val="20"/>
              </w:rPr>
              <w:t>)</w:t>
            </w:r>
          </w:p>
        </w:tc>
        <w:tc>
          <w:tcPr>
            <w:tcW w:w="2163" w:type="dxa"/>
            <w:tcBorders>
              <w:top w:val="nil"/>
              <w:left w:val="nil"/>
              <w:bottom w:val="nil"/>
              <w:right w:val="nil"/>
            </w:tcBorders>
          </w:tcPr>
          <w:p w14:paraId="7605F7AA" w14:textId="71686298" w:rsidR="00FA6E73" w:rsidRPr="00965D6A" w:rsidRDefault="00FA6E73" w:rsidP="00010333">
            <w:pPr>
              <w:tabs>
                <w:tab w:val="decimal" w:pos="432"/>
              </w:tabs>
              <w:rPr>
                <w:sz w:val="20"/>
                <w:szCs w:val="20"/>
              </w:rPr>
            </w:pPr>
            <w:r w:rsidRPr="00965D6A">
              <w:rPr>
                <w:sz w:val="20"/>
                <w:szCs w:val="20"/>
              </w:rPr>
              <w:t>0.02</w:t>
            </w:r>
            <w:r w:rsidR="004326E8" w:rsidRPr="00965D6A">
              <w:rPr>
                <w:sz w:val="20"/>
                <w:szCs w:val="20"/>
              </w:rPr>
              <w:t>8***</w:t>
            </w:r>
            <w:r w:rsidRPr="00965D6A">
              <w:rPr>
                <w:sz w:val="20"/>
                <w:szCs w:val="20"/>
              </w:rPr>
              <w:t xml:space="preserve"> (</w:t>
            </w:r>
            <w:r w:rsidR="004326E8" w:rsidRPr="00965D6A">
              <w:rPr>
                <w:sz w:val="20"/>
                <w:szCs w:val="20"/>
              </w:rPr>
              <w:t>10.10</w:t>
            </w:r>
            <w:r w:rsidRPr="00965D6A">
              <w:rPr>
                <w:sz w:val="20"/>
                <w:szCs w:val="20"/>
              </w:rPr>
              <w:t>)</w:t>
            </w:r>
          </w:p>
        </w:tc>
      </w:tr>
      <w:tr w:rsidR="00965D6A" w:rsidRPr="00965D6A" w14:paraId="160C71BD" w14:textId="77777777" w:rsidTr="00F47CC8">
        <w:trPr>
          <w:trHeight w:val="34"/>
        </w:trPr>
        <w:tc>
          <w:tcPr>
            <w:tcW w:w="2970" w:type="dxa"/>
            <w:tcBorders>
              <w:top w:val="nil"/>
              <w:left w:val="nil"/>
              <w:bottom w:val="nil"/>
              <w:right w:val="nil"/>
            </w:tcBorders>
            <w:tcMar>
              <w:top w:w="43" w:type="dxa"/>
              <w:left w:w="72" w:type="dxa"/>
              <w:bottom w:w="43" w:type="dxa"/>
              <w:right w:w="72" w:type="dxa"/>
            </w:tcMar>
          </w:tcPr>
          <w:p w14:paraId="066B52E1" w14:textId="4C9B683D" w:rsidR="00FA6E73" w:rsidRPr="00965D6A" w:rsidRDefault="00FA6E73" w:rsidP="00010333">
            <w:pPr>
              <w:rPr>
                <w:sz w:val="20"/>
                <w:szCs w:val="20"/>
              </w:rPr>
            </w:pPr>
            <w:r w:rsidRPr="00965D6A">
              <w:rPr>
                <w:sz w:val="20"/>
                <w:szCs w:val="20"/>
              </w:rPr>
              <w:t xml:space="preserve">     Cov. </w:t>
            </w:r>
            <w:r w:rsidR="00DB739D" w:rsidRPr="00965D6A">
              <w:rPr>
                <w:sz w:val="20"/>
                <w:szCs w:val="20"/>
              </w:rPr>
              <w:t>Jump20</w:t>
            </w:r>
            <w:r w:rsidR="009F1EB0" w:rsidRPr="00965D6A">
              <w:rPr>
                <w:sz w:val="20"/>
                <w:szCs w:val="20"/>
              </w:rPr>
              <w:t>to</w:t>
            </w:r>
            <w:r w:rsidR="00DB739D" w:rsidRPr="00965D6A">
              <w:rPr>
                <w:sz w:val="20"/>
                <w:szCs w:val="20"/>
              </w:rPr>
              <w:t>23</w:t>
            </w:r>
            <w:r w:rsidRPr="00965D6A">
              <w:rPr>
                <w:sz w:val="20"/>
                <w:szCs w:val="20"/>
              </w:rPr>
              <w:t>, intercept</w:t>
            </w:r>
          </w:p>
        </w:tc>
        <w:tc>
          <w:tcPr>
            <w:tcW w:w="1170" w:type="dxa"/>
            <w:tcBorders>
              <w:top w:val="nil"/>
              <w:left w:val="nil"/>
              <w:bottom w:val="nil"/>
              <w:right w:val="nil"/>
            </w:tcBorders>
            <w:tcMar>
              <w:top w:w="43" w:type="dxa"/>
              <w:left w:w="72" w:type="dxa"/>
              <w:bottom w:w="43" w:type="dxa"/>
              <w:right w:w="72" w:type="dxa"/>
            </w:tcMar>
          </w:tcPr>
          <w:p w14:paraId="5E57288D" w14:textId="77777777" w:rsidR="00FA6E73" w:rsidRPr="00965D6A" w:rsidRDefault="00034C1F" w:rsidP="00010333">
            <w:pPr>
              <w:rPr>
                <w:rFonts w:eastAsia="Calibri" w:cs="Times New Roman"/>
                <w:iCs/>
                <w:sz w:val="20"/>
                <w:szCs w:val="20"/>
              </w:rPr>
            </w:pPr>
            <m:oMathPara>
              <m:oMath>
                <m:sSub>
                  <m:sSubPr>
                    <m:ctrlPr>
                      <w:rPr>
                        <w:rFonts w:ascii="Cambria Math" w:hAnsi="Cambria Math"/>
                        <w:i/>
                        <w:sz w:val="20"/>
                        <w:szCs w:val="20"/>
                      </w:rPr>
                    </m:ctrlPr>
                  </m:sSubPr>
                  <m:e>
                    <m:r>
                      <w:rPr>
                        <w:rFonts w:ascii="Cambria Math" w:hAnsi="Cambria Math"/>
                        <w:sz w:val="20"/>
                        <w:szCs w:val="20"/>
                      </w:rPr>
                      <m:t>σ</m:t>
                    </m:r>
                  </m:e>
                  <m:sub>
                    <m:r>
                      <w:rPr>
                        <w:rFonts w:ascii="Cambria Math" w:hAnsi="Cambria Math"/>
                        <w:sz w:val="20"/>
                        <w:szCs w:val="20"/>
                      </w:rPr>
                      <m:t>02</m:t>
                    </m:r>
                  </m:sub>
                </m:sSub>
              </m:oMath>
            </m:oMathPara>
          </w:p>
        </w:tc>
        <w:tc>
          <w:tcPr>
            <w:tcW w:w="2162" w:type="dxa"/>
            <w:tcBorders>
              <w:top w:val="nil"/>
              <w:left w:val="nil"/>
              <w:bottom w:val="nil"/>
              <w:right w:val="nil"/>
            </w:tcBorders>
            <w:tcMar>
              <w:top w:w="43" w:type="dxa"/>
              <w:left w:w="72" w:type="dxa"/>
              <w:bottom w:w="43" w:type="dxa"/>
              <w:right w:w="72" w:type="dxa"/>
            </w:tcMar>
          </w:tcPr>
          <w:p w14:paraId="50BB8682" w14:textId="77777777" w:rsidR="00FA6E73" w:rsidRPr="00965D6A" w:rsidRDefault="00FA6E73" w:rsidP="00010333">
            <w:pPr>
              <w:tabs>
                <w:tab w:val="decimal" w:pos="432"/>
              </w:tabs>
              <w:rPr>
                <w:sz w:val="20"/>
                <w:szCs w:val="20"/>
              </w:rPr>
            </w:pPr>
          </w:p>
        </w:tc>
        <w:tc>
          <w:tcPr>
            <w:tcW w:w="2162" w:type="dxa"/>
            <w:tcBorders>
              <w:top w:val="nil"/>
              <w:left w:val="nil"/>
              <w:bottom w:val="nil"/>
              <w:right w:val="nil"/>
            </w:tcBorders>
            <w:tcMar>
              <w:top w:w="43" w:type="dxa"/>
              <w:left w:w="72" w:type="dxa"/>
              <w:bottom w:w="43" w:type="dxa"/>
              <w:right w:w="72" w:type="dxa"/>
            </w:tcMar>
          </w:tcPr>
          <w:p w14:paraId="45240889" w14:textId="1E03D8F2" w:rsidR="00FA6E73" w:rsidRPr="00965D6A" w:rsidRDefault="00FA6E73" w:rsidP="00010333">
            <w:pPr>
              <w:tabs>
                <w:tab w:val="decimal" w:pos="432"/>
              </w:tabs>
              <w:rPr>
                <w:sz w:val="20"/>
                <w:szCs w:val="20"/>
              </w:rPr>
            </w:pPr>
            <w:r w:rsidRPr="00965D6A">
              <w:rPr>
                <w:sz w:val="20"/>
                <w:szCs w:val="20"/>
              </w:rPr>
              <w:t>–0.</w:t>
            </w:r>
            <w:r w:rsidR="00CD5A5A" w:rsidRPr="00965D6A">
              <w:rPr>
                <w:sz w:val="20"/>
                <w:szCs w:val="20"/>
              </w:rPr>
              <w:t>107***</w:t>
            </w:r>
            <w:r w:rsidRPr="00965D6A">
              <w:rPr>
                <w:sz w:val="20"/>
                <w:szCs w:val="20"/>
              </w:rPr>
              <w:t xml:space="preserve"> (–</w:t>
            </w:r>
            <w:r w:rsidR="00CD5A5A" w:rsidRPr="00965D6A">
              <w:rPr>
                <w:sz w:val="20"/>
                <w:szCs w:val="20"/>
              </w:rPr>
              <w:t>6.28</w:t>
            </w:r>
            <w:r w:rsidRPr="00965D6A">
              <w:rPr>
                <w:sz w:val="20"/>
                <w:szCs w:val="20"/>
              </w:rPr>
              <w:t>)</w:t>
            </w:r>
          </w:p>
        </w:tc>
        <w:tc>
          <w:tcPr>
            <w:tcW w:w="2162" w:type="dxa"/>
            <w:tcBorders>
              <w:top w:val="nil"/>
              <w:left w:val="nil"/>
              <w:bottom w:val="nil"/>
              <w:right w:val="nil"/>
            </w:tcBorders>
            <w:tcMar>
              <w:top w:w="43" w:type="dxa"/>
              <w:left w:w="72" w:type="dxa"/>
              <w:bottom w:w="43" w:type="dxa"/>
              <w:right w:w="72" w:type="dxa"/>
            </w:tcMar>
          </w:tcPr>
          <w:p w14:paraId="12684B69" w14:textId="03A89DE2" w:rsidR="00FA6E73" w:rsidRPr="00965D6A" w:rsidRDefault="00FA6E73" w:rsidP="00010333">
            <w:pPr>
              <w:tabs>
                <w:tab w:val="decimal" w:pos="432"/>
              </w:tabs>
              <w:rPr>
                <w:sz w:val="20"/>
                <w:szCs w:val="20"/>
              </w:rPr>
            </w:pPr>
            <w:r w:rsidRPr="00965D6A">
              <w:rPr>
                <w:sz w:val="20"/>
                <w:szCs w:val="20"/>
              </w:rPr>
              <w:t>–0.</w:t>
            </w:r>
            <w:r w:rsidR="006A32A0" w:rsidRPr="00965D6A">
              <w:rPr>
                <w:sz w:val="20"/>
                <w:szCs w:val="20"/>
              </w:rPr>
              <w:t>113***</w:t>
            </w:r>
            <w:r w:rsidRPr="00965D6A">
              <w:rPr>
                <w:sz w:val="20"/>
                <w:szCs w:val="20"/>
              </w:rPr>
              <w:t xml:space="preserve"> (–</w:t>
            </w:r>
            <w:r w:rsidR="006A32A0" w:rsidRPr="00965D6A">
              <w:rPr>
                <w:sz w:val="20"/>
                <w:szCs w:val="20"/>
              </w:rPr>
              <w:t>6.68</w:t>
            </w:r>
            <w:r w:rsidRPr="00965D6A">
              <w:rPr>
                <w:sz w:val="20"/>
                <w:szCs w:val="20"/>
              </w:rPr>
              <w:t>)</w:t>
            </w:r>
          </w:p>
        </w:tc>
        <w:tc>
          <w:tcPr>
            <w:tcW w:w="2163" w:type="dxa"/>
            <w:tcBorders>
              <w:top w:val="nil"/>
              <w:left w:val="nil"/>
              <w:bottom w:val="nil"/>
              <w:right w:val="nil"/>
            </w:tcBorders>
          </w:tcPr>
          <w:p w14:paraId="4621B43D" w14:textId="46826A89" w:rsidR="00FA6E73" w:rsidRPr="00965D6A" w:rsidRDefault="00FA6E73" w:rsidP="00010333">
            <w:pPr>
              <w:tabs>
                <w:tab w:val="decimal" w:pos="432"/>
              </w:tabs>
              <w:rPr>
                <w:sz w:val="20"/>
                <w:szCs w:val="20"/>
              </w:rPr>
            </w:pPr>
            <w:r w:rsidRPr="00965D6A">
              <w:rPr>
                <w:sz w:val="20"/>
                <w:szCs w:val="20"/>
              </w:rPr>
              <w:t>–0.</w:t>
            </w:r>
            <w:r w:rsidR="004326E8" w:rsidRPr="00965D6A">
              <w:rPr>
                <w:sz w:val="20"/>
                <w:szCs w:val="20"/>
              </w:rPr>
              <w:t>114***</w:t>
            </w:r>
            <w:r w:rsidRPr="00965D6A">
              <w:rPr>
                <w:sz w:val="20"/>
                <w:szCs w:val="20"/>
              </w:rPr>
              <w:t xml:space="preserve"> (–</w:t>
            </w:r>
            <w:r w:rsidR="004326E8" w:rsidRPr="00965D6A">
              <w:rPr>
                <w:sz w:val="20"/>
                <w:szCs w:val="20"/>
              </w:rPr>
              <w:t>6.76</w:t>
            </w:r>
            <w:r w:rsidRPr="00965D6A">
              <w:rPr>
                <w:sz w:val="20"/>
                <w:szCs w:val="20"/>
              </w:rPr>
              <w:t>)</w:t>
            </w:r>
          </w:p>
        </w:tc>
      </w:tr>
      <w:tr w:rsidR="00965D6A" w:rsidRPr="00965D6A" w14:paraId="713BBC68" w14:textId="77777777" w:rsidTr="00F47CC8">
        <w:trPr>
          <w:trHeight w:val="34"/>
        </w:trPr>
        <w:tc>
          <w:tcPr>
            <w:tcW w:w="2970" w:type="dxa"/>
            <w:tcBorders>
              <w:top w:val="nil"/>
              <w:left w:val="nil"/>
              <w:right w:val="nil"/>
            </w:tcBorders>
            <w:tcMar>
              <w:top w:w="43" w:type="dxa"/>
              <w:left w:w="72" w:type="dxa"/>
              <w:bottom w:w="43" w:type="dxa"/>
              <w:right w:w="72" w:type="dxa"/>
            </w:tcMar>
          </w:tcPr>
          <w:p w14:paraId="76741083" w14:textId="77777777" w:rsidR="00FA6E73" w:rsidRPr="00965D6A" w:rsidRDefault="00FA6E73" w:rsidP="00010333">
            <w:pPr>
              <w:rPr>
                <w:sz w:val="20"/>
                <w:szCs w:val="20"/>
              </w:rPr>
            </w:pPr>
            <w:r w:rsidRPr="00965D6A">
              <w:rPr>
                <w:sz w:val="20"/>
                <w:szCs w:val="20"/>
              </w:rPr>
              <w:t xml:space="preserve">     Var. residual</w:t>
            </w:r>
          </w:p>
        </w:tc>
        <w:tc>
          <w:tcPr>
            <w:tcW w:w="1170" w:type="dxa"/>
            <w:tcBorders>
              <w:top w:val="nil"/>
              <w:left w:val="nil"/>
              <w:right w:val="nil"/>
            </w:tcBorders>
            <w:tcMar>
              <w:top w:w="43" w:type="dxa"/>
              <w:left w:w="72" w:type="dxa"/>
              <w:bottom w:w="43" w:type="dxa"/>
              <w:right w:w="72" w:type="dxa"/>
            </w:tcMar>
          </w:tcPr>
          <w:p w14:paraId="5DAA5BE9" w14:textId="77777777" w:rsidR="00FA6E73" w:rsidRPr="00965D6A" w:rsidRDefault="00034C1F" w:rsidP="00010333">
            <w:pPr>
              <w:rPr>
                <w:rFonts w:eastAsia="Calibri" w:cs="Times New Roman"/>
                <w:iCs/>
                <w:sz w:val="20"/>
                <w:szCs w:val="20"/>
              </w:rPr>
            </w:pPr>
            <m:oMathPara>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ϵ</m:t>
                    </m:r>
                  </m:sub>
                  <m:sup>
                    <m:r>
                      <w:rPr>
                        <w:rFonts w:ascii="Cambria Math" w:hAnsi="Cambria Math"/>
                        <w:sz w:val="20"/>
                        <w:szCs w:val="20"/>
                      </w:rPr>
                      <m:t>2</m:t>
                    </m:r>
                  </m:sup>
                </m:sSubSup>
              </m:oMath>
            </m:oMathPara>
          </w:p>
        </w:tc>
        <w:tc>
          <w:tcPr>
            <w:tcW w:w="2162" w:type="dxa"/>
            <w:tcBorders>
              <w:top w:val="nil"/>
              <w:left w:val="nil"/>
              <w:right w:val="nil"/>
            </w:tcBorders>
            <w:tcMar>
              <w:top w:w="43" w:type="dxa"/>
              <w:left w:w="72" w:type="dxa"/>
              <w:bottom w:w="43" w:type="dxa"/>
              <w:right w:w="72" w:type="dxa"/>
            </w:tcMar>
          </w:tcPr>
          <w:p w14:paraId="6B94F041" w14:textId="38C9821A" w:rsidR="00FA6E73" w:rsidRPr="00965D6A" w:rsidRDefault="00FA6E73" w:rsidP="00010333">
            <w:pPr>
              <w:tabs>
                <w:tab w:val="decimal" w:pos="432"/>
              </w:tabs>
              <w:rPr>
                <w:sz w:val="20"/>
                <w:szCs w:val="20"/>
              </w:rPr>
            </w:pPr>
            <w:r w:rsidRPr="00965D6A">
              <w:rPr>
                <w:sz w:val="20"/>
                <w:szCs w:val="20"/>
              </w:rPr>
              <w:t>0.</w:t>
            </w:r>
            <w:r w:rsidR="00A03390" w:rsidRPr="00965D6A">
              <w:rPr>
                <w:sz w:val="20"/>
                <w:szCs w:val="20"/>
              </w:rPr>
              <w:t>380</w:t>
            </w:r>
            <w:r w:rsidR="003E7524" w:rsidRPr="00965D6A">
              <w:rPr>
                <w:sz w:val="20"/>
                <w:szCs w:val="20"/>
              </w:rPr>
              <w:t>*** (64.14)</w:t>
            </w:r>
          </w:p>
        </w:tc>
        <w:tc>
          <w:tcPr>
            <w:tcW w:w="2162" w:type="dxa"/>
            <w:tcBorders>
              <w:top w:val="nil"/>
              <w:left w:val="nil"/>
              <w:right w:val="nil"/>
            </w:tcBorders>
            <w:tcMar>
              <w:top w:w="43" w:type="dxa"/>
              <w:left w:w="72" w:type="dxa"/>
              <w:bottom w:w="43" w:type="dxa"/>
              <w:right w:w="72" w:type="dxa"/>
            </w:tcMar>
          </w:tcPr>
          <w:p w14:paraId="4BD1DC0F" w14:textId="188BE1CE" w:rsidR="00FA6E73" w:rsidRPr="00965D6A" w:rsidRDefault="00FA6E73" w:rsidP="00010333">
            <w:pPr>
              <w:tabs>
                <w:tab w:val="decimal" w:pos="432"/>
              </w:tabs>
              <w:rPr>
                <w:sz w:val="20"/>
                <w:szCs w:val="20"/>
              </w:rPr>
            </w:pPr>
            <w:r w:rsidRPr="00965D6A">
              <w:rPr>
                <w:sz w:val="20"/>
                <w:szCs w:val="20"/>
              </w:rPr>
              <w:t>0.2</w:t>
            </w:r>
            <w:r w:rsidR="00CD5A5A" w:rsidRPr="00965D6A">
              <w:rPr>
                <w:sz w:val="20"/>
                <w:szCs w:val="20"/>
              </w:rPr>
              <w:t>14***</w:t>
            </w:r>
            <w:r w:rsidRPr="00965D6A">
              <w:rPr>
                <w:sz w:val="20"/>
                <w:szCs w:val="20"/>
              </w:rPr>
              <w:t xml:space="preserve"> (</w:t>
            </w:r>
            <w:r w:rsidR="00CD5A5A" w:rsidRPr="00965D6A">
              <w:rPr>
                <w:sz w:val="20"/>
                <w:szCs w:val="20"/>
              </w:rPr>
              <w:t>59.00</w:t>
            </w:r>
            <w:r w:rsidRPr="00965D6A">
              <w:rPr>
                <w:sz w:val="20"/>
                <w:szCs w:val="20"/>
              </w:rPr>
              <w:t>)</w:t>
            </w:r>
          </w:p>
        </w:tc>
        <w:tc>
          <w:tcPr>
            <w:tcW w:w="2162" w:type="dxa"/>
            <w:tcBorders>
              <w:top w:val="nil"/>
              <w:left w:val="nil"/>
              <w:right w:val="nil"/>
            </w:tcBorders>
            <w:tcMar>
              <w:top w:w="43" w:type="dxa"/>
              <w:left w:w="72" w:type="dxa"/>
              <w:bottom w:w="43" w:type="dxa"/>
              <w:right w:w="72" w:type="dxa"/>
            </w:tcMar>
          </w:tcPr>
          <w:p w14:paraId="4CF3FB66" w14:textId="6C917B3D" w:rsidR="00FA6E73" w:rsidRPr="00965D6A" w:rsidRDefault="00FA6E73" w:rsidP="00010333">
            <w:pPr>
              <w:tabs>
                <w:tab w:val="decimal" w:pos="432"/>
              </w:tabs>
              <w:rPr>
                <w:sz w:val="20"/>
                <w:szCs w:val="20"/>
              </w:rPr>
            </w:pPr>
            <w:r w:rsidRPr="00965D6A">
              <w:rPr>
                <w:sz w:val="20"/>
                <w:szCs w:val="20"/>
              </w:rPr>
              <w:t>0.</w:t>
            </w:r>
            <w:r w:rsidR="006A32A0" w:rsidRPr="00965D6A">
              <w:rPr>
                <w:sz w:val="20"/>
                <w:szCs w:val="20"/>
              </w:rPr>
              <w:t>214***</w:t>
            </w:r>
            <w:r w:rsidRPr="00965D6A">
              <w:rPr>
                <w:sz w:val="20"/>
                <w:szCs w:val="20"/>
              </w:rPr>
              <w:t xml:space="preserve"> (</w:t>
            </w:r>
            <w:r w:rsidR="006A32A0" w:rsidRPr="00965D6A">
              <w:rPr>
                <w:sz w:val="20"/>
                <w:szCs w:val="20"/>
              </w:rPr>
              <w:t>59.00</w:t>
            </w:r>
            <w:r w:rsidRPr="00965D6A">
              <w:rPr>
                <w:sz w:val="20"/>
                <w:szCs w:val="20"/>
              </w:rPr>
              <w:t>)</w:t>
            </w:r>
          </w:p>
        </w:tc>
        <w:tc>
          <w:tcPr>
            <w:tcW w:w="2163" w:type="dxa"/>
            <w:tcBorders>
              <w:top w:val="nil"/>
              <w:left w:val="nil"/>
              <w:right w:val="nil"/>
            </w:tcBorders>
          </w:tcPr>
          <w:p w14:paraId="47004AA0" w14:textId="5873A1C7" w:rsidR="00FA6E73" w:rsidRPr="00965D6A" w:rsidRDefault="00FA6E73" w:rsidP="00010333">
            <w:pPr>
              <w:tabs>
                <w:tab w:val="decimal" w:pos="432"/>
              </w:tabs>
              <w:rPr>
                <w:sz w:val="20"/>
                <w:szCs w:val="20"/>
              </w:rPr>
            </w:pPr>
            <w:r w:rsidRPr="00965D6A">
              <w:rPr>
                <w:sz w:val="20"/>
                <w:szCs w:val="20"/>
              </w:rPr>
              <w:t>0.2</w:t>
            </w:r>
            <w:r w:rsidR="004326E8" w:rsidRPr="00965D6A">
              <w:rPr>
                <w:sz w:val="20"/>
                <w:szCs w:val="20"/>
              </w:rPr>
              <w:t>14***</w:t>
            </w:r>
            <w:r w:rsidRPr="00965D6A">
              <w:rPr>
                <w:sz w:val="20"/>
                <w:szCs w:val="20"/>
              </w:rPr>
              <w:t xml:space="preserve"> (</w:t>
            </w:r>
            <w:r w:rsidR="004326E8" w:rsidRPr="00965D6A">
              <w:rPr>
                <w:sz w:val="20"/>
                <w:szCs w:val="20"/>
              </w:rPr>
              <w:t>59.00</w:t>
            </w:r>
            <w:r w:rsidRPr="00965D6A">
              <w:rPr>
                <w:sz w:val="20"/>
                <w:szCs w:val="20"/>
              </w:rPr>
              <w:t>)</w:t>
            </w:r>
          </w:p>
        </w:tc>
      </w:tr>
      <w:tr w:rsidR="00965D6A" w:rsidRPr="00965D6A" w14:paraId="595A0B75" w14:textId="77777777" w:rsidTr="00F47CC8">
        <w:trPr>
          <w:trHeight w:val="34"/>
        </w:trPr>
        <w:tc>
          <w:tcPr>
            <w:tcW w:w="2970" w:type="dxa"/>
            <w:tcBorders>
              <w:top w:val="nil"/>
              <w:left w:val="nil"/>
              <w:right w:val="nil"/>
            </w:tcBorders>
            <w:tcMar>
              <w:top w:w="43" w:type="dxa"/>
              <w:left w:w="72" w:type="dxa"/>
              <w:bottom w:w="43" w:type="dxa"/>
              <w:right w:w="72" w:type="dxa"/>
            </w:tcMar>
          </w:tcPr>
          <w:p w14:paraId="1BB7CB48" w14:textId="77777777" w:rsidR="00FA6E73" w:rsidRPr="00965D6A" w:rsidRDefault="00FA6E73" w:rsidP="00010333">
            <w:pPr>
              <w:rPr>
                <w:i/>
                <w:iCs/>
                <w:sz w:val="20"/>
                <w:szCs w:val="20"/>
              </w:rPr>
            </w:pPr>
            <w:r w:rsidRPr="00965D6A">
              <w:rPr>
                <w:i/>
                <w:iCs/>
                <w:sz w:val="20"/>
                <w:szCs w:val="20"/>
              </w:rPr>
              <w:t>Model fit</w:t>
            </w:r>
          </w:p>
        </w:tc>
        <w:tc>
          <w:tcPr>
            <w:tcW w:w="1170" w:type="dxa"/>
            <w:tcBorders>
              <w:top w:val="nil"/>
              <w:left w:val="nil"/>
              <w:right w:val="nil"/>
            </w:tcBorders>
            <w:tcMar>
              <w:top w:w="43" w:type="dxa"/>
              <w:left w:w="72" w:type="dxa"/>
              <w:bottom w:w="43" w:type="dxa"/>
              <w:right w:w="72" w:type="dxa"/>
            </w:tcMar>
          </w:tcPr>
          <w:p w14:paraId="74FE5967" w14:textId="77777777" w:rsidR="00FA6E73" w:rsidRPr="00965D6A" w:rsidRDefault="00FA6E73" w:rsidP="00010333">
            <w:pPr>
              <w:rPr>
                <w:sz w:val="20"/>
                <w:szCs w:val="20"/>
              </w:rPr>
            </w:pPr>
          </w:p>
        </w:tc>
        <w:tc>
          <w:tcPr>
            <w:tcW w:w="2162" w:type="dxa"/>
            <w:tcBorders>
              <w:top w:val="nil"/>
              <w:left w:val="nil"/>
              <w:right w:val="nil"/>
            </w:tcBorders>
            <w:tcMar>
              <w:top w:w="43" w:type="dxa"/>
              <w:left w:w="72" w:type="dxa"/>
              <w:bottom w:w="43" w:type="dxa"/>
              <w:right w:w="72" w:type="dxa"/>
            </w:tcMar>
          </w:tcPr>
          <w:p w14:paraId="5CB8B2DC" w14:textId="77777777" w:rsidR="00FA6E73" w:rsidRPr="00965D6A" w:rsidRDefault="00FA6E73" w:rsidP="00010333">
            <w:pPr>
              <w:jc w:val="center"/>
              <w:rPr>
                <w:sz w:val="20"/>
                <w:szCs w:val="20"/>
              </w:rPr>
            </w:pPr>
          </w:p>
        </w:tc>
        <w:tc>
          <w:tcPr>
            <w:tcW w:w="2162" w:type="dxa"/>
            <w:tcBorders>
              <w:top w:val="nil"/>
              <w:left w:val="nil"/>
              <w:right w:val="nil"/>
            </w:tcBorders>
            <w:tcMar>
              <w:top w:w="43" w:type="dxa"/>
              <w:left w:w="72" w:type="dxa"/>
              <w:bottom w:w="43" w:type="dxa"/>
              <w:right w:w="72" w:type="dxa"/>
            </w:tcMar>
          </w:tcPr>
          <w:p w14:paraId="34B2983C" w14:textId="77777777" w:rsidR="00FA6E73" w:rsidRPr="00965D6A" w:rsidRDefault="00FA6E73" w:rsidP="00010333">
            <w:pPr>
              <w:jc w:val="center"/>
              <w:rPr>
                <w:sz w:val="20"/>
                <w:szCs w:val="20"/>
              </w:rPr>
            </w:pPr>
          </w:p>
        </w:tc>
        <w:tc>
          <w:tcPr>
            <w:tcW w:w="2162" w:type="dxa"/>
            <w:tcBorders>
              <w:top w:val="nil"/>
              <w:left w:val="nil"/>
              <w:right w:val="nil"/>
            </w:tcBorders>
            <w:tcMar>
              <w:top w:w="43" w:type="dxa"/>
              <w:left w:w="72" w:type="dxa"/>
              <w:bottom w:w="43" w:type="dxa"/>
              <w:right w:w="72" w:type="dxa"/>
            </w:tcMar>
          </w:tcPr>
          <w:p w14:paraId="4287085E" w14:textId="77777777" w:rsidR="00FA6E73" w:rsidRPr="00965D6A" w:rsidRDefault="00FA6E73" w:rsidP="00010333">
            <w:pPr>
              <w:jc w:val="center"/>
              <w:rPr>
                <w:sz w:val="20"/>
                <w:szCs w:val="20"/>
              </w:rPr>
            </w:pPr>
          </w:p>
        </w:tc>
        <w:tc>
          <w:tcPr>
            <w:tcW w:w="2163" w:type="dxa"/>
            <w:tcBorders>
              <w:top w:val="nil"/>
              <w:left w:val="nil"/>
              <w:right w:val="nil"/>
            </w:tcBorders>
          </w:tcPr>
          <w:p w14:paraId="5158DE6E" w14:textId="77777777" w:rsidR="00FA6E73" w:rsidRPr="00965D6A" w:rsidRDefault="00FA6E73" w:rsidP="00010333">
            <w:pPr>
              <w:jc w:val="center"/>
              <w:rPr>
                <w:sz w:val="20"/>
                <w:szCs w:val="20"/>
              </w:rPr>
            </w:pPr>
          </w:p>
        </w:tc>
      </w:tr>
      <w:tr w:rsidR="00965D6A" w:rsidRPr="00965D6A" w14:paraId="0393F3E5" w14:textId="77777777" w:rsidTr="00F47CC8">
        <w:trPr>
          <w:trHeight w:val="34"/>
        </w:trPr>
        <w:tc>
          <w:tcPr>
            <w:tcW w:w="2970" w:type="dxa"/>
            <w:tcBorders>
              <w:top w:val="nil"/>
              <w:left w:val="nil"/>
              <w:right w:val="nil"/>
            </w:tcBorders>
            <w:tcMar>
              <w:top w:w="43" w:type="dxa"/>
              <w:left w:w="72" w:type="dxa"/>
              <w:bottom w:w="43" w:type="dxa"/>
              <w:right w:w="72" w:type="dxa"/>
            </w:tcMar>
          </w:tcPr>
          <w:p w14:paraId="6E767E1D" w14:textId="77777777" w:rsidR="00FA6E73" w:rsidRPr="00965D6A" w:rsidRDefault="00FA6E73" w:rsidP="00010333">
            <w:pPr>
              <w:rPr>
                <w:sz w:val="20"/>
                <w:szCs w:val="20"/>
              </w:rPr>
            </w:pPr>
            <w:r w:rsidRPr="00965D6A">
              <w:rPr>
                <w:sz w:val="20"/>
                <w:szCs w:val="20"/>
              </w:rPr>
              <w:t xml:space="preserve">     –2 log likelihood</w:t>
            </w:r>
          </w:p>
        </w:tc>
        <w:tc>
          <w:tcPr>
            <w:tcW w:w="1170" w:type="dxa"/>
            <w:tcBorders>
              <w:top w:val="nil"/>
              <w:left w:val="nil"/>
              <w:right w:val="nil"/>
            </w:tcBorders>
            <w:tcMar>
              <w:top w:w="43" w:type="dxa"/>
              <w:left w:w="72" w:type="dxa"/>
              <w:bottom w:w="43" w:type="dxa"/>
              <w:right w:w="72" w:type="dxa"/>
            </w:tcMar>
          </w:tcPr>
          <w:p w14:paraId="52D10CFB" w14:textId="77777777" w:rsidR="00FA6E73" w:rsidRPr="00965D6A" w:rsidRDefault="00FA6E73" w:rsidP="00010333">
            <w:pPr>
              <w:rPr>
                <w:sz w:val="20"/>
                <w:szCs w:val="20"/>
              </w:rPr>
            </w:pPr>
          </w:p>
        </w:tc>
        <w:tc>
          <w:tcPr>
            <w:tcW w:w="2162" w:type="dxa"/>
            <w:tcBorders>
              <w:top w:val="nil"/>
              <w:left w:val="nil"/>
              <w:right w:val="nil"/>
            </w:tcBorders>
            <w:tcMar>
              <w:top w:w="43" w:type="dxa"/>
              <w:left w:w="72" w:type="dxa"/>
              <w:bottom w:w="43" w:type="dxa"/>
              <w:right w:w="72" w:type="dxa"/>
            </w:tcMar>
          </w:tcPr>
          <w:p w14:paraId="38EBC922" w14:textId="67123AAA" w:rsidR="00FA6E73" w:rsidRPr="00965D6A" w:rsidRDefault="00107738" w:rsidP="00010333">
            <w:pPr>
              <w:jc w:val="center"/>
              <w:rPr>
                <w:sz w:val="20"/>
                <w:szCs w:val="20"/>
              </w:rPr>
            </w:pPr>
            <w:r w:rsidRPr="00965D6A">
              <w:rPr>
                <w:sz w:val="20"/>
                <w:szCs w:val="20"/>
              </w:rPr>
              <w:t>17,851.9</w:t>
            </w:r>
            <w:r w:rsidR="001621EE" w:rsidRPr="00965D6A">
              <w:rPr>
                <w:sz w:val="20"/>
                <w:szCs w:val="20"/>
              </w:rPr>
              <w:t>00</w:t>
            </w:r>
          </w:p>
        </w:tc>
        <w:tc>
          <w:tcPr>
            <w:tcW w:w="2162" w:type="dxa"/>
            <w:tcBorders>
              <w:top w:val="nil"/>
              <w:left w:val="nil"/>
              <w:right w:val="nil"/>
            </w:tcBorders>
            <w:tcMar>
              <w:top w:w="43" w:type="dxa"/>
              <w:left w:w="72" w:type="dxa"/>
              <w:bottom w:w="43" w:type="dxa"/>
              <w:right w:w="72" w:type="dxa"/>
            </w:tcMar>
          </w:tcPr>
          <w:p w14:paraId="488FEFEC" w14:textId="416170C3" w:rsidR="00FA6E73" w:rsidRPr="00965D6A" w:rsidRDefault="00CD5A5A" w:rsidP="00010333">
            <w:pPr>
              <w:jc w:val="center"/>
              <w:rPr>
                <w:sz w:val="20"/>
                <w:szCs w:val="20"/>
              </w:rPr>
            </w:pPr>
            <w:r w:rsidRPr="00965D6A">
              <w:rPr>
                <w:sz w:val="20"/>
                <w:szCs w:val="20"/>
              </w:rPr>
              <w:t>14,748.900</w:t>
            </w:r>
          </w:p>
        </w:tc>
        <w:tc>
          <w:tcPr>
            <w:tcW w:w="2162" w:type="dxa"/>
            <w:tcBorders>
              <w:top w:val="nil"/>
              <w:left w:val="nil"/>
              <w:right w:val="nil"/>
            </w:tcBorders>
            <w:tcMar>
              <w:top w:w="43" w:type="dxa"/>
              <w:left w:w="72" w:type="dxa"/>
              <w:bottom w:w="43" w:type="dxa"/>
              <w:right w:w="72" w:type="dxa"/>
            </w:tcMar>
          </w:tcPr>
          <w:p w14:paraId="54F41104" w14:textId="522FBCFC" w:rsidR="00FA6E73" w:rsidRPr="00965D6A" w:rsidRDefault="0069788E" w:rsidP="00010333">
            <w:pPr>
              <w:jc w:val="center"/>
              <w:rPr>
                <w:sz w:val="20"/>
                <w:szCs w:val="20"/>
              </w:rPr>
            </w:pPr>
            <w:r w:rsidRPr="00965D6A">
              <w:rPr>
                <w:sz w:val="20"/>
                <w:szCs w:val="20"/>
              </w:rPr>
              <w:t>14,715.100</w:t>
            </w:r>
          </w:p>
        </w:tc>
        <w:tc>
          <w:tcPr>
            <w:tcW w:w="2163" w:type="dxa"/>
            <w:tcBorders>
              <w:top w:val="nil"/>
              <w:left w:val="nil"/>
              <w:right w:val="nil"/>
            </w:tcBorders>
          </w:tcPr>
          <w:p w14:paraId="323DAFF4" w14:textId="0C71E8B7" w:rsidR="00FA6E73" w:rsidRPr="00965D6A" w:rsidRDefault="0069788E" w:rsidP="00010333">
            <w:pPr>
              <w:jc w:val="center"/>
              <w:rPr>
                <w:sz w:val="20"/>
                <w:szCs w:val="20"/>
              </w:rPr>
            </w:pPr>
            <w:r w:rsidRPr="00965D6A">
              <w:rPr>
                <w:sz w:val="20"/>
                <w:szCs w:val="20"/>
              </w:rPr>
              <w:t>14,698.100</w:t>
            </w:r>
          </w:p>
        </w:tc>
      </w:tr>
      <w:tr w:rsidR="00965D6A" w:rsidRPr="00965D6A" w14:paraId="511E4A5F" w14:textId="77777777" w:rsidTr="00F47CC8">
        <w:trPr>
          <w:trHeight w:val="34"/>
        </w:trPr>
        <w:tc>
          <w:tcPr>
            <w:tcW w:w="2970" w:type="dxa"/>
            <w:tcBorders>
              <w:top w:val="nil"/>
              <w:left w:val="nil"/>
              <w:right w:val="nil"/>
            </w:tcBorders>
            <w:tcMar>
              <w:top w:w="43" w:type="dxa"/>
              <w:left w:w="72" w:type="dxa"/>
              <w:bottom w:w="43" w:type="dxa"/>
              <w:right w:w="72" w:type="dxa"/>
            </w:tcMar>
          </w:tcPr>
          <w:p w14:paraId="351AA459" w14:textId="5DD516F9" w:rsidR="0013315B" w:rsidRPr="00965D6A" w:rsidRDefault="00016F92" w:rsidP="00010333">
            <w:pPr>
              <w:rPr>
                <w:sz w:val="20"/>
                <w:szCs w:val="20"/>
              </w:rPr>
            </w:pPr>
            <w:r w:rsidRPr="00965D6A">
              <w:rPr>
                <w:sz w:val="20"/>
                <w:szCs w:val="20"/>
              </w:rPr>
              <w:t xml:space="preserve">     </w:t>
            </w:r>
            <w:r w:rsidR="0013315B" w:rsidRPr="00965D6A">
              <w:rPr>
                <w:sz w:val="20"/>
                <w:szCs w:val="20"/>
              </w:rPr>
              <w:t>Pseudo R</w:t>
            </w:r>
            <w:r w:rsidR="0013315B" w:rsidRPr="00965D6A">
              <w:rPr>
                <w:sz w:val="20"/>
                <w:szCs w:val="20"/>
                <w:vertAlign w:val="superscript"/>
              </w:rPr>
              <w:t>2</w:t>
            </w:r>
          </w:p>
        </w:tc>
        <w:tc>
          <w:tcPr>
            <w:tcW w:w="1170" w:type="dxa"/>
            <w:tcBorders>
              <w:top w:val="nil"/>
              <w:left w:val="nil"/>
              <w:right w:val="nil"/>
            </w:tcBorders>
            <w:tcMar>
              <w:top w:w="43" w:type="dxa"/>
              <w:left w:w="72" w:type="dxa"/>
              <w:bottom w:w="43" w:type="dxa"/>
              <w:right w:w="72" w:type="dxa"/>
            </w:tcMar>
          </w:tcPr>
          <w:p w14:paraId="5A1FC6DE" w14:textId="77777777" w:rsidR="0013315B" w:rsidRPr="00965D6A" w:rsidRDefault="0013315B" w:rsidP="00010333">
            <w:pPr>
              <w:rPr>
                <w:sz w:val="20"/>
                <w:szCs w:val="20"/>
              </w:rPr>
            </w:pPr>
          </w:p>
        </w:tc>
        <w:tc>
          <w:tcPr>
            <w:tcW w:w="2162" w:type="dxa"/>
            <w:tcBorders>
              <w:top w:val="nil"/>
              <w:left w:val="nil"/>
              <w:right w:val="nil"/>
            </w:tcBorders>
            <w:tcMar>
              <w:top w:w="43" w:type="dxa"/>
              <w:left w:w="72" w:type="dxa"/>
              <w:bottom w:w="43" w:type="dxa"/>
              <w:right w:w="72" w:type="dxa"/>
            </w:tcMar>
          </w:tcPr>
          <w:p w14:paraId="101D1901" w14:textId="4076471B" w:rsidR="0013315B" w:rsidRPr="00965D6A" w:rsidDel="00107738" w:rsidRDefault="0013315B" w:rsidP="00010333">
            <w:pPr>
              <w:jc w:val="center"/>
              <w:rPr>
                <w:sz w:val="20"/>
                <w:szCs w:val="20"/>
              </w:rPr>
            </w:pPr>
            <w:r w:rsidRPr="00965D6A">
              <w:rPr>
                <w:sz w:val="20"/>
                <w:szCs w:val="20"/>
              </w:rPr>
              <w:t>——</w:t>
            </w:r>
          </w:p>
        </w:tc>
        <w:tc>
          <w:tcPr>
            <w:tcW w:w="2162" w:type="dxa"/>
            <w:tcBorders>
              <w:top w:val="nil"/>
              <w:left w:val="nil"/>
              <w:right w:val="nil"/>
            </w:tcBorders>
            <w:tcMar>
              <w:top w:w="43" w:type="dxa"/>
              <w:left w:w="72" w:type="dxa"/>
              <w:bottom w:w="43" w:type="dxa"/>
              <w:right w:w="72" w:type="dxa"/>
            </w:tcMar>
          </w:tcPr>
          <w:p w14:paraId="4754F37C" w14:textId="4F8C3B6F" w:rsidR="0013315B" w:rsidRPr="00965D6A" w:rsidDel="00CD5A5A" w:rsidRDefault="00016F92" w:rsidP="00010333">
            <w:pPr>
              <w:jc w:val="center"/>
              <w:rPr>
                <w:sz w:val="20"/>
                <w:szCs w:val="20"/>
              </w:rPr>
            </w:pPr>
            <w:r w:rsidRPr="00965D6A">
              <w:rPr>
                <w:sz w:val="20"/>
                <w:szCs w:val="20"/>
              </w:rPr>
              <w:t>0.180</w:t>
            </w:r>
          </w:p>
        </w:tc>
        <w:tc>
          <w:tcPr>
            <w:tcW w:w="2162" w:type="dxa"/>
            <w:tcBorders>
              <w:top w:val="nil"/>
              <w:left w:val="nil"/>
              <w:right w:val="nil"/>
            </w:tcBorders>
            <w:tcMar>
              <w:top w:w="43" w:type="dxa"/>
              <w:left w:w="72" w:type="dxa"/>
              <w:bottom w:w="43" w:type="dxa"/>
              <w:right w:w="72" w:type="dxa"/>
            </w:tcMar>
          </w:tcPr>
          <w:p w14:paraId="210DB7C3" w14:textId="0BD857FF" w:rsidR="0013315B" w:rsidRPr="00965D6A" w:rsidDel="0069788E" w:rsidRDefault="00E34E99" w:rsidP="00010333">
            <w:pPr>
              <w:jc w:val="center"/>
              <w:rPr>
                <w:sz w:val="20"/>
                <w:szCs w:val="20"/>
              </w:rPr>
            </w:pPr>
            <w:r w:rsidRPr="00965D6A">
              <w:rPr>
                <w:sz w:val="20"/>
                <w:szCs w:val="20"/>
              </w:rPr>
              <w:t>0.193</w:t>
            </w:r>
          </w:p>
        </w:tc>
        <w:tc>
          <w:tcPr>
            <w:tcW w:w="2163" w:type="dxa"/>
            <w:tcBorders>
              <w:top w:val="nil"/>
              <w:left w:val="nil"/>
              <w:right w:val="nil"/>
            </w:tcBorders>
          </w:tcPr>
          <w:p w14:paraId="264F73E8" w14:textId="7FD42973" w:rsidR="0013315B" w:rsidRPr="00965D6A" w:rsidDel="0069788E" w:rsidRDefault="00904385" w:rsidP="00010333">
            <w:pPr>
              <w:jc w:val="center"/>
              <w:rPr>
                <w:sz w:val="20"/>
                <w:szCs w:val="20"/>
              </w:rPr>
            </w:pPr>
            <w:r w:rsidRPr="00965D6A">
              <w:rPr>
                <w:sz w:val="20"/>
                <w:szCs w:val="20"/>
              </w:rPr>
              <w:t>0.195</w:t>
            </w:r>
          </w:p>
        </w:tc>
      </w:tr>
      <w:tr w:rsidR="00965D6A" w:rsidRPr="00965D6A" w14:paraId="38F67757" w14:textId="77777777" w:rsidTr="00F47CC8">
        <w:trPr>
          <w:trHeight w:val="34"/>
        </w:trPr>
        <w:tc>
          <w:tcPr>
            <w:tcW w:w="2970" w:type="dxa"/>
            <w:tcBorders>
              <w:top w:val="nil"/>
              <w:left w:val="nil"/>
              <w:right w:val="nil"/>
            </w:tcBorders>
            <w:tcMar>
              <w:top w:w="43" w:type="dxa"/>
              <w:left w:w="72" w:type="dxa"/>
              <w:bottom w:w="43" w:type="dxa"/>
              <w:right w:w="72" w:type="dxa"/>
            </w:tcMar>
          </w:tcPr>
          <w:p w14:paraId="5E0039E8" w14:textId="77777777" w:rsidR="00FA6E73" w:rsidRPr="00965D6A" w:rsidRDefault="00FA6E73" w:rsidP="00010333">
            <w:pPr>
              <w:rPr>
                <w:i/>
                <w:iCs/>
                <w:sz w:val="20"/>
                <w:szCs w:val="20"/>
              </w:rPr>
            </w:pPr>
            <w:r w:rsidRPr="00965D6A">
              <w:rPr>
                <w:i/>
                <w:iCs/>
                <w:sz w:val="20"/>
                <w:szCs w:val="20"/>
              </w:rPr>
              <w:t>Sample</w:t>
            </w:r>
          </w:p>
        </w:tc>
        <w:tc>
          <w:tcPr>
            <w:tcW w:w="1170" w:type="dxa"/>
            <w:tcBorders>
              <w:top w:val="nil"/>
              <w:left w:val="nil"/>
              <w:right w:val="nil"/>
            </w:tcBorders>
            <w:tcMar>
              <w:top w:w="43" w:type="dxa"/>
              <w:left w:w="72" w:type="dxa"/>
              <w:bottom w:w="43" w:type="dxa"/>
              <w:right w:w="72" w:type="dxa"/>
            </w:tcMar>
          </w:tcPr>
          <w:p w14:paraId="49BA6F71" w14:textId="77777777" w:rsidR="00FA6E73" w:rsidRPr="00965D6A" w:rsidRDefault="00FA6E73" w:rsidP="00010333">
            <w:pPr>
              <w:rPr>
                <w:sz w:val="20"/>
                <w:szCs w:val="20"/>
              </w:rPr>
            </w:pPr>
          </w:p>
        </w:tc>
        <w:tc>
          <w:tcPr>
            <w:tcW w:w="2162" w:type="dxa"/>
            <w:tcBorders>
              <w:top w:val="nil"/>
              <w:left w:val="nil"/>
              <w:right w:val="nil"/>
            </w:tcBorders>
            <w:tcMar>
              <w:top w:w="43" w:type="dxa"/>
              <w:left w:w="72" w:type="dxa"/>
              <w:bottom w:w="43" w:type="dxa"/>
              <w:right w:w="72" w:type="dxa"/>
            </w:tcMar>
          </w:tcPr>
          <w:p w14:paraId="10522D0D" w14:textId="77777777" w:rsidR="00FA6E73" w:rsidRPr="00965D6A" w:rsidRDefault="00FA6E73" w:rsidP="00010333">
            <w:pPr>
              <w:jc w:val="center"/>
              <w:rPr>
                <w:sz w:val="20"/>
                <w:szCs w:val="20"/>
              </w:rPr>
            </w:pPr>
          </w:p>
        </w:tc>
        <w:tc>
          <w:tcPr>
            <w:tcW w:w="2162" w:type="dxa"/>
            <w:tcBorders>
              <w:top w:val="nil"/>
              <w:left w:val="nil"/>
              <w:right w:val="nil"/>
            </w:tcBorders>
            <w:tcMar>
              <w:top w:w="43" w:type="dxa"/>
              <w:left w:w="72" w:type="dxa"/>
              <w:bottom w:w="43" w:type="dxa"/>
              <w:right w:w="72" w:type="dxa"/>
            </w:tcMar>
          </w:tcPr>
          <w:p w14:paraId="3B970DE3" w14:textId="77777777" w:rsidR="00FA6E73" w:rsidRPr="00965D6A" w:rsidRDefault="00FA6E73" w:rsidP="00010333">
            <w:pPr>
              <w:jc w:val="center"/>
              <w:rPr>
                <w:sz w:val="20"/>
                <w:szCs w:val="20"/>
              </w:rPr>
            </w:pPr>
          </w:p>
        </w:tc>
        <w:tc>
          <w:tcPr>
            <w:tcW w:w="2162" w:type="dxa"/>
            <w:tcBorders>
              <w:top w:val="nil"/>
              <w:left w:val="nil"/>
              <w:right w:val="nil"/>
            </w:tcBorders>
            <w:tcMar>
              <w:top w:w="43" w:type="dxa"/>
              <w:left w:w="72" w:type="dxa"/>
              <w:bottom w:w="43" w:type="dxa"/>
              <w:right w:w="72" w:type="dxa"/>
            </w:tcMar>
          </w:tcPr>
          <w:p w14:paraId="2CFC7FDA" w14:textId="77777777" w:rsidR="00FA6E73" w:rsidRPr="00965D6A" w:rsidRDefault="00FA6E73" w:rsidP="00010333">
            <w:pPr>
              <w:jc w:val="center"/>
              <w:rPr>
                <w:sz w:val="20"/>
                <w:szCs w:val="20"/>
              </w:rPr>
            </w:pPr>
          </w:p>
        </w:tc>
        <w:tc>
          <w:tcPr>
            <w:tcW w:w="2163" w:type="dxa"/>
            <w:tcBorders>
              <w:top w:val="nil"/>
              <w:left w:val="nil"/>
              <w:right w:val="nil"/>
            </w:tcBorders>
          </w:tcPr>
          <w:p w14:paraId="6DC1A57C" w14:textId="77777777" w:rsidR="00FA6E73" w:rsidRPr="00965D6A" w:rsidRDefault="00FA6E73" w:rsidP="00010333">
            <w:pPr>
              <w:jc w:val="center"/>
              <w:rPr>
                <w:sz w:val="20"/>
                <w:szCs w:val="20"/>
              </w:rPr>
            </w:pPr>
          </w:p>
        </w:tc>
      </w:tr>
      <w:tr w:rsidR="00965D6A" w:rsidRPr="00965D6A" w14:paraId="206784F6" w14:textId="77777777" w:rsidTr="00F47CC8">
        <w:trPr>
          <w:trHeight w:val="34"/>
        </w:trPr>
        <w:tc>
          <w:tcPr>
            <w:tcW w:w="2970" w:type="dxa"/>
            <w:tcBorders>
              <w:top w:val="nil"/>
              <w:left w:val="nil"/>
              <w:right w:val="nil"/>
            </w:tcBorders>
            <w:tcMar>
              <w:top w:w="43" w:type="dxa"/>
              <w:left w:w="72" w:type="dxa"/>
              <w:bottom w:w="43" w:type="dxa"/>
              <w:right w:w="72" w:type="dxa"/>
            </w:tcMar>
            <w:hideMark/>
          </w:tcPr>
          <w:p w14:paraId="624D10A8" w14:textId="77777777" w:rsidR="00D47D4C" w:rsidRPr="00965D6A" w:rsidRDefault="00D47D4C" w:rsidP="00D47D4C">
            <w:pPr>
              <w:rPr>
                <w:sz w:val="20"/>
                <w:szCs w:val="20"/>
              </w:rPr>
            </w:pPr>
            <w:r w:rsidRPr="00965D6A">
              <w:rPr>
                <w:sz w:val="20"/>
                <w:szCs w:val="20"/>
              </w:rPr>
              <w:t xml:space="preserve">     Observations</w:t>
            </w:r>
          </w:p>
        </w:tc>
        <w:tc>
          <w:tcPr>
            <w:tcW w:w="1170" w:type="dxa"/>
            <w:tcBorders>
              <w:top w:val="nil"/>
              <w:left w:val="nil"/>
              <w:right w:val="nil"/>
            </w:tcBorders>
            <w:tcMar>
              <w:top w:w="43" w:type="dxa"/>
              <w:left w:w="72" w:type="dxa"/>
              <w:bottom w:w="43" w:type="dxa"/>
              <w:right w:w="72" w:type="dxa"/>
            </w:tcMar>
            <w:hideMark/>
          </w:tcPr>
          <w:p w14:paraId="4184E4E2" w14:textId="77777777" w:rsidR="00D47D4C" w:rsidRPr="00965D6A" w:rsidRDefault="00D47D4C" w:rsidP="00D47D4C">
            <w:pPr>
              <w:rPr>
                <w:sz w:val="20"/>
                <w:szCs w:val="20"/>
              </w:rPr>
            </w:pPr>
          </w:p>
        </w:tc>
        <w:tc>
          <w:tcPr>
            <w:tcW w:w="2162" w:type="dxa"/>
            <w:tcBorders>
              <w:top w:val="nil"/>
              <w:left w:val="nil"/>
              <w:right w:val="nil"/>
            </w:tcBorders>
            <w:tcMar>
              <w:top w:w="43" w:type="dxa"/>
              <w:left w:w="72" w:type="dxa"/>
              <w:bottom w:w="43" w:type="dxa"/>
              <w:right w:w="72" w:type="dxa"/>
            </w:tcMar>
          </w:tcPr>
          <w:p w14:paraId="224D8280" w14:textId="08F96DCE" w:rsidR="00D47D4C" w:rsidRPr="00965D6A" w:rsidRDefault="00D47D4C" w:rsidP="00D47D4C">
            <w:pPr>
              <w:jc w:val="center"/>
              <w:rPr>
                <w:sz w:val="20"/>
                <w:szCs w:val="20"/>
              </w:rPr>
            </w:pPr>
            <w:r w:rsidRPr="00965D6A">
              <w:rPr>
                <w:sz w:val="20"/>
                <w:szCs w:val="20"/>
              </w:rPr>
              <w:t>8,862</w:t>
            </w:r>
          </w:p>
        </w:tc>
        <w:tc>
          <w:tcPr>
            <w:tcW w:w="2162" w:type="dxa"/>
            <w:tcBorders>
              <w:top w:val="nil"/>
              <w:left w:val="nil"/>
              <w:right w:val="nil"/>
            </w:tcBorders>
            <w:tcMar>
              <w:top w:w="43" w:type="dxa"/>
              <w:left w:w="72" w:type="dxa"/>
              <w:bottom w:w="43" w:type="dxa"/>
              <w:right w:w="72" w:type="dxa"/>
            </w:tcMar>
          </w:tcPr>
          <w:p w14:paraId="12943E85" w14:textId="63F62996" w:rsidR="00D47D4C" w:rsidRPr="00965D6A" w:rsidRDefault="00D47D4C" w:rsidP="00D47D4C">
            <w:pPr>
              <w:jc w:val="center"/>
              <w:rPr>
                <w:sz w:val="20"/>
                <w:szCs w:val="20"/>
              </w:rPr>
            </w:pPr>
            <w:r w:rsidRPr="00965D6A">
              <w:rPr>
                <w:sz w:val="20"/>
                <w:szCs w:val="20"/>
              </w:rPr>
              <w:t>8,862</w:t>
            </w:r>
          </w:p>
        </w:tc>
        <w:tc>
          <w:tcPr>
            <w:tcW w:w="2162" w:type="dxa"/>
            <w:tcBorders>
              <w:top w:val="nil"/>
              <w:left w:val="nil"/>
              <w:right w:val="nil"/>
            </w:tcBorders>
            <w:tcMar>
              <w:top w:w="43" w:type="dxa"/>
              <w:left w:w="72" w:type="dxa"/>
              <w:bottom w:w="43" w:type="dxa"/>
              <w:right w:w="72" w:type="dxa"/>
            </w:tcMar>
          </w:tcPr>
          <w:p w14:paraId="5C2F3BDF" w14:textId="75A650B5" w:rsidR="00D47D4C" w:rsidRPr="00965D6A" w:rsidRDefault="00D47D4C" w:rsidP="00D47D4C">
            <w:pPr>
              <w:jc w:val="center"/>
              <w:rPr>
                <w:sz w:val="20"/>
                <w:szCs w:val="20"/>
              </w:rPr>
            </w:pPr>
            <w:r w:rsidRPr="00965D6A">
              <w:rPr>
                <w:sz w:val="20"/>
                <w:szCs w:val="20"/>
              </w:rPr>
              <w:t>8,862</w:t>
            </w:r>
          </w:p>
        </w:tc>
        <w:tc>
          <w:tcPr>
            <w:tcW w:w="2163" w:type="dxa"/>
            <w:tcBorders>
              <w:top w:val="nil"/>
              <w:left w:val="nil"/>
              <w:right w:val="nil"/>
            </w:tcBorders>
          </w:tcPr>
          <w:p w14:paraId="1B18C5C3" w14:textId="08731B34" w:rsidR="00D47D4C" w:rsidRPr="00965D6A" w:rsidRDefault="00D47D4C" w:rsidP="00D47D4C">
            <w:pPr>
              <w:jc w:val="center"/>
              <w:rPr>
                <w:sz w:val="20"/>
                <w:szCs w:val="20"/>
              </w:rPr>
            </w:pPr>
            <w:r w:rsidRPr="00965D6A">
              <w:rPr>
                <w:sz w:val="20"/>
                <w:szCs w:val="20"/>
              </w:rPr>
              <w:t>8,862</w:t>
            </w:r>
          </w:p>
        </w:tc>
      </w:tr>
      <w:tr w:rsidR="00965D6A" w:rsidRPr="00965D6A" w14:paraId="7BD85A47" w14:textId="77777777" w:rsidTr="00F47CC8">
        <w:trPr>
          <w:trHeight w:val="34"/>
        </w:trPr>
        <w:tc>
          <w:tcPr>
            <w:tcW w:w="2970" w:type="dxa"/>
            <w:tcBorders>
              <w:left w:val="nil"/>
              <w:bottom w:val="single" w:sz="8" w:space="0" w:color="525053"/>
              <w:right w:val="nil"/>
            </w:tcBorders>
            <w:tcMar>
              <w:top w:w="43" w:type="dxa"/>
              <w:left w:w="72" w:type="dxa"/>
              <w:bottom w:w="43" w:type="dxa"/>
              <w:right w:w="72" w:type="dxa"/>
            </w:tcMar>
          </w:tcPr>
          <w:p w14:paraId="3E6490E8" w14:textId="77777777" w:rsidR="00D47D4C" w:rsidRPr="00965D6A" w:rsidRDefault="00D47D4C" w:rsidP="00D47D4C">
            <w:pPr>
              <w:rPr>
                <w:sz w:val="20"/>
                <w:szCs w:val="20"/>
              </w:rPr>
            </w:pPr>
            <w:r w:rsidRPr="00965D6A">
              <w:rPr>
                <w:sz w:val="20"/>
                <w:szCs w:val="20"/>
              </w:rPr>
              <w:t xml:space="preserve">     Number of groups</w:t>
            </w:r>
          </w:p>
        </w:tc>
        <w:tc>
          <w:tcPr>
            <w:tcW w:w="1170" w:type="dxa"/>
            <w:tcBorders>
              <w:left w:val="nil"/>
              <w:bottom w:val="single" w:sz="8" w:space="0" w:color="525053"/>
              <w:right w:val="nil"/>
            </w:tcBorders>
            <w:tcMar>
              <w:top w:w="43" w:type="dxa"/>
              <w:left w:w="72" w:type="dxa"/>
              <w:bottom w:w="43" w:type="dxa"/>
              <w:right w:w="72" w:type="dxa"/>
            </w:tcMar>
          </w:tcPr>
          <w:p w14:paraId="3317EF52" w14:textId="77777777" w:rsidR="00D47D4C" w:rsidRPr="00965D6A" w:rsidRDefault="00D47D4C" w:rsidP="00D47D4C">
            <w:pPr>
              <w:rPr>
                <w:sz w:val="20"/>
                <w:szCs w:val="20"/>
              </w:rPr>
            </w:pPr>
          </w:p>
        </w:tc>
        <w:tc>
          <w:tcPr>
            <w:tcW w:w="2162" w:type="dxa"/>
            <w:tcBorders>
              <w:left w:val="nil"/>
              <w:bottom w:val="single" w:sz="8" w:space="0" w:color="525053"/>
              <w:right w:val="nil"/>
            </w:tcBorders>
            <w:tcMar>
              <w:top w:w="43" w:type="dxa"/>
              <w:left w:w="72" w:type="dxa"/>
              <w:bottom w:w="43" w:type="dxa"/>
              <w:right w:w="72" w:type="dxa"/>
            </w:tcMar>
          </w:tcPr>
          <w:p w14:paraId="3844EADD" w14:textId="414D4144" w:rsidR="00D47D4C" w:rsidRPr="00965D6A" w:rsidRDefault="00D47D4C" w:rsidP="00D47D4C">
            <w:pPr>
              <w:jc w:val="center"/>
              <w:rPr>
                <w:sz w:val="20"/>
                <w:szCs w:val="20"/>
              </w:rPr>
            </w:pPr>
            <w:r w:rsidRPr="00965D6A">
              <w:rPr>
                <w:sz w:val="20"/>
                <w:szCs w:val="20"/>
              </w:rPr>
              <w:t>633</w:t>
            </w:r>
          </w:p>
        </w:tc>
        <w:tc>
          <w:tcPr>
            <w:tcW w:w="2162" w:type="dxa"/>
            <w:tcBorders>
              <w:left w:val="nil"/>
              <w:bottom w:val="single" w:sz="8" w:space="0" w:color="525053"/>
              <w:right w:val="nil"/>
            </w:tcBorders>
            <w:tcMar>
              <w:top w:w="43" w:type="dxa"/>
              <w:left w:w="72" w:type="dxa"/>
              <w:bottom w:w="43" w:type="dxa"/>
              <w:right w:w="72" w:type="dxa"/>
            </w:tcMar>
          </w:tcPr>
          <w:p w14:paraId="46F30477" w14:textId="4BCD9F00" w:rsidR="00D47D4C" w:rsidRPr="00965D6A" w:rsidRDefault="00D47D4C" w:rsidP="00D47D4C">
            <w:pPr>
              <w:jc w:val="center"/>
              <w:rPr>
                <w:sz w:val="20"/>
                <w:szCs w:val="20"/>
              </w:rPr>
            </w:pPr>
            <w:r w:rsidRPr="00965D6A">
              <w:rPr>
                <w:sz w:val="20"/>
                <w:szCs w:val="20"/>
              </w:rPr>
              <w:t>633</w:t>
            </w:r>
          </w:p>
        </w:tc>
        <w:tc>
          <w:tcPr>
            <w:tcW w:w="2162" w:type="dxa"/>
            <w:tcBorders>
              <w:left w:val="nil"/>
              <w:bottom w:val="single" w:sz="8" w:space="0" w:color="525053"/>
              <w:right w:val="nil"/>
            </w:tcBorders>
            <w:tcMar>
              <w:top w:w="43" w:type="dxa"/>
              <w:left w:w="72" w:type="dxa"/>
              <w:bottom w:w="43" w:type="dxa"/>
              <w:right w:w="72" w:type="dxa"/>
            </w:tcMar>
          </w:tcPr>
          <w:p w14:paraId="73FF1D72" w14:textId="2A599FEA" w:rsidR="00D47D4C" w:rsidRPr="00965D6A" w:rsidRDefault="00D47D4C" w:rsidP="00D47D4C">
            <w:pPr>
              <w:jc w:val="center"/>
              <w:rPr>
                <w:sz w:val="20"/>
                <w:szCs w:val="20"/>
              </w:rPr>
            </w:pPr>
            <w:r w:rsidRPr="00965D6A">
              <w:rPr>
                <w:sz w:val="20"/>
                <w:szCs w:val="20"/>
              </w:rPr>
              <w:t>633</w:t>
            </w:r>
          </w:p>
        </w:tc>
        <w:tc>
          <w:tcPr>
            <w:tcW w:w="2163" w:type="dxa"/>
            <w:tcBorders>
              <w:left w:val="nil"/>
              <w:bottom w:val="single" w:sz="8" w:space="0" w:color="525053"/>
              <w:right w:val="nil"/>
            </w:tcBorders>
          </w:tcPr>
          <w:p w14:paraId="1D19A4EA" w14:textId="4B589079" w:rsidR="00D47D4C" w:rsidRPr="00965D6A" w:rsidRDefault="00D47D4C" w:rsidP="00D47D4C">
            <w:pPr>
              <w:jc w:val="center"/>
              <w:rPr>
                <w:sz w:val="20"/>
                <w:szCs w:val="20"/>
              </w:rPr>
            </w:pPr>
            <w:r w:rsidRPr="00965D6A">
              <w:rPr>
                <w:sz w:val="20"/>
                <w:szCs w:val="20"/>
              </w:rPr>
              <w:t>633</w:t>
            </w:r>
          </w:p>
        </w:tc>
      </w:tr>
      <w:tr w:rsidR="00FA6E73" w:rsidRPr="00965D6A" w14:paraId="13237FC3" w14:textId="77777777" w:rsidTr="00010333">
        <w:trPr>
          <w:trHeight w:val="21"/>
        </w:trPr>
        <w:tc>
          <w:tcPr>
            <w:tcW w:w="12789" w:type="dxa"/>
            <w:gridSpan w:val="6"/>
            <w:tcBorders>
              <w:top w:val="single" w:sz="8" w:space="0" w:color="525053"/>
              <w:left w:val="nil"/>
              <w:bottom w:val="nil"/>
              <w:right w:val="nil"/>
            </w:tcBorders>
            <w:tcMar>
              <w:top w:w="43" w:type="dxa"/>
              <w:left w:w="72" w:type="dxa"/>
              <w:bottom w:w="43" w:type="dxa"/>
              <w:right w:w="72" w:type="dxa"/>
            </w:tcMar>
            <w:hideMark/>
          </w:tcPr>
          <w:p w14:paraId="4DBE6224" w14:textId="2B02C337" w:rsidR="00FA6E73" w:rsidRPr="00965D6A" w:rsidRDefault="00FA6E73" w:rsidP="00010333">
            <w:pPr>
              <w:rPr>
                <w:sz w:val="20"/>
                <w:szCs w:val="20"/>
              </w:rPr>
            </w:pPr>
            <w:r w:rsidRPr="00965D6A">
              <w:rPr>
                <w:i/>
                <w:iCs/>
                <w:sz w:val="20"/>
                <w:szCs w:val="20"/>
              </w:rPr>
              <w:t xml:space="preserve">Notes: </w:t>
            </w:r>
            <w:r w:rsidRPr="00965D6A">
              <w:rPr>
                <w:sz w:val="20"/>
                <w:szCs w:val="20"/>
              </w:rPr>
              <w:t xml:space="preserve">Outcome: </w:t>
            </w:r>
            <m:oMath>
              <m:sSub>
                <m:sSubPr>
                  <m:ctrlPr>
                    <w:rPr>
                      <w:rFonts w:ascii="Cambria Math" w:hAnsi="Cambria Math"/>
                      <w:i/>
                      <w:sz w:val="20"/>
                      <w:szCs w:val="20"/>
                    </w:rPr>
                  </m:ctrlPr>
                </m:sSubPr>
                <m:e>
                  <m:r>
                    <w:rPr>
                      <w:rFonts w:ascii="Cambria Math" w:hAnsi="Cambria Math"/>
                      <w:sz w:val="20"/>
                      <w:szCs w:val="20"/>
                    </w:rPr>
                    <m:t>LogitShareSpendOnline</m:t>
                  </m:r>
                </m:e>
                <m:sub>
                  <m:r>
                    <w:rPr>
                      <w:rFonts w:ascii="Cambria Math" w:hAnsi="Cambria Math"/>
                      <w:sz w:val="20"/>
                      <w:szCs w:val="20"/>
                    </w:rPr>
                    <m:t>jt</m:t>
                  </m:r>
                </m:sub>
              </m:sSub>
            </m:oMath>
            <w:r w:rsidRPr="00965D6A">
              <w:rPr>
                <w:rFonts w:eastAsiaTheme="minorEastAsia"/>
                <w:sz w:val="20"/>
                <w:szCs w:val="20"/>
              </w:rPr>
              <w:t xml:space="preserve">. </w:t>
            </w:r>
            <w:r w:rsidRPr="00965D6A">
              <w:rPr>
                <w:sz w:val="20"/>
                <w:szCs w:val="20"/>
              </w:rPr>
              <w:t xml:space="preserve">Models were analyzed with robust standard errors. </w:t>
            </w:r>
            <w:proofErr w:type="gramStart"/>
            <w:r w:rsidRPr="00965D6A">
              <w:rPr>
                <w:sz w:val="20"/>
                <w:szCs w:val="20"/>
              </w:rPr>
              <w:t>z-</w:t>
            </w:r>
            <w:proofErr w:type="gramEnd"/>
            <w:r w:rsidRPr="00965D6A">
              <w:rPr>
                <w:sz w:val="20"/>
                <w:szCs w:val="20"/>
              </w:rPr>
              <w:t>statistics are reported in parentheses; *</w:t>
            </w:r>
            <w:r w:rsidRPr="00965D6A">
              <w:rPr>
                <w:i/>
                <w:iCs/>
                <w:sz w:val="20"/>
                <w:szCs w:val="20"/>
              </w:rPr>
              <w:t xml:space="preserve">p </w:t>
            </w:r>
            <w:r w:rsidRPr="00965D6A">
              <w:rPr>
                <w:sz w:val="20"/>
                <w:szCs w:val="20"/>
              </w:rPr>
              <w:t>&lt; .10, **</w:t>
            </w:r>
            <w:r w:rsidRPr="00965D6A">
              <w:rPr>
                <w:i/>
                <w:iCs/>
                <w:sz w:val="20"/>
                <w:szCs w:val="20"/>
              </w:rPr>
              <w:t xml:space="preserve">p </w:t>
            </w:r>
            <w:r w:rsidRPr="00965D6A">
              <w:rPr>
                <w:sz w:val="20"/>
                <w:szCs w:val="20"/>
              </w:rPr>
              <w:t>&lt; .05, ***</w:t>
            </w:r>
            <w:r w:rsidRPr="00965D6A">
              <w:rPr>
                <w:i/>
                <w:iCs/>
                <w:sz w:val="20"/>
                <w:szCs w:val="20"/>
              </w:rPr>
              <w:t xml:space="preserve">p </w:t>
            </w:r>
            <w:r w:rsidRPr="00965D6A">
              <w:rPr>
                <w:sz w:val="20"/>
                <w:szCs w:val="20"/>
              </w:rPr>
              <w:t>&lt; .01.</w:t>
            </w:r>
          </w:p>
          <w:p w14:paraId="360C5B9E" w14:textId="3232FB55" w:rsidR="0094622F" w:rsidRPr="00965D6A" w:rsidRDefault="0094622F" w:rsidP="00010333">
            <w:pPr>
              <w:rPr>
                <w:i/>
                <w:iCs/>
                <w:sz w:val="20"/>
                <w:szCs w:val="20"/>
              </w:rPr>
            </w:pPr>
            <w:r w:rsidRPr="00965D6A">
              <w:rPr>
                <w:b/>
                <w:bCs/>
                <w:sz w:val="20"/>
                <w:szCs w:val="20"/>
              </w:rPr>
              <w:t xml:space="preserve">Source(s): </w:t>
            </w:r>
            <w:r w:rsidRPr="00965D6A">
              <w:rPr>
                <w:sz w:val="20"/>
                <w:szCs w:val="20"/>
              </w:rPr>
              <w:t xml:space="preserve">Authors’ </w:t>
            </w:r>
            <w:proofErr w:type="gramStart"/>
            <w:r w:rsidRPr="00965D6A">
              <w:rPr>
                <w:sz w:val="20"/>
                <w:szCs w:val="20"/>
              </w:rPr>
              <w:t>own</w:t>
            </w:r>
            <w:proofErr w:type="gramEnd"/>
            <w:r w:rsidRPr="00965D6A">
              <w:rPr>
                <w:sz w:val="20"/>
                <w:szCs w:val="20"/>
              </w:rPr>
              <w:t xml:space="preserve"> </w:t>
            </w:r>
            <w:r w:rsidR="00CB4F03">
              <w:rPr>
                <w:sz w:val="20"/>
                <w:szCs w:val="20"/>
              </w:rPr>
              <w:t>work</w:t>
            </w:r>
          </w:p>
        </w:tc>
      </w:tr>
    </w:tbl>
    <w:p w14:paraId="04F4D0B9" w14:textId="77777777" w:rsidR="00FA6E73" w:rsidRPr="00965D6A" w:rsidRDefault="00FA6E73" w:rsidP="00FA6E73">
      <w:pPr>
        <w:jc w:val="both"/>
        <w:sectPr w:rsidR="00FA6E73" w:rsidRPr="00965D6A" w:rsidSect="00FA6E73">
          <w:pgSz w:w="15840" w:h="12240" w:orient="landscape"/>
          <w:pgMar w:top="1440" w:right="1440" w:bottom="1440" w:left="1440" w:header="720" w:footer="720" w:gutter="0"/>
          <w:cols w:space="720"/>
          <w:docGrid w:linePitch="360"/>
        </w:sectPr>
      </w:pPr>
    </w:p>
    <w:p w14:paraId="3BA6C2ED" w14:textId="14793825" w:rsidR="00EC7A77" w:rsidRPr="00965D6A" w:rsidRDefault="00EC7A77" w:rsidP="00FA6E73">
      <w:pPr>
        <w:spacing w:line="480" w:lineRule="auto"/>
        <w:jc w:val="center"/>
        <w:rPr>
          <w:b/>
          <w:bCs/>
        </w:rPr>
      </w:pPr>
      <w:r w:rsidRPr="00965D6A">
        <w:rPr>
          <w:b/>
          <w:bCs/>
        </w:rPr>
        <w:lastRenderedPageBreak/>
        <w:t xml:space="preserve">Robustness test employing an alternate model specification </w:t>
      </w:r>
    </w:p>
    <w:p w14:paraId="529D35AE" w14:textId="67784F3C" w:rsidR="00027CD8" w:rsidRPr="00567E07" w:rsidRDefault="00027CD8" w:rsidP="00027CD8">
      <w:pPr>
        <w:pStyle w:val="NoSpacing"/>
        <w:spacing w:line="480" w:lineRule="auto"/>
        <w:jc w:val="both"/>
      </w:pPr>
      <w:r w:rsidRPr="00965D6A">
        <w:tab/>
      </w:r>
      <w:r w:rsidR="00150030" w:rsidRPr="00965D6A">
        <w:t xml:space="preserve">Given that the dependent variable in our primary analysis has some values of </w:t>
      </w:r>
      <w:r w:rsidR="009C5D38" w:rsidRPr="00965D6A">
        <w:t>zero</w:t>
      </w:r>
      <w:r w:rsidR="00150030" w:rsidRPr="00965D6A">
        <w:t xml:space="preserve"> (before </w:t>
      </w:r>
      <w:r w:rsidR="0096745A" w:rsidRPr="00965D6A">
        <w:t xml:space="preserve">the transformation described in Section </w:t>
      </w:r>
      <w:r w:rsidR="009C5D38" w:rsidRPr="00965D6A">
        <w:t>4.2 of the manuscript</w:t>
      </w:r>
      <w:r w:rsidR="00150030" w:rsidRPr="00965D6A">
        <w:t xml:space="preserve">), we </w:t>
      </w:r>
      <w:r w:rsidR="000871EE" w:rsidRPr="00965D6A">
        <w:t xml:space="preserve">next </w:t>
      </w:r>
      <w:r w:rsidR="00150030" w:rsidRPr="00965D6A">
        <w:t xml:space="preserve">employ a model specification that allows for </w:t>
      </w:r>
      <w:r w:rsidR="000871EE" w:rsidRPr="00965D6A">
        <w:t xml:space="preserve">proportions of zero to ensure that the transformation applied to the dependent variable in the primary analysis does not affect results. Specifically, we </w:t>
      </w:r>
      <w:r w:rsidR="0013315B" w:rsidRPr="00965D6A">
        <w:t xml:space="preserve">estimate a fractional logit model developed by </w:t>
      </w:r>
      <w:r w:rsidR="003957F3" w:rsidRPr="00965D6A">
        <w:t>Papke and Wooldridge</w:t>
      </w:r>
      <w:r w:rsidR="0013315B" w:rsidRPr="00965D6A">
        <w:t xml:space="preserve"> (</w:t>
      </w:r>
      <w:r w:rsidR="003957F3" w:rsidRPr="00965D6A">
        <w:t>1996)</w:t>
      </w:r>
      <w:r w:rsidR="0013315B" w:rsidRPr="00965D6A">
        <w:t xml:space="preserve">, accounting for the nested nature of our data. This approach is especially appropriate with large sample sizes like those we have </w:t>
      </w:r>
      <w:r w:rsidR="00C758BF" w:rsidRPr="00965D6A">
        <w:t>(</w:t>
      </w:r>
      <w:r w:rsidR="0013315B" w:rsidRPr="00965D6A">
        <w:t>Kieschnick and McCullough</w:t>
      </w:r>
      <w:r w:rsidR="00C758BF" w:rsidRPr="00965D6A">
        <w:t>,</w:t>
      </w:r>
      <w:r w:rsidR="0013315B" w:rsidRPr="00965D6A">
        <w:t xml:space="preserve"> 2003) and has been utilized in other studies where the dependent variable is fractional (Li </w:t>
      </w:r>
      <w:r w:rsidR="0013315B" w:rsidRPr="00965D6A">
        <w:rPr>
          <w:i/>
          <w:iCs/>
        </w:rPr>
        <w:t>et al</w:t>
      </w:r>
      <w:r w:rsidR="0013315B" w:rsidRPr="00567E07">
        <w:t>.</w:t>
      </w:r>
      <w:r w:rsidR="00FA6339" w:rsidRPr="00567E07">
        <w:t>,</w:t>
      </w:r>
      <w:r w:rsidR="0013315B" w:rsidRPr="00567E07">
        <w:t xml:space="preserve"> 2022). We fit this model using GLIMMIX in </w:t>
      </w:r>
      <w:r w:rsidR="00946942" w:rsidRPr="00567E07">
        <w:t>SAS 9.4</w:t>
      </w:r>
      <w:r w:rsidR="00C37852" w:rsidRPr="00567E07">
        <w:t xml:space="preserve">. </w:t>
      </w:r>
      <w:r w:rsidRPr="00567E07">
        <w:t xml:space="preserve">Results are reported in Table </w:t>
      </w:r>
      <w:r w:rsidR="00FA6E73" w:rsidRPr="00567E07">
        <w:t>E</w:t>
      </w:r>
      <w:r w:rsidRPr="00567E07">
        <w:t xml:space="preserve">. </w:t>
      </w:r>
      <w:r w:rsidR="00C37852" w:rsidRPr="00567E07">
        <w:t>Note that w</w:t>
      </w:r>
      <w:r w:rsidR="00EC7A77" w:rsidRPr="00567E07">
        <w:t xml:space="preserve">e are unable to test H2 given that this specification does not allow for random </w:t>
      </w:r>
      <w:r w:rsidR="0013315B" w:rsidRPr="00567E07">
        <w:t xml:space="preserve">effects </w:t>
      </w:r>
      <w:r w:rsidR="00407542" w:rsidRPr="00567E07">
        <w:t xml:space="preserve">on </w:t>
      </w:r>
      <w:r w:rsidR="00407542" w:rsidRPr="00567E07">
        <w:rPr>
          <w:i/>
          <w:iCs/>
        </w:rPr>
        <w:t>Trend</w:t>
      </w:r>
      <w:r w:rsidR="00DB739D" w:rsidRPr="00567E07">
        <w:rPr>
          <w:i/>
          <w:iCs/>
        </w:rPr>
        <w:t>10</w:t>
      </w:r>
      <w:r w:rsidR="009F1EB0" w:rsidRPr="00567E07">
        <w:rPr>
          <w:i/>
          <w:iCs/>
        </w:rPr>
        <w:t>to</w:t>
      </w:r>
      <w:r w:rsidR="00DB739D" w:rsidRPr="00567E07">
        <w:rPr>
          <w:i/>
          <w:iCs/>
        </w:rPr>
        <w:t>19</w:t>
      </w:r>
      <w:r w:rsidR="00407542" w:rsidRPr="00567E07">
        <w:t xml:space="preserve"> and </w:t>
      </w:r>
      <w:r w:rsidR="00DB739D" w:rsidRPr="00567E07">
        <w:rPr>
          <w:rFonts w:eastAsiaTheme="minorEastAsia"/>
          <w:i/>
          <w:iCs/>
        </w:rPr>
        <w:t>Jump20</w:t>
      </w:r>
      <w:r w:rsidR="009F1EB0" w:rsidRPr="00567E07">
        <w:rPr>
          <w:rFonts w:eastAsiaTheme="minorEastAsia"/>
          <w:i/>
          <w:iCs/>
        </w:rPr>
        <w:t>to</w:t>
      </w:r>
      <w:r w:rsidR="00DB739D" w:rsidRPr="00567E07">
        <w:rPr>
          <w:rFonts w:eastAsiaTheme="minorEastAsia"/>
          <w:i/>
          <w:iCs/>
        </w:rPr>
        <w:t>23</w:t>
      </w:r>
      <w:r w:rsidR="00255ABE" w:rsidRPr="00567E07">
        <w:t>.</w:t>
      </w:r>
      <w:r w:rsidR="00256ACE" w:rsidRPr="00567E07">
        <w:t xml:space="preserve"> </w:t>
      </w:r>
    </w:p>
    <w:p w14:paraId="7B8AE716" w14:textId="727DC927" w:rsidR="00027CD8" w:rsidRPr="00965D6A" w:rsidRDefault="00027CD8" w:rsidP="00F47CC8">
      <w:pPr>
        <w:spacing w:line="480" w:lineRule="auto"/>
        <w:jc w:val="both"/>
        <w:rPr>
          <w:i/>
          <w:iCs/>
        </w:rPr>
      </w:pPr>
      <w:r w:rsidRPr="00567E07">
        <w:tab/>
      </w:r>
      <w:r w:rsidRPr="00567E07">
        <w:rPr>
          <w:rFonts w:eastAsiaTheme="minorEastAsia"/>
        </w:rPr>
        <w:t xml:space="preserve">Looking at Model </w:t>
      </w:r>
      <w:r w:rsidR="00C37852" w:rsidRPr="00567E07">
        <w:rPr>
          <w:rFonts w:eastAsiaTheme="minorEastAsia"/>
        </w:rPr>
        <w:t>3</w:t>
      </w:r>
      <w:r w:rsidRPr="00567E07">
        <w:rPr>
          <w:rFonts w:eastAsiaTheme="minorEastAsia"/>
        </w:rPr>
        <w:t xml:space="preserve">, </w:t>
      </w:r>
      <w:r w:rsidR="00255ABE" w:rsidRPr="00567E07">
        <w:rPr>
          <w:rFonts w:eastAsiaTheme="minorEastAsia"/>
        </w:rPr>
        <w:t>aligned with the main analysis</w:t>
      </w:r>
      <w:r w:rsidRPr="00567E07">
        <w:rPr>
          <w:rFonts w:eastAsiaTheme="minorEastAsia"/>
        </w:rPr>
        <w:t xml:space="preserve">, there is a significant negative interaction between </w:t>
      </w:r>
      <w:r w:rsidRPr="00567E07">
        <w:rPr>
          <w:rFonts w:eastAsiaTheme="minorEastAsia"/>
          <w:i/>
          <w:iCs/>
        </w:rPr>
        <w:t>Trend</w:t>
      </w:r>
      <w:r w:rsidR="00DB739D" w:rsidRPr="00567E07">
        <w:rPr>
          <w:rFonts w:eastAsiaTheme="minorEastAsia"/>
          <w:i/>
          <w:iCs/>
        </w:rPr>
        <w:t>10</w:t>
      </w:r>
      <w:r w:rsidR="009F1EB0" w:rsidRPr="00567E07">
        <w:rPr>
          <w:rFonts w:eastAsiaTheme="minorEastAsia"/>
          <w:i/>
          <w:iCs/>
        </w:rPr>
        <w:t>to</w:t>
      </w:r>
      <w:r w:rsidR="00DB739D" w:rsidRPr="00567E07">
        <w:rPr>
          <w:rFonts w:eastAsiaTheme="minorEastAsia"/>
          <w:i/>
          <w:iCs/>
        </w:rPr>
        <w:t>19</w:t>
      </w:r>
      <w:r w:rsidRPr="00567E07">
        <w:rPr>
          <w:rFonts w:eastAsiaTheme="minorEastAsia"/>
        </w:rPr>
        <w:t xml:space="preserve"> and </w:t>
      </w:r>
      <m:oMath>
        <m:acc>
          <m:accPr>
            <m:chr m:val="̅"/>
            <m:ctrlPr>
              <w:rPr>
                <w:rFonts w:ascii="Cambria Math" w:hAnsi="Cambria Math"/>
                <w:i/>
              </w:rPr>
            </m:ctrlPr>
          </m:accPr>
          <m:e>
            <m:r>
              <w:rPr>
                <w:rFonts w:ascii="Cambria Math" w:hAnsi="Cambria Math"/>
              </w:rPr>
              <m:t>Rural</m:t>
            </m:r>
          </m:e>
        </m:acc>
      </m:oMath>
      <w:r w:rsidRPr="00567E07">
        <w:rPr>
          <w:rFonts w:eastAsiaTheme="minorEastAsia"/>
        </w:rPr>
        <w:t xml:space="preserve"> (</w:t>
      </w:r>
      <m:oMath>
        <m:sSub>
          <m:sSubPr>
            <m:ctrlPr>
              <w:rPr>
                <w:rFonts w:ascii="Cambria Math" w:hAnsi="Cambria Math"/>
                <w:i/>
                <w:iCs/>
              </w:rPr>
            </m:ctrlPr>
          </m:sSubPr>
          <m:e>
            <m:r>
              <w:rPr>
                <w:rFonts w:ascii="Cambria Math" w:hAnsi="Cambria Math"/>
              </w:rPr>
              <m:t>γ</m:t>
            </m:r>
          </m:e>
          <m:sub>
            <m:r>
              <w:rPr>
                <w:rFonts w:ascii="Cambria Math" w:hAnsi="Cambria Math"/>
              </w:rPr>
              <m:t>60</m:t>
            </m:r>
          </m:sub>
        </m:sSub>
      </m:oMath>
      <w:r w:rsidRPr="00567E07">
        <w:rPr>
          <w:rFonts w:eastAsiaTheme="minorEastAsia"/>
          <w:iCs/>
        </w:rPr>
        <w:t xml:space="preserve"> = –0.</w:t>
      </w:r>
      <w:r w:rsidR="00C37852" w:rsidRPr="00567E07">
        <w:rPr>
          <w:rFonts w:eastAsiaTheme="minorEastAsia"/>
          <w:iCs/>
        </w:rPr>
        <w:t>005</w:t>
      </w:r>
      <w:r w:rsidRPr="00567E07">
        <w:rPr>
          <w:rFonts w:eastAsiaTheme="minorEastAsia"/>
          <w:iCs/>
        </w:rPr>
        <w:t>, z-statistic = –</w:t>
      </w:r>
      <w:r w:rsidR="00C37852" w:rsidRPr="00567E07">
        <w:rPr>
          <w:rFonts w:eastAsiaTheme="minorEastAsia"/>
          <w:iCs/>
        </w:rPr>
        <w:t>3.60</w:t>
      </w:r>
      <w:r w:rsidRPr="00567E07">
        <w:rPr>
          <w:rFonts w:eastAsiaTheme="minorEastAsia"/>
          <w:iCs/>
        </w:rPr>
        <w:t>, p &lt; 0.</w:t>
      </w:r>
      <w:r w:rsidR="00C37852" w:rsidRPr="00567E07">
        <w:rPr>
          <w:rFonts w:eastAsiaTheme="minorEastAsia"/>
          <w:iCs/>
        </w:rPr>
        <w:t>01</w:t>
      </w:r>
      <w:r w:rsidR="0013315B" w:rsidRPr="00567E07">
        <w:rPr>
          <w:rFonts w:eastAsiaTheme="minorEastAsia"/>
          <w:iCs/>
        </w:rPr>
        <w:t>)</w:t>
      </w:r>
      <w:r w:rsidRPr="00567E07">
        <w:rPr>
          <w:rFonts w:eastAsiaTheme="minorEastAsia"/>
          <w:iCs/>
        </w:rPr>
        <w:t>, which</w:t>
      </w:r>
      <w:r w:rsidRPr="00567E07">
        <w:rPr>
          <w:rFonts w:eastAsiaTheme="minorEastAsia"/>
          <w:i/>
        </w:rPr>
        <w:t xml:space="preserve"> supports H1</w:t>
      </w:r>
      <w:r w:rsidR="0013315B" w:rsidRPr="00567E07">
        <w:rPr>
          <w:rFonts w:eastAsiaTheme="minorEastAsia"/>
          <w:i/>
        </w:rPr>
        <w:t xml:space="preserve">. </w:t>
      </w:r>
      <w:r w:rsidR="0026735E" w:rsidRPr="00567E07">
        <w:t xml:space="preserve">At the minimum value of </w:t>
      </w:r>
      <m:oMath>
        <m:acc>
          <m:accPr>
            <m:chr m:val="̅"/>
            <m:ctrlPr>
              <w:rPr>
                <w:rFonts w:ascii="Cambria Math" w:hAnsi="Cambria Math"/>
                <w:i/>
              </w:rPr>
            </m:ctrlPr>
          </m:accPr>
          <m:e>
            <m:r>
              <w:rPr>
                <w:rFonts w:ascii="Cambria Math" w:hAnsi="Cambria Math"/>
              </w:rPr>
              <m:t>Rural</m:t>
            </m:r>
          </m:e>
        </m:acc>
      </m:oMath>
      <w:r w:rsidR="0026735E" w:rsidRPr="00567E07">
        <w:rPr>
          <w:rFonts w:eastAsiaTheme="minorEastAsia"/>
        </w:rPr>
        <w:t xml:space="preserve"> (i.e., the most urban commuting zones), the passage of each year from 2010-2019 resulted in a </w:t>
      </w:r>
      <w:r w:rsidR="00D80318" w:rsidRPr="00567E07">
        <w:rPr>
          <w:rFonts w:eastAsiaTheme="minorEastAsia"/>
        </w:rPr>
        <w:t>7.2</w:t>
      </w:r>
      <w:r w:rsidR="0026735E" w:rsidRPr="00567E07">
        <w:rPr>
          <w:rFonts w:eastAsiaTheme="minorEastAsia"/>
        </w:rPr>
        <w:t xml:space="preserve">% increase in the odds of </w:t>
      </w:r>
      <w:r w:rsidR="009947B0" w:rsidRPr="00567E07">
        <w:rPr>
          <w:rFonts w:eastAsiaTheme="minorEastAsia"/>
        </w:rPr>
        <w:t>shopping online</w:t>
      </w:r>
      <w:r w:rsidR="0026735E" w:rsidRPr="00567E07">
        <w:rPr>
          <w:rFonts w:eastAsiaTheme="minorEastAsia"/>
        </w:rPr>
        <w:t xml:space="preserve">. In contrast, at the maximum of </w:t>
      </w:r>
      <m:oMath>
        <m:acc>
          <m:accPr>
            <m:chr m:val="̅"/>
            <m:ctrlPr>
              <w:rPr>
                <w:rFonts w:ascii="Cambria Math" w:hAnsi="Cambria Math"/>
                <w:i/>
              </w:rPr>
            </m:ctrlPr>
          </m:accPr>
          <m:e>
            <m:r>
              <w:rPr>
                <w:rFonts w:ascii="Cambria Math" w:hAnsi="Cambria Math"/>
              </w:rPr>
              <m:t>Rural</m:t>
            </m:r>
          </m:e>
        </m:acc>
      </m:oMath>
      <w:r w:rsidR="0026735E" w:rsidRPr="00567E07">
        <w:rPr>
          <w:rFonts w:eastAsiaTheme="minorEastAsia"/>
        </w:rPr>
        <w:t xml:space="preserve"> (i.e., the most rural commuting zones), the passage of each year from 2010-2019 resulted in a </w:t>
      </w:r>
      <w:r w:rsidR="00D80318" w:rsidRPr="00567E07">
        <w:rPr>
          <w:rFonts w:eastAsiaTheme="minorEastAsia"/>
        </w:rPr>
        <w:t>3.0</w:t>
      </w:r>
      <w:r w:rsidR="0026735E" w:rsidRPr="00567E07">
        <w:rPr>
          <w:rFonts w:eastAsiaTheme="minorEastAsia"/>
        </w:rPr>
        <w:t xml:space="preserve">% increase in the odds of </w:t>
      </w:r>
      <w:r w:rsidR="009947B0" w:rsidRPr="00567E07">
        <w:rPr>
          <w:rFonts w:eastAsiaTheme="minorEastAsia"/>
        </w:rPr>
        <w:t>shopping online</w:t>
      </w:r>
      <w:r w:rsidR="0026735E" w:rsidRPr="00567E07">
        <w:rPr>
          <w:rFonts w:eastAsiaTheme="minorEastAsia"/>
        </w:rPr>
        <w:t xml:space="preserve">. Accordingly, the marginal effect of </w:t>
      </w:r>
      <w:r w:rsidR="0026735E" w:rsidRPr="00567E07">
        <w:rPr>
          <w:rFonts w:eastAsiaTheme="minorEastAsia"/>
          <w:i/>
          <w:iCs/>
        </w:rPr>
        <w:t>Trend</w:t>
      </w:r>
      <w:r w:rsidR="00DB739D" w:rsidRPr="00567E07">
        <w:rPr>
          <w:rFonts w:eastAsiaTheme="minorEastAsia"/>
          <w:i/>
          <w:iCs/>
        </w:rPr>
        <w:t>10</w:t>
      </w:r>
      <w:r w:rsidR="009F1EB0" w:rsidRPr="00567E07">
        <w:rPr>
          <w:rFonts w:eastAsiaTheme="minorEastAsia"/>
          <w:i/>
          <w:iCs/>
        </w:rPr>
        <w:t>to</w:t>
      </w:r>
      <w:r w:rsidR="00DB739D" w:rsidRPr="00567E07">
        <w:rPr>
          <w:rFonts w:eastAsiaTheme="minorEastAsia"/>
          <w:i/>
          <w:iCs/>
        </w:rPr>
        <w:t>19</w:t>
      </w:r>
      <w:r w:rsidR="0026735E" w:rsidRPr="00567E07">
        <w:rPr>
          <w:rFonts w:eastAsiaTheme="minorEastAsia"/>
          <w:i/>
          <w:iCs/>
        </w:rPr>
        <w:t xml:space="preserve"> </w:t>
      </w:r>
      <w:r w:rsidR="0026735E" w:rsidRPr="00567E07">
        <w:rPr>
          <w:rFonts w:eastAsiaTheme="minorEastAsia"/>
        </w:rPr>
        <w:t xml:space="preserve">was more than double in the most urban zones compared with the most rural zones, suggesting a managerially relevant moderation effect. </w:t>
      </w:r>
      <w:r w:rsidRPr="00567E07">
        <w:rPr>
          <w:rFonts w:eastAsiaTheme="minorEastAsia"/>
        </w:rPr>
        <w:t xml:space="preserve">As it relates to H3, consistent with the primary analysis, Model </w:t>
      </w:r>
      <w:r w:rsidR="00C37852" w:rsidRPr="00567E07">
        <w:rPr>
          <w:rFonts w:eastAsiaTheme="minorEastAsia"/>
        </w:rPr>
        <w:t>3</w:t>
      </w:r>
      <w:r w:rsidRPr="00567E07">
        <w:rPr>
          <w:rFonts w:eastAsiaTheme="minorEastAsia"/>
        </w:rPr>
        <w:t xml:space="preserve"> reports a significant negative interaction between </w:t>
      </w:r>
      <w:r w:rsidR="00DB739D" w:rsidRPr="00567E07">
        <w:rPr>
          <w:rFonts w:eastAsiaTheme="minorEastAsia"/>
          <w:i/>
          <w:iCs/>
        </w:rPr>
        <w:t>Jump20</w:t>
      </w:r>
      <w:r w:rsidR="009F1EB0" w:rsidRPr="00567E07">
        <w:rPr>
          <w:rFonts w:eastAsiaTheme="minorEastAsia"/>
          <w:i/>
          <w:iCs/>
        </w:rPr>
        <w:t>to</w:t>
      </w:r>
      <w:r w:rsidR="00DB739D" w:rsidRPr="00567E07">
        <w:rPr>
          <w:rFonts w:eastAsiaTheme="minorEastAsia"/>
          <w:i/>
          <w:iCs/>
        </w:rPr>
        <w:t>23</w:t>
      </w:r>
      <w:r w:rsidRPr="00567E07">
        <w:rPr>
          <w:rFonts w:eastAsiaTheme="minorEastAsia"/>
        </w:rPr>
        <w:t xml:space="preserve"> and </w:t>
      </w:r>
      <m:oMath>
        <m:acc>
          <m:accPr>
            <m:chr m:val="̅"/>
            <m:ctrlPr>
              <w:rPr>
                <w:rFonts w:ascii="Cambria Math" w:hAnsi="Cambria Math"/>
                <w:i/>
              </w:rPr>
            </m:ctrlPr>
          </m:accPr>
          <m:e>
            <m:r>
              <w:rPr>
                <w:rFonts w:ascii="Cambria Math" w:hAnsi="Cambria Math"/>
              </w:rPr>
              <m:t>Rural</m:t>
            </m:r>
          </m:e>
        </m:acc>
      </m:oMath>
      <w:r w:rsidRPr="00567E07">
        <w:rPr>
          <w:rFonts w:eastAsiaTheme="minorEastAsia"/>
        </w:rPr>
        <w:t xml:space="preserve"> (</w:t>
      </w:r>
      <m:oMath>
        <m:sSub>
          <m:sSubPr>
            <m:ctrlPr>
              <w:rPr>
                <w:rFonts w:ascii="Cambria Math" w:hAnsi="Cambria Math"/>
                <w:i/>
                <w:iCs/>
              </w:rPr>
            </m:ctrlPr>
          </m:sSubPr>
          <m:e>
            <m:r>
              <w:rPr>
                <w:rFonts w:ascii="Cambria Math" w:hAnsi="Cambria Math"/>
              </w:rPr>
              <m:t>γ</m:t>
            </m:r>
          </m:e>
          <m:sub>
            <m:r>
              <w:rPr>
                <w:rFonts w:ascii="Cambria Math" w:hAnsi="Cambria Math"/>
              </w:rPr>
              <m:t>60</m:t>
            </m:r>
          </m:sub>
        </m:sSub>
      </m:oMath>
      <w:r w:rsidRPr="00567E07">
        <w:rPr>
          <w:rFonts w:eastAsiaTheme="minorEastAsia"/>
          <w:iCs/>
        </w:rPr>
        <w:t xml:space="preserve"> = –0.02</w:t>
      </w:r>
      <w:r w:rsidR="009C6672" w:rsidRPr="00567E07">
        <w:rPr>
          <w:rFonts w:eastAsiaTheme="minorEastAsia"/>
          <w:iCs/>
        </w:rPr>
        <w:t>1</w:t>
      </w:r>
      <w:r w:rsidRPr="00567E07">
        <w:rPr>
          <w:rFonts w:eastAsiaTheme="minorEastAsia"/>
          <w:iCs/>
        </w:rPr>
        <w:t>, z-statistic = –2.</w:t>
      </w:r>
      <w:r w:rsidR="009C6672" w:rsidRPr="00567E07">
        <w:rPr>
          <w:rFonts w:eastAsiaTheme="minorEastAsia"/>
          <w:iCs/>
        </w:rPr>
        <w:t>61</w:t>
      </w:r>
      <w:r w:rsidRPr="00567E07">
        <w:rPr>
          <w:rFonts w:eastAsiaTheme="minorEastAsia"/>
          <w:iCs/>
        </w:rPr>
        <w:t>, p &lt; 0.0</w:t>
      </w:r>
      <w:r w:rsidR="009C6672" w:rsidRPr="00567E07">
        <w:rPr>
          <w:rFonts w:eastAsiaTheme="minorEastAsia"/>
          <w:iCs/>
        </w:rPr>
        <w:t>1</w:t>
      </w:r>
      <w:r w:rsidRPr="00567E07">
        <w:rPr>
          <w:rFonts w:eastAsiaTheme="minorEastAsia"/>
          <w:iCs/>
        </w:rPr>
        <w:t xml:space="preserve">). </w:t>
      </w:r>
      <w:r w:rsidR="00407542" w:rsidRPr="00567E07">
        <w:t xml:space="preserve">At the minimum value of </w:t>
      </w:r>
      <m:oMath>
        <m:acc>
          <m:accPr>
            <m:chr m:val="̅"/>
            <m:ctrlPr>
              <w:rPr>
                <w:rFonts w:ascii="Cambria Math" w:hAnsi="Cambria Math"/>
                <w:i/>
              </w:rPr>
            </m:ctrlPr>
          </m:accPr>
          <m:e>
            <m:r>
              <w:rPr>
                <w:rFonts w:ascii="Cambria Math" w:hAnsi="Cambria Math"/>
              </w:rPr>
              <m:t>Rural</m:t>
            </m:r>
          </m:e>
        </m:acc>
      </m:oMath>
      <w:r w:rsidR="00407542" w:rsidRPr="00567E07">
        <w:rPr>
          <w:iCs/>
        </w:rPr>
        <w:t xml:space="preserve"> (i.e., in the most urban commuting zones), the onset of the COVID-19 pandemic resulted in a</w:t>
      </w:r>
      <w:r w:rsidR="00FA6339" w:rsidRPr="00567E07">
        <w:rPr>
          <w:iCs/>
        </w:rPr>
        <w:t>n</w:t>
      </w:r>
      <w:r w:rsidR="00407542" w:rsidRPr="00567E07">
        <w:rPr>
          <w:iCs/>
        </w:rPr>
        <w:t xml:space="preserve"> 80.2% increase in the odds of </w:t>
      </w:r>
      <w:r w:rsidR="00F9624E" w:rsidRPr="00567E07">
        <w:rPr>
          <w:rFonts w:eastAsiaTheme="minorEastAsia"/>
        </w:rPr>
        <w:t>shopping</w:t>
      </w:r>
      <w:r w:rsidR="009947B0" w:rsidRPr="00567E07">
        <w:rPr>
          <w:rFonts w:eastAsiaTheme="minorEastAsia"/>
        </w:rPr>
        <w:t xml:space="preserve"> online</w:t>
      </w:r>
      <w:r w:rsidR="00407542" w:rsidRPr="00567E07">
        <w:rPr>
          <w:iCs/>
        </w:rPr>
        <w:t xml:space="preserve">. In contrast, at </w:t>
      </w:r>
      <w:r w:rsidR="00407542" w:rsidRPr="00567E07">
        <w:rPr>
          <w:rFonts w:eastAsiaTheme="minorEastAsia"/>
        </w:rPr>
        <w:t xml:space="preserve">the maximum of </w:t>
      </w:r>
      <m:oMath>
        <m:acc>
          <m:accPr>
            <m:chr m:val="̅"/>
            <m:ctrlPr>
              <w:rPr>
                <w:rFonts w:ascii="Cambria Math" w:hAnsi="Cambria Math"/>
                <w:i/>
              </w:rPr>
            </m:ctrlPr>
          </m:accPr>
          <m:e>
            <m:r>
              <w:rPr>
                <w:rFonts w:ascii="Cambria Math" w:hAnsi="Cambria Math"/>
              </w:rPr>
              <m:t>Rural</m:t>
            </m:r>
          </m:e>
        </m:acc>
      </m:oMath>
      <w:r w:rsidR="00407542" w:rsidRPr="00567E07">
        <w:rPr>
          <w:rFonts w:eastAsiaTheme="minorEastAsia"/>
        </w:rPr>
        <w:t xml:space="preserve"> (i.e., the most rural </w:t>
      </w:r>
      <w:r w:rsidR="00407542" w:rsidRPr="00567E07">
        <w:rPr>
          <w:rFonts w:eastAsiaTheme="minorEastAsia"/>
        </w:rPr>
        <w:lastRenderedPageBreak/>
        <w:t xml:space="preserve">commuting zones), </w:t>
      </w:r>
      <w:r w:rsidR="00407542" w:rsidRPr="00567E07">
        <w:rPr>
          <w:iCs/>
        </w:rPr>
        <w:t xml:space="preserve">the onset of the COVID-19 pandemic resulted in a 52.4% increase in the odds of </w:t>
      </w:r>
      <w:r w:rsidR="009947B0" w:rsidRPr="00567E07">
        <w:rPr>
          <w:rFonts w:eastAsiaTheme="minorEastAsia"/>
        </w:rPr>
        <w:t>shopping online</w:t>
      </w:r>
      <w:r w:rsidR="00407542" w:rsidRPr="00567E07">
        <w:rPr>
          <w:iCs/>
        </w:rPr>
        <w:t>. This is also a practically relevant moderation effect</w:t>
      </w:r>
      <w:r w:rsidR="00407542" w:rsidRPr="00567E07">
        <w:t xml:space="preserve">. </w:t>
      </w:r>
      <w:r w:rsidRPr="00567E07">
        <w:t xml:space="preserve">Accordingly, </w:t>
      </w:r>
      <w:r w:rsidRPr="00567E07">
        <w:rPr>
          <w:i/>
          <w:iCs/>
        </w:rPr>
        <w:t>H3 is supported</w:t>
      </w:r>
      <w:r w:rsidR="00407542" w:rsidRPr="00567E07">
        <w:rPr>
          <w:i/>
          <w:iCs/>
        </w:rPr>
        <w:t xml:space="preserve"> </w:t>
      </w:r>
      <w:r w:rsidR="00407542" w:rsidRPr="00567E07">
        <w:t xml:space="preserve">using the fractional logit approach outlined </w:t>
      </w:r>
      <w:r w:rsidR="00407542" w:rsidRPr="00965D6A">
        <w:t>by Papke and Wooldridge (1996)</w:t>
      </w:r>
      <w:r w:rsidRPr="00965D6A">
        <w:rPr>
          <w:i/>
          <w:iCs/>
        </w:rPr>
        <w:t>.</w:t>
      </w:r>
    </w:p>
    <w:p w14:paraId="3CB06F82" w14:textId="77777777" w:rsidR="00FA6E73" w:rsidRPr="00965D6A" w:rsidRDefault="00FA6E73" w:rsidP="00FA6E73">
      <w:pPr>
        <w:jc w:val="both"/>
        <w:rPr>
          <w:b/>
          <w:bCs/>
        </w:rPr>
        <w:sectPr w:rsidR="00FA6E73" w:rsidRPr="00965D6A">
          <w:pgSz w:w="12240" w:h="15840"/>
          <w:pgMar w:top="1440" w:right="1440" w:bottom="1440" w:left="1440" w:header="720" w:footer="720" w:gutter="0"/>
          <w:cols w:space="720"/>
          <w:docGrid w:linePitch="360"/>
        </w:sectPr>
      </w:pPr>
    </w:p>
    <w:p w14:paraId="430C4F86" w14:textId="7E42C7CB" w:rsidR="00FA6E73" w:rsidRPr="00965D6A" w:rsidRDefault="00FA6E73" w:rsidP="00FA6E73">
      <w:pPr>
        <w:jc w:val="both"/>
      </w:pPr>
      <w:r w:rsidRPr="00965D6A">
        <w:rPr>
          <w:b/>
          <w:bCs/>
        </w:rPr>
        <w:lastRenderedPageBreak/>
        <w:t>T</w:t>
      </w:r>
      <w:r w:rsidR="00764473" w:rsidRPr="00965D6A">
        <w:rPr>
          <w:b/>
          <w:bCs/>
        </w:rPr>
        <w:t xml:space="preserve">able </w:t>
      </w:r>
      <w:r w:rsidRPr="00965D6A">
        <w:rPr>
          <w:b/>
          <w:bCs/>
        </w:rPr>
        <w:t>E.</w:t>
      </w:r>
      <w:r w:rsidRPr="00965D6A">
        <w:t xml:space="preserve"> Robustness test results, </w:t>
      </w:r>
      <w:r w:rsidR="00C20D66" w:rsidRPr="00965D6A">
        <w:t>fractional logit specification</w:t>
      </w:r>
    </w:p>
    <w:tbl>
      <w:tblPr>
        <w:tblW w:w="11874" w:type="dxa"/>
        <w:tblCellMar>
          <w:left w:w="0" w:type="dxa"/>
          <w:right w:w="0" w:type="dxa"/>
        </w:tblCellMar>
        <w:tblLook w:val="04A0" w:firstRow="1" w:lastRow="0" w:firstColumn="1" w:lastColumn="0" w:noHBand="0" w:noVBand="1"/>
      </w:tblPr>
      <w:tblGrid>
        <w:gridCol w:w="4185"/>
        <w:gridCol w:w="633"/>
        <w:gridCol w:w="2369"/>
        <w:gridCol w:w="2348"/>
        <w:gridCol w:w="2339"/>
      </w:tblGrid>
      <w:tr w:rsidR="00965D6A" w:rsidRPr="00965D6A" w14:paraId="61C302B7" w14:textId="77777777" w:rsidTr="00154002">
        <w:trPr>
          <w:trHeight w:val="53"/>
        </w:trPr>
        <w:tc>
          <w:tcPr>
            <w:tcW w:w="4185" w:type="dxa"/>
            <w:tcBorders>
              <w:top w:val="single" w:sz="4" w:space="0" w:color="auto"/>
              <w:left w:val="nil"/>
              <w:bottom w:val="single" w:sz="8" w:space="0" w:color="525053"/>
              <w:right w:val="nil"/>
            </w:tcBorders>
            <w:tcMar>
              <w:top w:w="43" w:type="dxa"/>
              <w:left w:w="72" w:type="dxa"/>
              <w:bottom w:w="43" w:type="dxa"/>
              <w:right w:w="72" w:type="dxa"/>
            </w:tcMar>
            <w:hideMark/>
          </w:tcPr>
          <w:p w14:paraId="4A539EE5" w14:textId="77777777" w:rsidR="00154002" w:rsidRPr="00965D6A" w:rsidRDefault="00154002" w:rsidP="00010333">
            <w:pPr>
              <w:rPr>
                <w:sz w:val="20"/>
                <w:szCs w:val="20"/>
              </w:rPr>
            </w:pPr>
          </w:p>
        </w:tc>
        <w:tc>
          <w:tcPr>
            <w:tcW w:w="633" w:type="dxa"/>
            <w:tcBorders>
              <w:top w:val="single" w:sz="4" w:space="0" w:color="auto"/>
              <w:left w:val="nil"/>
              <w:bottom w:val="single" w:sz="8" w:space="0" w:color="525053"/>
              <w:right w:val="nil"/>
            </w:tcBorders>
            <w:tcMar>
              <w:top w:w="43" w:type="dxa"/>
              <w:left w:w="72" w:type="dxa"/>
              <w:bottom w:w="43" w:type="dxa"/>
              <w:right w:w="72" w:type="dxa"/>
            </w:tcMar>
            <w:vAlign w:val="center"/>
            <w:hideMark/>
          </w:tcPr>
          <w:p w14:paraId="0503A185" w14:textId="77777777" w:rsidR="00154002" w:rsidRPr="00965D6A" w:rsidRDefault="00154002" w:rsidP="00010333">
            <w:pPr>
              <w:jc w:val="center"/>
              <w:rPr>
                <w:sz w:val="20"/>
                <w:szCs w:val="20"/>
              </w:rPr>
            </w:pPr>
            <w:r w:rsidRPr="00965D6A">
              <w:rPr>
                <w:b/>
                <w:bCs/>
                <w:sz w:val="20"/>
                <w:szCs w:val="20"/>
              </w:rPr>
              <w:t>Label</w:t>
            </w:r>
          </w:p>
        </w:tc>
        <w:tc>
          <w:tcPr>
            <w:tcW w:w="2369" w:type="dxa"/>
            <w:tcBorders>
              <w:top w:val="single" w:sz="4" w:space="0" w:color="auto"/>
              <w:left w:val="nil"/>
              <w:bottom w:val="single" w:sz="8" w:space="0" w:color="525053"/>
              <w:right w:val="nil"/>
            </w:tcBorders>
            <w:tcMar>
              <w:top w:w="43" w:type="dxa"/>
              <w:left w:w="72" w:type="dxa"/>
              <w:bottom w:w="43" w:type="dxa"/>
              <w:right w:w="72" w:type="dxa"/>
            </w:tcMar>
            <w:vAlign w:val="center"/>
            <w:hideMark/>
          </w:tcPr>
          <w:p w14:paraId="092F541B" w14:textId="62F7A50A" w:rsidR="00154002" w:rsidRPr="00965D6A" w:rsidRDefault="00154002" w:rsidP="00010333">
            <w:pPr>
              <w:jc w:val="center"/>
              <w:rPr>
                <w:sz w:val="20"/>
                <w:szCs w:val="20"/>
              </w:rPr>
            </w:pPr>
            <w:r w:rsidRPr="00965D6A">
              <w:rPr>
                <w:b/>
                <w:bCs/>
                <w:sz w:val="20"/>
                <w:szCs w:val="20"/>
              </w:rPr>
              <w:t>Model 1</w:t>
            </w:r>
          </w:p>
        </w:tc>
        <w:tc>
          <w:tcPr>
            <w:tcW w:w="2348" w:type="dxa"/>
            <w:tcBorders>
              <w:top w:val="single" w:sz="4" w:space="0" w:color="auto"/>
              <w:left w:val="nil"/>
              <w:bottom w:val="single" w:sz="8" w:space="0" w:color="525053"/>
              <w:right w:val="nil"/>
            </w:tcBorders>
            <w:tcMar>
              <w:top w:w="43" w:type="dxa"/>
              <w:left w:w="72" w:type="dxa"/>
              <w:bottom w:w="43" w:type="dxa"/>
              <w:right w:w="72" w:type="dxa"/>
            </w:tcMar>
            <w:vAlign w:val="center"/>
            <w:hideMark/>
          </w:tcPr>
          <w:p w14:paraId="77BA3D70" w14:textId="518358DB" w:rsidR="00154002" w:rsidRPr="00965D6A" w:rsidRDefault="00154002" w:rsidP="00010333">
            <w:pPr>
              <w:jc w:val="center"/>
              <w:rPr>
                <w:sz w:val="20"/>
                <w:szCs w:val="20"/>
              </w:rPr>
            </w:pPr>
            <w:r w:rsidRPr="00965D6A">
              <w:rPr>
                <w:b/>
                <w:bCs/>
                <w:sz w:val="20"/>
                <w:szCs w:val="20"/>
              </w:rPr>
              <w:t>Model 2</w:t>
            </w:r>
          </w:p>
        </w:tc>
        <w:tc>
          <w:tcPr>
            <w:tcW w:w="2339" w:type="dxa"/>
            <w:tcBorders>
              <w:top w:val="single" w:sz="4" w:space="0" w:color="auto"/>
              <w:left w:val="nil"/>
              <w:bottom w:val="single" w:sz="8" w:space="0" w:color="525053"/>
              <w:right w:val="nil"/>
            </w:tcBorders>
            <w:vAlign w:val="center"/>
          </w:tcPr>
          <w:p w14:paraId="3ED3E347" w14:textId="36F4BCCD" w:rsidR="00154002" w:rsidRPr="00965D6A" w:rsidRDefault="00154002" w:rsidP="00010333">
            <w:pPr>
              <w:jc w:val="center"/>
              <w:rPr>
                <w:b/>
                <w:bCs/>
                <w:sz w:val="20"/>
                <w:szCs w:val="20"/>
              </w:rPr>
            </w:pPr>
            <w:r w:rsidRPr="00965D6A">
              <w:rPr>
                <w:b/>
                <w:bCs/>
                <w:sz w:val="20"/>
                <w:szCs w:val="20"/>
              </w:rPr>
              <w:t>Model 3</w:t>
            </w:r>
          </w:p>
        </w:tc>
      </w:tr>
      <w:tr w:rsidR="00965D6A" w:rsidRPr="00965D6A" w14:paraId="6AEF3A3C" w14:textId="77777777" w:rsidTr="00154002">
        <w:trPr>
          <w:trHeight w:val="21"/>
        </w:trPr>
        <w:tc>
          <w:tcPr>
            <w:tcW w:w="4185" w:type="dxa"/>
            <w:tcBorders>
              <w:top w:val="single" w:sz="8" w:space="0" w:color="525053"/>
              <w:left w:val="nil"/>
              <w:right w:val="nil"/>
            </w:tcBorders>
            <w:tcMar>
              <w:top w:w="43" w:type="dxa"/>
              <w:left w:w="72" w:type="dxa"/>
              <w:bottom w:w="43" w:type="dxa"/>
              <w:right w:w="72" w:type="dxa"/>
            </w:tcMar>
          </w:tcPr>
          <w:p w14:paraId="114C2437" w14:textId="77777777" w:rsidR="00154002" w:rsidRPr="00965D6A" w:rsidRDefault="00154002" w:rsidP="00010333">
            <w:pPr>
              <w:rPr>
                <w:i/>
                <w:iCs/>
                <w:sz w:val="20"/>
                <w:szCs w:val="20"/>
              </w:rPr>
            </w:pPr>
            <w:r w:rsidRPr="00965D6A">
              <w:rPr>
                <w:i/>
                <w:iCs/>
                <w:sz w:val="20"/>
                <w:szCs w:val="20"/>
              </w:rPr>
              <w:t>Fixed effects</w:t>
            </w:r>
          </w:p>
        </w:tc>
        <w:tc>
          <w:tcPr>
            <w:tcW w:w="633" w:type="dxa"/>
            <w:tcBorders>
              <w:top w:val="single" w:sz="8" w:space="0" w:color="525053"/>
              <w:left w:val="nil"/>
              <w:right w:val="nil"/>
            </w:tcBorders>
            <w:tcMar>
              <w:top w:w="43" w:type="dxa"/>
              <w:left w:w="72" w:type="dxa"/>
              <w:bottom w:w="43" w:type="dxa"/>
              <w:right w:w="72" w:type="dxa"/>
            </w:tcMar>
          </w:tcPr>
          <w:p w14:paraId="3115FD84" w14:textId="77777777" w:rsidR="00154002" w:rsidRPr="00965D6A" w:rsidRDefault="00154002" w:rsidP="00010333">
            <w:pPr>
              <w:rPr>
                <w:sz w:val="20"/>
                <w:szCs w:val="20"/>
              </w:rPr>
            </w:pPr>
          </w:p>
        </w:tc>
        <w:tc>
          <w:tcPr>
            <w:tcW w:w="2369" w:type="dxa"/>
            <w:tcBorders>
              <w:top w:val="single" w:sz="8" w:space="0" w:color="525053"/>
              <w:left w:val="nil"/>
              <w:right w:val="nil"/>
            </w:tcBorders>
            <w:tcMar>
              <w:top w:w="43" w:type="dxa"/>
              <w:left w:w="72" w:type="dxa"/>
              <w:bottom w:w="43" w:type="dxa"/>
              <w:right w:w="72" w:type="dxa"/>
            </w:tcMar>
          </w:tcPr>
          <w:p w14:paraId="54495E53" w14:textId="77777777" w:rsidR="00154002" w:rsidRPr="00965D6A" w:rsidRDefault="00154002" w:rsidP="00010333">
            <w:pPr>
              <w:tabs>
                <w:tab w:val="decimal" w:pos="432"/>
              </w:tabs>
              <w:rPr>
                <w:sz w:val="20"/>
                <w:szCs w:val="20"/>
              </w:rPr>
            </w:pPr>
          </w:p>
        </w:tc>
        <w:tc>
          <w:tcPr>
            <w:tcW w:w="2348" w:type="dxa"/>
            <w:tcBorders>
              <w:top w:val="single" w:sz="8" w:space="0" w:color="525053"/>
              <w:left w:val="nil"/>
              <w:right w:val="nil"/>
            </w:tcBorders>
            <w:tcMar>
              <w:top w:w="43" w:type="dxa"/>
              <w:left w:w="72" w:type="dxa"/>
              <w:bottom w:w="43" w:type="dxa"/>
              <w:right w:w="72" w:type="dxa"/>
            </w:tcMar>
          </w:tcPr>
          <w:p w14:paraId="1DB48965" w14:textId="77777777" w:rsidR="00154002" w:rsidRPr="00965D6A" w:rsidRDefault="00154002" w:rsidP="00010333">
            <w:pPr>
              <w:tabs>
                <w:tab w:val="decimal" w:pos="432"/>
              </w:tabs>
              <w:rPr>
                <w:sz w:val="20"/>
                <w:szCs w:val="20"/>
              </w:rPr>
            </w:pPr>
          </w:p>
        </w:tc>
        <w:tc>
          <w:tcPr>
            <w:tcW w:w="2339" w:type="dxa"/>
            <w:tcBorders>
              <w:top w:val="single" w:sz="8" w:space="0" w:color="525053"/>
              <w:left w:val="nil"/>
              <w:right w:val="nil"/>
            </w:tcBorders>
          </w:tcPr>
          <w:p w14:paraId="3207A91B" w14:textId="77777777" w:rsidR="00154002" w:rsidRPr="00965D6A" w:rsidRDefault="00154002" w:rsidP="00010333">
            <w:pPr>
              <w:tabs>
                <w:tab w:val="decimal" w:pos="432"/>
              </w:tabs>
              <w:rPr>
                <w:sz w:val="20"/>
                <w:szCs w:val="20"/>
              </w:rPr>
            </w:pPr>
          </w:p>
        </w:tc>
      </w:tr>
      <w:tr w:rsidR="00965D6A" w:rsidRPr="00965D6A" w14:paraId="7938B323" w14:textId="77777777" w:rsidTr="00154002">
        <w:trPr>
          <w:trHeight w:val="21"/>
        </w:trPr>
        <w:tc>
          <w:tcPr>
            <w:tcW w:w="4185" w:type="dxa"/>
            <w:tcBorders>
              <w:left w:val="nil"/>
              <w:bottom w:val="nil"/>
              <w:right w:val="nil"/>
            </w:tcBorders>
            <w:tcMar>
              <w:top w:w="43" w:type="dxa"/>
              <w:left w:w="72" w:type="dxa"/>
              <w:bottom w:w="43" w:type="dxa"/>
              <w:right w:w="72" w:type="dxa"/>
            </w:tcMar>
            <w:hideMark/>
          </w:tcPr>
          <w:p w14:paraId="769A104C" w14:textId="77777777" w:rsidR="00154002" w:rsidRPr="00965D6A" w:rsidRDefault="00154002" w:rsidP="00010333">
            <w:pPr>
              <w:rPr>
                <w:sz w:val="20"/>
                <w:szCs w:val="20"/>
              </w:rPr>
            </w:pPr>
            <w:r w:rsidRPr="00965D6A">
              <w:rPr>
                <w:sz w:val="20"/>
                <w:szCs w:val="20"/>
              </w:rPr>
              <w:t xml:space="preserve">     Intercept</w:t>
            </w:r>
          </w:p>
        </w:tc>
        <w:tc>
          <w:tcPr>
            <w:tcW w:w="633" w:type="dxa"/>
            <w:tcBorders>
              <w:left w:val="nil"/>
              <w:bottom w:val="nil"/>
              <w:right w:val="nil"/>
            </w:tcBorders>
            <w:tcMar>
              <w:top w:w="43" w:type="dxa"/>
              <w:left w:w="72" w:type="dxa"/>
              <w:bottom w:w="43" w:type="dxa"/>
              <w:right w:w="72" w:type="dxa"/>
            </w:tcMar>
            <w:hideMark/>
          </w:tcPr>
          <w:p w14:paraId="0F70213C" w14:textId="77777777" w:rsidR="00154002" w:rsidRPr="00965D6A" w:rsidRDefault="00034C1F" w:rsidP="00010333">
            <w:pPr>
              <w:rPr>
                <w:sz w:val="20"/>
                <w:szCs w:val="20"/>
              </w:rPr>
            </w:pPr>
            <m:oMathPara>
              <m:oMath>
                <m:sSub>
                  <m:sSubPr>
                    <m:ctrlPr>
                      <w:rPr>
                        <w:rFonts w:ascii="Cambria Math" w:hAnsi="Cambria Math"/>
                        <w:i/>
                        <w:iCs/>
                        <w:sz w:val="20"/>
                        <w:szCs w:val="20"/>
                      </w:rPr>
                    </m:ctrlPr>
                  </m:sSubPr>
                  <m:e>
                    <m:r>
                      <w:rPr>
                        <w:rFonts w:ascii="Cambria Math" w:hAnsi="Cambria Math"/>
                        <w:sz w:val="20"/>
                        <w:szCs w:val="20"/>
                      </w:rPr>
                      <m:t>γ</m:t>
                    </m:r>
                  </m:e>
                  <m:sub>
                    <m:r>
                      <w:rPr>
                        <w:rFonts w:ascii="Cambria Math" w:hAnsi="Cambria Math"/>
                        <w:sz w:val="20"/>
                        <w:szCs w:val="20"/>
                      </w:rPr>
                      <m:t>00</m:t>
                    </m:r>
                  </m:sub>
                </m:sSub>
              </m:oMath>
            </m:oMathPara>
          </w:p>
        </w:tc>
        <w:tc>
          <w:tcPr>
            <w:tcW w:w="2369" w:type="dxa"/>
            <w:tcBorders>
              <w:left w:val="nil"/>
              <w:bottom w:val="nil"/>
              <w:right w:val="nil"/>
            </w:tcBorders>
            <w:tcMar>
              <w:top w:w="43" w:type="dxa"/>
              <w:left w:w="72" w:type="dxa"/>
              <w:bottom w:w="43" w:type="dxa"/>
              <w:right w:w="72" w:type="dxa"/>
            </w:tcMar>
          </w:tcPr>
          <w:p w14:paraId="2F2A162D" w14:textId="5BBC5154" w:rsidR="00154002" w:rsidRPr="00965D6A" w:rsidRDefault="00154002" w:rsidP="00010333">
            <w:pPr>
              <w:tabs>
                <w:tab w:val="decimal" w:pos="432"/>
              </w:tabs>
              <w:rPr>
                <w:sz w:val="20"/>
                <w:szCs w:val="20"/>
              </w:rPr>
            </w:pPr>
            <w:r w:rsidRPr="00965D6A">
              <w:rPr>
                <w:sz w:val="20"/>
                <w:szCs w:val="20"/>
              </w:rPr>
              <w:t>–3.699*** (–155.63)</w:t>
            </w:r>
          </w:p>
        </w:tc>
        <w:tc>
          <w:tcPr>
            <w:tcW w:w="2348" w:type="dxa"/>
            <w:tcBorders>
              <w:left w:val="nil"/>
              <w:bottom w:val="nil"/>
              <w:right w:val="nil"/>
            </w:tcBorders>
            <w:tcMar>
              <w:top w:w="43" w:type="dxa"/>
              <w:left w:w="72" w:type="dxa"/>
              <w:bottom w:w="43" w:type="dxa"/>
              <w:right w:w="72" w:type="dxa"/>
            </w:tcMar>
          </w:tcPr>
          <w:p w14:paraId="7CA17644" w14:textId="3A94BBB8" w:rsidR="00154002" w:rsidRPr="00965D6A" w:rsidRDefault="00154002" w:rsidP="00010333">
            <w:pPr>
              <w:tabs>
                <w:tab w:val="decimal" w:pos="432"/>
              </w:tabs>
              <w:rPr>
                <w:sz w:val="20"/>
                <w:szCs w:val="20"/>
              </w:rPr>
            </w:pPr>
            <w:r w:rsidRPr="00965D6A">
              <w:rPr>
                <w:sz w:val="20"/>
                <w:szCs w:val="20"/>
              </w:rPr>
              <w:t>–3.</w:t>
            </w:r>
            <w:r w:rsidR="00E21A82" w:rsidRPr="00965D6A">
              <w:rPr>
                <w:sz w:val="20"/>
                <w:szCs w:val="20"/>
              </w:rPr>
              <w:t>711</w:t>
            </w:r>
            <w:r w:rsidRPr="00965D6A">
              <w:rPr>
                <w:sz w:val="20"/>
                <w:szCs w:val="20"/>
              </w:rPr>
              <w:t>*** (–15</w:t>
            </w:r>
            <w:r w:rsidR="00E21A82" w:rsidRPr="00965D6A">
              <w:rPr>
                <w:sz w:val="20"/>
                <w:szCs w:val="20"/>
              </w:rPr>
              <w:t>4.67</w:t>
            </w:r>
            <w:r w:rsidRPr="00965D6A">
              <w:rPr>
                <w:sz w:val="20"/>
                <w:szCs w:val="20"/>
              </w:rPr>
              <w:t>)</w:t>
            </w:r>
          </w:p>
        </w:tc>
        <w:tc>
          <w:tcPr>
            <w:tcW w:w="2339" w:type="dxa"/>
            <w:tcBorders>
              <w:left w:val="nil"/>
              <w:bottom w:val="nil"/>
              <w:right w:val="nil"/>
            </w:tcBorders>
          </w:tcPr>
          <w:p w14:paraId="5942F833" w14:textId="533DE51C" w:rsidR="00154002" w:rsidRPr="00965D6A" w:rsidRDefault="00154002" w:rsidP="00010333">
            <w:pPr>
              <w:tabs>
                <w:tab w:val="decimal" w:pos="432"/>
              </w:tabs>
              <w:rPr>
                <w:sz w:val="20"/>
                <w:szCs w:val="20"/>
              </w:rPr>
            </w:pPr>
            <w:r w:rsidRPr="00965D6A">
              <w:rPr>
                <w:sz w:val="20"/>
                <w:szCs w:val="20"/>
              </w:rPr>
              <w:t>–3.</w:t>
            </w:r>
            <w:r w:rsidR="00487C6A" w:rsidRPr="00965D6A">
              <w:rPr>
                <w:sz w:val="20"/>
                <w:szCs w:val="20"/>
              </w:rPr>
              <w:t>700</w:t>
            </w:r>
            <w:r w:rsidRPr="00965D6A">
              <w:rPr>
                <w:sz w:val="20"/>
                <w:szCs w:val="20"/>
              </w:rPr>
              <w:t>*** (–15</w:t>
            </w:r>
            <w:r w:rsidR="00487C6A" w:rsidRPr="00965D6A">
              <w:rPr>
                <w:sz w:val="20"/>
                <w:szCs w:val="20"/>
              </w:rPr>
              <w:t>4</w:t>
            </w:r>
            <w:r w:rsidRPr="00965D6A">
              <w:rPr>
                <w:sz w:val="20"/>
                <w:szCs w:val="20"/>
              </w:rPr>
              <w:t>.</w:t>
            </w:r>
            <w:r w:rsidR="00487C6A" w:rsidRPr="00965D6A">
              <w:rPr>
                <w:sz w:val="20"/>
                <w:szCs w:val="20"/>
              </w:rPr>
              <w:t>09</w:t>
            </w:r>
            <w:r w:rsidRPr="00965D6A">
              <w:rPr>
                <w:sz w:val="20"/>
                <w:szCs w:val="20"/>
              </w:rPr>
              <w:t>)</w:t>
            </w:r>
          </w:p>
        </w:tc>
      </w:tr>
      <w:tr w:rsidR="00965D6A" w:rsidRPr="00965D6A" w14:paraId="274B6D67" w14:textId="77777777" w:rsidTr="00154002">
        <w:trPr>
          <w:trHeight w:val="197"/>
        </w:trPr>
        <w:tc>
          <w:tcPr>
            <w:tcW w:w="4185" w:type="dxa"/>
            <w:tcBorders>
              <w:top w:val="nil"/>
              <w:left w:val="nil"/>
              <w:bottom w:val="nil"/>
              <w:right w:val="nil"/>
            </w:tcBorders>
            <w:tcMar>
              <w:top w:w="43" w:type="dxa"/>
              <w:left w:w="72" w:type="dxa"/>
              <w:bottom w:w="43" w:type="dxa"/>
              <w:right w:w="72" w:type="dxa"/>
            </w:tcMar>
            <w:hideMark/>
          </w:tcPr>
          <w:p w14:paraId="0F3D342A" w14:textId="5B97B09A" w:rsidR="00154002" w:rsidRPr="00965D6A" w:rsidRDefault="00154002" w:rsidP="00010333">
            <w:pPr>
              <w:rPr>
                <w:sz w:val="20"/>
                <w:szCs w:val="20"/>
              </w:rPr>
            </w:pPr>
            <w:r w:rsidRPr="00965D6A">
              <w:rPr>
                <w:sz w:val="20"/>
                <w:szCs w:val="20"/>
              </w:rPr>
              <w:t xml:space="preserve">     Trend</w:t>
            </w:r>
            <w:r w:rsidR="00DB739D" w:rsidRPr="00965D6A">
              <w:rPr>
                <w:sz w:val="20"/>
                <w:szCs w:val="20"/>
              </w:rPr>
              <w:t>10</w:t>
            </w:r>
            <w:r w:rsidR="009F1EB0" w:rsidRPr="00965D6A">
              <w:rPr>
                <w:sz w:val="20"/>
                <w:szCs w:val="20"/>
              </w:rPr>
              <w:t>to</w:t>
            </w:r>
            <w:r w:rsidR="00DB739D" w:rsidRPr="00965D6A">
              <w:rPr>
                <w:sz w:val="20"/>
                <w:szCs w:val="20"/>
              </w:rPr>
              <w:t>19</w:t>
            </w:r>
          </w:p>
        </w:tc>
        <w:tc>
          <w:tcPr>
            <w:tcW w:w="633" w:type="dxa"/>
            <w:tcBorders>
              <w:top w:val="nil"/>
              <w:left w:val="nil"/>
              <w:bottom w:val="nil"/>
              <w:right w:val="nil"/>
            </w:tcBorders>
            <w:tcMar>
              <w:top w:w="43" w:type="dxa"/>
              <w:left w:w="72" w:type="dxa"/>
              <w:bottom w:w="43" w:type="dxa"/>
              <w:right w:w="72" w:type="dxa"/>
            </w:tcMar>
            <w:hideMark/>
          </w:tcPr>
          <w:p w14:paraId="3A06D8D8" w14:textId="77777777" w:rsidR="00154002" w:rsidRPr="00965D6A" w:rsidRDefault="00034C1F" w:rsidP="00010333">
            <w:pPr>
              <w:rPr>
                <w:sz w:val="20"/>
                <w:szCs w:val="20"/>
              </w:rPr>
            </w:pPr>
            <m:oMathPara>
              <m:oMath>
                <m:sSub>
                  <m:sSubPr>
                    <m:ctrlPr>
                      <w:rPr>
                        <w:rFonts w:ascii="Cambria Math" w:hAnsi="Cambria Math"/>
                        <w:i/>
                        <w:iCs/>
                        <w:sz w:val="20"/>
                        <w:szCs w:val="20"/>
                      </w:rPr>
                    </m:ctrlPr>
                  </m:sSubPr>
                  <m:e>
                    <m:r>
                      <w:rPr>
                        <w:rFonts w:ascii="Cambria Math" w:hAnsi="Cambria Math"/>
                        <w:sz w:val="20"/>
                        <w:szCs w:val="20"/>
                      </w:rPr>
                      <m:t>γ</m:t>
                    </m:r>
                  </m:e>
                  <m:sub>
                    <m:r>
                      <w:rPr>
                        <w:rFonts w:ascii="Cambria Math" w:hAnsi="Cambria Math"/>
                        <w:sz w:val="20"/>
                        <w:szCs w:val="20"/>
                      </w:rPr>
                      <m:t>10</m:t>
                    </m:r>
                  </m:sub>
                </m:sSub>
              </m:oMath>
            </m:oMathPara>
          </w:p>
        </w:tc>
        <w:tc>
          <w:tcPr>
            <w:tcW w:w="2369" w:type="dxa"/>
            <w:tcBorders>
              <w:top w:val="nil"/>
              <w:left w:val="nil"/>
              <w:bottom w:val="nil"/>
              <w:right w:val="nil"/>
            </w:tcBorders>
            <w:tcMar>
              <w:top w:w="43" w:type="dxa"/>
              <w:left w:w="72" w:type="dxa"/>
              <w:bottom w:w="43" w:type="dxa"/>
              <w:right w:w="72" w:type="dxa"/>
            </w:tcMar>
          </w:tcPr>
          <w:p w14:paraId="7496C4EA" w14:textId="63E968A5" w:rsidR="00154002" w:rsidRPr="00965D6A" w:rsidRDefault="00154002" w:rsidP="00010333">
            <w:pPr>
              <w:tabs>
                <w:tab w:val="decimal" w:pos="432"/>
              </w:tabs>
              <w:rPr>
                <w:sz w:val="20"/>
                <w:szCs w:val="20"/>
              </w:rPr>
            </w:pPr>
            <w:r w:rsidRPr="00965D6A">
              <w:rPr>
                <w:sz w:val="20"/>
                <w:szCs w:val="20"/>
              </w:rPr>
              <w:t>0.051*** (17.14)</w:t>
            </w:r>
          </w:p>
        </w:tc>
        <w:tc>
          <w:tcPr>
            <w:tcW w:w="2348" w:type="dxa"/>
            <w:tcBorders>
              <w:top w:val="nil"/>
              <w:left w:val="nil"/>
              <w:bottom w:val="nil"/>
              <w:right w:val="nil"/>
            </w:tcBorders>
            <w:tcMar>
              <w:top w:w="43" w:type="dxa"/>
              <w:left w:w="72" w:type="dxa"/>
              <w:bottom w:w="43" w:type="dxa"/>
              <w:right w:w="72" w:type="dxa"/>
            </w:tcMar>
          </w:tcPr>
          <w:p w14:paraId="570D2E81" w14:textId="6896AEDA" w:rsidR="00154002" w:rsidRPr="00965D6A" w:rsidRDefault="00154002" w:rsidP="00010333">
            <w:pPr>
              <w:tabs>
                <w:tab w:val="decimal" w:pos="432"/>
              </w:tabs>
              <w:rPr>
                <w:sz w:val="20"/>
                <w:szCs w:val="20"/>
              </w:rPr>
            </w:pPr>
            <w:r w:rsidRPr="00965D6A">
              <w:rPr>
                <w:sz w:val="20"/>
                <w:szCs w:val="20"/>
              </w:rPr>
              <w:t>0.0</w:t>
            </w:r>
            <w:r w:rsidR="00E21A82" w:rsidRPr="00965D6A">
              <w:rPr>
                <w:sz w:val="20"/>
                <w:szCs w:val="20"/>
              </w:rPr>
              <w:t>50</w:t>
            </w:r>
            <w:r w:rsidRPr="00965D6A">
              <w:rPr>
                <w:sz w:val="20"/>
                <w:szCs w:val="20"/>
              </w:rPr>
              <w:t>*** (1</w:t>
            </w:r>
            <w:r w:rsidR="00E21A82" w:rsidRPr="00965D6A">
              <w:rPr>
                <w:sz w:val="20"/>
                <w:szCs w:val="20"/>
              </w:rPr>
              <w:t>6.66</w:t>
            </w:r>
            <w:r w:rsidRPr="00965D6A">
              <w:rPr>
                <w:sz w:val="20"/>
                <w:szCs w:val="20"/>
              </w:rPr>
              <w:t>)</w:t>
            </w:r>
          </w:p>
        </w:tc>
        <w:tc>
          <w:tcPr>
            <w:tcW w:w="2339" w:type="dxa"/>
            <w:tcBorders>
              <w:top w:val="nil"/>
              <w:left w:val="nil"/>
              <w:bottom w:val="nil"/>
              <w:right w:val="nil"/>
            </w:tcBorders>
          </w:tcPr>
          <w:p w14:paraId="2FBE017A" w14:textId="6CC0A6EE" w:rsidR="00154002" w:rsidRPr="00965D6A" w:rsidRDefault="00154002" w:rsidP="00010333">
            <w:pPr>
              <w:tabs>
                <w:tab w:val="decimal" w:pos="432"/>
              </w:tabs>
              <w:rPr>
                <w:sz w:val="20"/>
                <w:szCs w:val="20"/>
              </w:rPr>
            </w:pPr>
            <w:r w:rsidRPr="00965D6A">
              <w:rPr>
                <w:sz w:val="20"/>
                <w:szCs w:val="20"/>
              </w:rPr>
              <w:t>0.0</w:t>
            </w:r>
            <w:r w:rsidR="00487C6A" w:rsidRPr="00965D6A">
              <w:rPr>
                <w:sz w:val="20"/>
                <w:szCs w:val="20"/>
              </w:rPr>
              <w:t>51</w:t>
            </w:r>
            <w:r w:rsidRPr="00965D6A">
              <w:rPr>
                <w:sz w:val="20"/>
                <w:szCs w:val="20"/>
              </w:rPr>
              <w:t>*** (</w:t>
            </w:r>
            <w:r w:rsidR="00487C6A" w:rsidRPr="00965D6A">
              <w:rPr>
                <w:sz w:val="20"/>
                <w:szCs w:val="20"/>
              </w:rPr>
              <w:t>17.25</w:t>
            </w:r>
            <w:r w:rsidRPr="00965D6A">
              <w:rPr>
                <w:sz w:val="20"/>
                <w:szCs w:val="20"/>
              </w:rPr>
              <w:t>)</w:t>
            </w:r>
          </w:p>
        </w:tc>
      </w:tr>
      <w:tr w:rsidR="00965D6A" w:rsidRPr="00965D6A" w14:paraId="45CD2881" w14:textId="77777777" w:rsidTr="00154002">
        <w:trPr>
          <w:trHeight w:val="50"/>
        </w:trPr>
        <w:tc>
          <w:tcPr>
            <w:tcW w:w="4185" w:type="dxa"/>
            <w:tcBorders>
              <w:top w:val="nil"/>
              <w:left w:val="nil"/>
              <w:bottom w:val="nil"/>
              <w:right w:val="nil"/>
            </w:tcBorders>
            <w:tcMar>
              <w:top w:w="43" w:type="dxa"/>
              <w:left w:w="72" w:type="dxa"/>
              <w:bottom w:w="43" w:type="dxa"/>
              <w:right w:w="72" w:type="dxa"/>
            </w:tcMar>
            <w:hideMark/>
          </w:tcPr>
          <w:p w14:paraId="13B0D838" w14:textId="35D0D9F2" w:rsidR="00154002" w:rsidRPr="00965D6A" w:rsidRDefault="00154002" w:rsidP="00010333">
            <w:pPr>
              <w:rPr>
                <w:sz w:val="20"/>
                <w:szCs w:val="20"/>
              </w:rPr>
            </w:pPr>
            <w:r w:rsidRPr="00965D6A">
              <w:rPr>
                <w:sz w:val="20"/>
                <w:szCs w:val="20"/>
              </w:rPr>
              <w:t xml:space="preserve">     </w:t>
            </w:r>
            <w:r w:rsidR="00DB739D" w:rsidRPr="00965D6A">
              <w:rPr>
                <w:sz w:val="20"/>
                <w:szCs w:val="20"/>
              </w:rPr>
              <w:t>Jump20</w:t>
            </w:r>
            <w:r w:rsidR="009F1EB0" w:rsidRPr="00965D6A">
              <w:rPr>
                <w:sz w:val="20"/>
                <w:szCs w:val="20"/>
              </w:rPr>
              <w:t>to</w:t>
            </w:r>
            <w:r w:rsidR="00DB739D" w:rsidRPr="00965D6A">
              <w:rPr>
                <w:sz w:val="20"/>
                <w:szCs w:val="20"/>
              </w:rPr>
              <w:t>23</w:t>
            </w:r>
          </w:p>
        </w:tc>
        <w:tc>
          <w:tcPr>
            <w:tcW w:w="633" w:type="dxa"/>
            <w:tcBorders>
              <w:top w:val="nil"/>
              <w:left w:val="nil"/>
              <w:bottom w:val="nil"/>
              <w:right w:val="nil"/>
            </w:tcBorders>
            <w:tcMar>
              <w:top w:w="43" w:type="dxa"/>
              <w:left w:w="72" w:type="dxa"/>
              <w:bottom w:w="43" w:type="dxa"/>
              <w:right w:w="72" w:type="dxa"/>
            </w:tcMar>
            <w:hideMark/>
          </w:tcPr>
          <w:p w14:paraId="0263A0FB" w14:textId="77777777" w:rsidR="00154002" w:rsidRPr="00965D6A" w:rsidRDefault="00034C1F" w:rsidP="00010333">
            <w:pPr>
              <w:rPr>
                <w:sz w:val="20"/>
                <w:szCs w:val="20"/>
              </w:rPr>
            </w:pPr>
            <m:oMathPara>
              <m:oMath>
                <m:sSub>
                  <m:sSubPr>
                    <m:ctrlPr>
                      <w:rPr>
                        <w:rFonts w:ascii="Cambria Math" w:hAnsi="Cambria Math"/>
                        <w:i/>
                        <w:iCs/>
                        <w:sz w:val="20"/>
                        <w:szCs w:val="20"/>
                      </w:rPr>
                    </m:ctrlPr>
                  </m:sSubPr>
                  <m:e>
                    <m:r>
                      <w:rPr>
                        <w:rFonts w:ascii="Cambria Math" w:hAnsi="Cambria Math"/>
                        <w:sz w:val="20"/>
                        <w:szCs w:val="20"/>
                      </w:rPr>
                      <m:t>γ</m:t>
                    </m:r>
                  </m:e>
                  <m:sub>
                    <m:r>
                      <w:rPr>
                        <w:rFonts w:ascii="Cambria Math" w:hAnsi="Cambria Math"/>
                        <w:sz w:val="20"/>
                        <w:szCs w:val="20"/>
                      </w:rPr>
                      <m:t>20</m:t>
                    </m:r>
                  </m:sub>
                </m:sSub>
              </m:oMath>
            </m:oMathPara>
          </w:p>
        </w:tc>
        <w:tc>
          <w:tcPr>
            <w:tcW w:w="2369" w:type="dxa"/>
            <w:tcBorders>
              <w:top w:val="nil"/>
              <w:left w:val="nil"/>
              <w:bottom w:val="nil"/>
              <w:right w:val="nil"/>
            </w:tcBorders>
            <w:tcMar>
              <w:top w:w="43" w:type="dxa"/>
              <w:left w:w="72" w:type="dxa"/>
              <w:bottom w:w="43" w:type="dxa"/>
              <w:right w:w="72" w:type="dxa"/>
            </w:tcMar>
          </w:tcPr>
          <w:p w14:paraId="43D93BB9" w14:textId="1A90950D" w:rsidR="00154002" w:rsidRPr="00965D6A" w:rsidRDefault="00154002" w:rsidP="00010333">
            <w:pPr>
              <w:tabs>
                <w:tab w:val="decimal" w:pos="432"/>
              </w:tabs>
              <w:rPr>
                <w:sz w:val="20"/>
                <w:szCs w:val="20"/>
              </w:rPr>
            </w:pPr>
            <w:r w:rsidRPr="00965D6A">
              <w:rPr>
                <w:sz w:val="20"/>
                <w:szCs w:val="20"/>
              </w:rPr>
              <w:t>0.513*** (29.08)</w:t>
            </w:r>
          </w:p>
        </w:tc>
        <w:tc>
          <w:tcPr>
            <w:tcW w:w="2348" w:type="dxa"/>
            <w:tcBorders>
              <w:top w:val="nil"/>
              <w:left w:val="nil"/>
              <w:bottom w:val="nil"/>
              <w:right w:val="nil"/>
            </w:tcBorders>
            <w:tcMar>
              <w:top w:w="43" w:type="dxa"/>
              <w:left w:w="72" w:type="dxa"/>
              <w:bottom w:w="43" w:type="dxa"/>
              <w:right w:w="72" w:type="dxa"/>
            </w:tcMar>
          </w:tcPr>
          <w:p w14:paraId="7FD4F022" w14:textId="63EF1A66" w:rsidR="00154002" w:rsidRPr="00965D6A" w:rsidRDefault="00154002" w:rsidP="00010333">
            <w:pPr>
              <w:tabs>
                <w:tab w:val="decimal" w:pos="432"/>
              </w:tabs>
              <w:rPr>
                <w:sz w:val="20"/>
                <w:szCs w:val="20"/>
              </w:rPr>
            </w:pPr>
            <w:r w:rsidRPr="00965D6A">
              <w:rPr>
                <w:sz w:val="20"/>
                <w:szCs w:val="20"/>
              </w:rPr>
              <w:t>0.</w:t>
            </w:r>
            <w:r w:rsidR="00E21A82" w:rsidRPr="00965D6A">
              <w:rPr>
                <w:sz w:val="20"/>
                <w:szCs w:val="20"/>
              </w:rPr>
              <w:t>506</w:t>
            </w:r>
            <w:r w:rsidRPr="00965D6A">
              <w:rPr>
                <w:sz w:val="20"/>
                <w:szCs w:val="20"/>
              </w:rPr>
              <w:t>*** (</w:t>
            </w:r>
            <w:r w:rsidR="00E21A82" w:rsidRPr="00965D6A">
              <w:rPr>
                <w:sz w:val="20"/>
                <w:szCs w:val="20"/>
              </w:rPr>
              <w:t>28.51</w:t>
            </w:r>
            <w:r w:rsidRPr="00965D6A">
              <w:rPr>
                <w:sz w:val="20"/>
                <w:szCs w:val="20"/>
              </w:rPr>
              <w:t>)</w:t>
            </w:r>
          </w:p>
        </w:tc>
        <w:tc>
          <w:tcPr>
            <w:tcW w:w="2339" w:type="dxa"/>
            <w:tcBorders>
              <w:top w:val="nil"/>
              <w:left w:val="nil"/>
              <w:bottom w:val="nil"/>
              <w:right w:val="nil"/>
            </w:tcBorders>
          </w:tcPr>
          <w:p w14:paraId="270D56F1" w14:textId="08C1F46E" w:rsidR="00154002" w:rsidRPr="00965D6A" w:rsidRDefault="00154002" w:rsidP="00010333">
            <w:pPr>
              <w:tabs>
                <w:tab w:val="decimal" w:pos="432"/>
              </w:tabs>
              <w:rPr>
                <w:sz w:val="20"/>
                <w:szCs w:val="20"/>
              </w:rPr>
            </w:pPr>
            <w:r w:rsidRPr="00965D6A">
              <w:rPr>
                <w:sz w:val="20"/>
                <w:szCs w:val="20"/>
              </w:rPr>
              <w:t>0.</w:t>
            </w:r>
            <w:r w:rsidR="00E130E8" w:rsidRPr="00965D6A">
              <w:rPr>
                <w:sz w:val="20"/>
                <w:szCs w:val="20"/>
              </w:rPr>
              <w:t>510</w:t>
            </w:r>
            <w:r w:rsidRPr="00965D6A">
              <w:rPr>
                <w:sz w:val="20"/>
                <w:szCs w:val="20"/>
              </w:rPr>
              <w:t xml:space="preserve">*** </w:t>
            </w:r>
            <w:r w:rsidR="00E130E8" w:rsidRPr="00965D6A">
              <w:rPr>
                <w:sz w:val="20"/>
                <w:szCs w:val="20"/>
              </w:rPr>
              <w:t>(28.93</w:t>
            </w:r>
            <w:r w:rsidRPr="00965D6A">
              <w:rPr>
                <w:sz w:val="20"/>
                <w:szCs w:val="20"/>
              </w:rPr>
              <w:t>)</w:t>
            </w:r>
          </w:p>
        </w:tc>
      </w:tr>
      <w:tr w:rsidR="00965D6A" w:rsidRPr="00965D6A" w14:paraId="1D008599" w14:textId="77777777" w:rsidTr="00154002">
        <w:trPr>
          <w:trHeight w:val="86"/>
        </w:trPr>
        <w:tc>
          <w:tcPr>
            <w:tcW w:w="4185" w:type="dxa"/>
            <w:tcBorders>
              <w:top w:val="nil"/>
              <w:left w:val="nil"/>
              <w:bottom w:val="nil"/>
              <w:right w:val="nil"/>
            </w:tcBorders>
            <w:tcMar>
              <w:top w:w="43" w:type="dxa"/>
              <w:left w:w="72" w:type="dxa"/>
              <w:bottom w:w="43" w:type="dxa"/>
              <w:right w:w="72" w:type="dxa"/>
            </w:tcMar>
          </w:tcPr>
          <w:p w14:paraId="6A97A53E" w14:textId="77777777" w:rsidR="00154002" w:rsidRPr="00965D6A" w:rsidRDefault="00154002" w:rsidP="00010333">
            <w:pPr>
              <w:rPr>
                <w:sz w:val="20"/>
                <w:szCs w:val="20"/>
              </w:rPr>
            </w:pPr>
            <w:r w:rsidRPr="00965D6A">
              <w:rPr>
                <w:sz w:val="20"/>
                <w:szCs w:val="20"/>
              </w:rPr>
              <w:t xml:space="preserve">     Amazon</w:t>
            </w:r>
          </w:p>
        </w:tc>
        <w:tc>
          <w:tcPr>
            <w:tcW w:w="633" w:type="dxa"/>
            <w:tcBorders>
              <w:top w:val="nil"/>
              <w:left w:val="nil"/>
              <w:bottom w:val="nil"/>
              <w:right w:val="nil"/>
            </w:tcBorders>
            <w:tcMar>
              <w:top w:w="43" w:type="dxa"/>
              <w:left w:w="72" w:type="dxa"/>
              <w:bottom w:w="43" w:type="dxa"/>
              <w:right w:w="72" w:type="dxa"/>
            </w:tcMar>
          </w:tcPr>
          <w:p w14:paraId="56AB2732" w14:textId="77777777" w:rsidR="00154002" w:rsidRPr="00965D6A" w:rsidRDefault="00034C1F" w:rsidP="00010333">
            <w:pPr>
              <w:rPr>
                <w:rFonts w:eastAsia="Calibri" w:cs="Times New Roman"/>
                <w:iCs/>
                <w:sz w:val="20"/>
                <w:szCs w:val="20"/>
              </w:rPr>
            </w:pPr>
            <m:oMathPara>
              <m:oMath>
                <m:sSub>
                  <m:sSubPr>
                    <m:ctrlPr>
                      <w:rPr>
                        <w:rFonts w:ascii="Cambria Math" w:hAnsi="Cambria Math"/>
                        <w:i/>
                        <w:iCs/>
                        <w:sz w:val="20"/>
                        <w:szCs w:val="20"/>
                      </w:rPr>
                    </m:ctrlPr>
                  </m:sSubPr>
                  <m:e>
                    <m:r>
                      <w:rPr>
                        <w:rFonts w:ascii="Cambria Math" w:hAnsi="Cambria Math"/>
                        <w:sz w:val="20"/>
                        <w:szCs w:val="20"/>
                      </w:rPr>
                      <m:t>γ</m:t>
                    </m:r>
                  </m:e>
                  <m:sub>
                    <m:r>
                      <w:rPr>
                        <w:rFonts w:ascii="Cambria Math" w:hAnsi="Cambria Math"/>
                        <w:sz w:val="20"/>
                        <w:szCs w:val="20"/>
                      </w:rPr>
                      <m:t>30</m:t>
                    </m:r>
                  </m:sub>
                </m:sSub>
              </m:oMath>
            </m:oMathPara>
          </w:p>
        </w:tc>
        <w:tc>
          <w:tcPr>
            <w:tcW w:w="2369" w:type="dxa"/>
            <w:tcBorders>
              <w:top w:val="nil"/>
              <w:left w:val="nil"/>
              <w:bottom w:val="nil"/>
              <w:right w:val="nil"/>
            </w:tcBorders>
            <w:tcMar>
              <w:top w:w="43" w:type="dxa"/>
              <w:left w:w="72" w:type="dxa"/>
              <w:bottom w:w="43" w:type="dxa"/>
              <w:right w:w="72" w:type="dxa"/>
            </w:tcMar>
          </w:tcPr>
          <w:p w14:paraId="77C76DDE" w14:textId="77777777" w:rsidR="00154002" w:rsidRPr="00965D6A" w:rsidRDefault="00154002" w:rsidP="00010333">
            <w:pPr>
              <w:tabs>
                <w:tab w:val="decimal" w:pos="432"/>
              </w:tabs>
              <w:rPr>
                <w:sz w:val="20"/>
                <w:szCs w:val="20"/>
              </w:rPr>
            </w:pPr>
          </w:p>
        </w:tc>
        <w:tc>
          <w:tcPr>
            <w:tcW w:w="2348" w:type="dxa"/>
            <w:tcBorders>
              <w:top w:val="nil"/>
              <w:left w:val="nil"/>
              <w:bottom w:val="nil"/>
              <w:right w:val="nil"/>
            </w:tcBorders>
            <w:tcMar>
              <w:top w:w="43" w:type="dxa"/>
              <w:left w:w="72" w:type="dxa"/>
              <w:bottom w:w="43" w:type="dxa"/>
              <w:right w:w="72" w:type="dxa"/>
            </w:tcMar>
          </w:tcPr>
          <w:p w14:paraId="38CEDEC0" w14:textId="67A83B26" w:rsidR="00154002" w:rsidRPr="00965D6A" w:rsidRDefault="00154002" w:rsidP="00010333">
            <w:pPr>
              <w:tabs>
                <w:tab w:val="decimal" w:pos="432"/>
              </w:tabs>
              <w:rPr>
                <w:sz w:val="20"/>
                <w:szCs w:val="20"/>
              </w:rPr>
            </w:pPr>
            <w:r w:rsidRPr="00965D6A">
              <w:rPr>
                <w:sz w:val="20"/>
                <w:szCs w:val="20"/>
              </w:rPr>
              <w:t>0.</w:t>
            </w:r>
            <w:r w:rsidR="000C7AA7" w:rsidRPr="00965D6A">
              <w:rPr>
                <w:sz w:val="20"/>
                <w:szCs w:val="20"/>
              </w:rPr>
              <w:t>117</w:t>
            </w:r>
            <w:r w:rsidRPr="00965D6A">
              <w:rPr>
                <w:sz w:val="20"/>
                <w:szCs w:val="20"/>
              </w:rPr>
              <w:t>*** (3.</w:t>
            </w:r>
            <w:r w:rsidR="00C32379" w:rsidRPr="00965D6A">
              <w:rPr>
                <w:sz w:val="20"/>
                <w:szCs w:val="20"/>
              </w:rPr>
              <w:t>37</w:t>
            </w:r>
            <w:r w:rsidRPr="00965D6A">
              <w:rPr>
                <w:sz w:val="20"/>
                <w:szCs w:val="20"/>
              </w:rPr>
              <w:t>)</w:t>
            </w:r>
          </w:p>
        </w:tc>
        <w:tc>
          <w:tcPr>
            <w:tcW w:w="2339" w:type="dxa"/>
            <w:tcBorders>
              <w:top w:val="nil"/>
              <w:left w:val="nil"/>
              <w:bottom w:val="nil"/>
              <w:right w:val="nil"/>
            </w:tcBorders>
          </w:tcPr>
          <w:p w14:paraId="73444463" w14:textId="51F1E685" w:rsidR="00154002" w:rsidRPr="00965D6A" w:rsidRDefault="00154002" w:rsidP="00010333">
            <w:pPr>
              <w:tabs>
                <w:tab w:val="decimal" w:pos="432"/>
              </w:tabs>
              <w:rPr>
                <w:sz w:val="20"/>
                <w:szCs w:val="20"/>
              </w:rPr>
            </w:pPr>
            <w:r w:rsidRPr="00965D6A">
              <w:rPr>
                <w:sz w:val="20"/>
                <w:szCs w:val="20"/>
              </w:rPr>
              <w:t>0.0</w:t>
            </w:r>
            <w:r w:rsidR="00E130E8" w:rsidRPr="00965D6A">
              <w:rPr>
                <w:sz w:val="20"/>
                <w:szCs w:val="20"/>
              </w:rPr>
              <w:t>07</w:t>
            </w:r>
            <w:r w:rsidRPr="00965D6A">
              <w:rPr>
                <w:sz w:val="20"/>
                <w:szCs w:val="20"/>
              </w:rPr>
              <w:t xml:space="preserve"> (0.</w:t>
            </w:r>
            <w:r w:rsidR="00E130E8" w:rsidRPr="00965D6A">
              <w:rPr>
                <w:sz w:val="20"/>
                <w:szCs w:val="20"/>
              </w:rPr>
              <w:t>19</w:t>
            </w:r>
            <w:r w:rsidRPr="00965D6A">
              <w:rPr>
                <w:sz w:val="20"/>
                <w:szCs w:val="20"/>
              </w:rPr>
              <w:t>)</w:t>
            </w:r>
          </w:p>
        </w:tc>
      </w:tr>
      <w:tr w:rsidR="00965D6A" w:rsidRPr="00965D6A" w14:paraId="718C13EE" w14:textId="77777777" w:rsidTr="00154002">
        <w:trPr>
          <w:trHeight w:val="86"/>
        </w:trPr>
        <w:tc>
          <w:tcPr>
            <w:tcW w:w="4185" w:type="dxa"/>
            <w:tcBorders>
              <w:top w:val="nil"/>
              <w:left w:val="nil"/>
              <w:bottom w:val="nil"/>
              <w:right w:val="nil"/>
            </w:tcBorders>
            <w:tcMar>
              <w:top w:w="43" w:type="dxa"/>
              <w:left w:w="72" w:type="dxa"/>
              <w:bottom w:w="43" w:type="dxa"/>
              <w:right w:w="72" w:type="dxa"/>
            </w:tcMar>
          </w:tcPr>
          <w:p w14:paraId="38120D55" w14:textId="77777777" w:rsidR="00154002" w:rsidRPr="00965D6A" w:rsidRDefault="00154002" w:rsidP="00010333">
            <w:pPr>
              <w:rPr>
                <w:sz w:val="20"/>
                <w:szCs w:val="20"/>
              </w:rPr>
            </w:pPr>
            <w:r w:rsidRPr="00965D6A">
              <w:rPr>
                <w:sz w:val="20"/>
                <w:szCs w:val="20"/>
              </w:rPr>
              <w:t xml:space="preserve">     </w:t>
            </w:r>
            <m:oMath>
              <m:acc>
                <m:accPr>
                  <m:chr m:val="̅"/>
                  <m:ctrlPr>
                    <w:rPr>
                      <w:rFonts w:ascii="Cambria Math" w:hAnsi="Cambria Math" w:cs="Times New Roman"/>
                      <w:i/>
                      <w:sz w:val="20"/>
                      <w:szCs w:val="20"/>
                    </w:rPr>
                  </m:ctrlPr>
                </m:accPr>
                <m:e>
                  <m:r>
                    <m:rPr>
                      <m:sty m:val="p"/>
                    </m:rPr>
                    <w:rPr>
                      <w:rFonts w:ascii="Cambria Math" w:hAnsi="Cambria Math" w:cs="Times New Roman"/>
                      <w:sz w:val="20"/>
                      <w:szCs w:val="20"/>
                    </w:rPr>
                    <m:t>Rural</m:t>
                  </m:r>
                </m:e>
              </m:acc>
            </m:oMath>
          </w:p>
        </w:tc>
        <w:tc>
          <w:tcPr>
            <w:tcW w:w="633" w:type="dxa"/>
            <w:tcBorders>
              <w:top w:val="nil"/>
              <w:left w:val="nil"/>
              <w:bottom w:val="nil"/>
              <w:right w:val="nil"/>
            </w:tcBorders>
            <w:tcMar>
              <w:top w:w="43" w:type="dxa"/>
              <w:left w:w="72" w:type="dxa"/>
              <w:bottom w:w="43" w:type="dxa"/>
              <w:right w:w="72" w:type="dxa"/>
            </w:tcMar>
          </w:tcPr>
          <w:p w14:paraId="27964C0C" w14:textId="77777777" w:rsidR="00154002" w:rsidRPr="00965D6A" w:rsidRDefault="00034C1F" w:rsidP="00010333">
            <w:pPr>
              <w:rPr>
                <w:rFonts w:eastAsia="Calibri" w:cs="Times New Roman"/>
                <w:iCs/>
                <w:sz w:val="20"/>
                <w:szCs w:val="20"/>
              </w:rPr>
            </w:pPr>
            <m:oMathPara>
              <m:oMath>
                <m:sSub>
                  <m:sSubPr>
                    <m:ctrlPr>
                      <w:rPr>
                        <w:rFonts w:ascii="Cambria Math" w:hAnsi="Cambria Math"/>
                        <w:i/>
                        <w:iCs/>
                        <w:sz w:val="20"/>
                        <w:szCs w:val="20"/>
                      </w:rPr>
                    </m:ctrlPr>
                  </m:sSubPr>
                  <m:e>
                    <m:r>
                      <w:rPr>
                        <w:rFonts w:ascii="Cambria Math" w:hAnsi="Cambria Math"/>
                        <w:sz w:val="20"/>
                        <w:szCs w:val="20"/>
                      </w:rPr>
                      <m:t>γ</m:t>
                    </m:r>
                  </m:e>
                  <m:sub>
                    <m:r>
                      <w:rPr>
                        <w:rFonts w:ascii="Cambria Math" w:hAnsi="Cambria Math"/>
                        <w:sz w:val="20"/>
                        <w:szCs w:val="20"/>
                      </w:rPr>
                      <m:t>40</m:t>
                    </m:r>
                  </m:sub>
                </m:sSub>
              </m:oMath>
            </m:oMathPara>
          </w:p>
        </w:tc>
        <w:tc>
          <w:tcPr>
            <w:tcW w:w="2369" w:type="dxa"/>
            <w:tcBorders>
              <w:top w:val="nil"/>
              <w:left w:val="nil"/>
              <w:bottom w:val="nil"/>
              <w:right w:val="nil"/>
            </w:tcBorders>
            <w:tcMar>
              <w:top w:w="43" w:type="dxa"/>
              <w:left w:w="72" w:type="dxa"/>
              <w:bottom w:w="43" w:type="dxa"/>
              <w:right w:w="72" w:type="dxa"/>
            </w:tcMar>
          </w:tcPr>
          <w:p w14:paraId="5A81B7B3" w14:textId="77777777" w:rsidR="00154002" w:rsidRPr="00965D6A" w:rsidRDefault="00154002" w:rsidP="00010333">
            <w:pPr>
              <w:tabs>
                <w:tab w:val="decimal" w:pos="432"/>
              </w:tabs>
              <w:rPr>
                <w:sz w:val="20"/>
                <w:szCs w:val="20"/>
              </w:rPr>
            </w:pPr>
          </w:p>
        </w:tc>
        <w:tc>
          <w:tcPr>
            <w:tcW w:w="2348" w:type="dxa"/>
            <w:tcBorders>
              <w:top w:val="nil"/>
              <w:left w:val="nil"/>
              <w:bottom w:val="nil"/>
              <w:right w:val="nil"/>
            </w:tcBorders>
            <w:tcMar>
              <w:top w:w="43" w:type="dxa"/>
              <w:left w:w="72" w:type="dxa"/>
              <w:bottom w:w="43" w:type="dxa"/>
              <w:right w:w="72" w:type="dxa"/>
            </w:tcMar>
          </w:tcPr>
          <w:p w14:paraId="3D713042" w14:textId="265B5429" w:rsidR="00154002" w:rsidRPr="00965D6A" w:rsidRDefault="00154002" w:rsidP="00010333">
            <w:pPr>
              <w:tabs>
                <w:tab w:val="decimal" w:pos="432"/>
              </w:tabs>
              <w:rPr>
                <w:sz w:val="20"/>
                <w:szCs w:val="20"/>
              </w:rPr>
            </w:pPr>
            <w:r w:rsidRPr="00965D6A">
              <w:rPr>
                <w:sz w:val="20"/>
                <w:szCs w:val="20"/>
              </w:rPr>
              <w:t>0.0</w:t>
            </w:r>
            <w:r w:rsidR="000C7AA7" w:rsidRPr="00965D6A">
              <w:rPr>
                <w:sz w:val="20"/>
                <w:szCs w:val="20"/>
              </w:rPr>
              <w:t>01</w:t>
            </w:r>
            <w:r w:rsidRPr="00965D6A">
              <w:rPr>
                <w:sz w:val="20"/>
                <w:szCs w:val="20"/>
              </w:rPr>
              <w:t xml:space="preserve"> (</w:t>
            </w:r>
            <w:r w:rsidR="000C7AA7" w:rsidRPr="00965D6A">
              <w:rPr>
                <w:sz w:val="20"/>
                <w:szCs w:val="20"/>
              </w:rPr>
              <w:t>0</w:t>
            </w:r>
            <w:r w:rsidRPr="00965D6A">
              <w:rPr>
                <w:sz w:val="20"/>
                <w:szCs w:val="20"/>
              </w:rPr>
              <w:t>.1</w:t>
            </w:r>
            <w:r w:rsidR="000C7AA7" w:rsidRPr="00965D6A">
              <w:rPr>
                <w:sz w:val="20"/>
                <w:szCs w:val="20"/>
              </w:rPr>
              <w:t>0</w:t>
            </w:r>
            <w:r w:rsidRPr="00965D6A">
              <w:rPr>
                <w:sz w:val="20"/>
                <w:szCs w:val="20"/>
              </w:rPr>
              <w:t>)</w:t>
            </w:r>
          </w:p>
        </w:tc>
        <w:tc>
          <w:tcPr>
            <w:tcW w:w="2339" w:type="dxa"/>
            <w:tcBorders>
              <w:top w:val="nil"/>
              <w:left w:val="nil"/>
              <w:bottom w:val="nil"/>
              <w:right w:val="nil"/>
            </w:tcBorders>
          </w:tcPr>
          <w:p w14:paraId="3A5532D6" w14:textId="75A80411" w:rsidR="00154002" w:rsidRPr="00965D6A" w:rsidRDefault="00154002" w:rsidP="00010333">
            <w:pPr>
              <w:tabs>
                <w:tab w:val="decimal" w:pos="432"/>
              </w:tabs>
              <w:rPr>
                <w:sz w:val="20"/>
                <w:szCs w:val="20"/>
              </w:rPr>
            </w:pPr>
            <w:r w:rsidRPr="00965D6A">
              <w:rPr>
                <w:sz w:val="20"/>
                <w:szCs w:val="20"/>
              </w:rPr>
              <w:t>–0.0</w:t>
            </w:r>
            <w:r w:rsidR="0007532F" w:rsidRPr="00965D6A">
              <w:rPr>
                <w:sz w:val="20"/>
                <w:szCs w:val="20"/>
              </w:rPr>
              <w:t>08</w:t>
            </w:r>
            <w:r w:rsidRPr="00965D6A">
              <w:rPr>
                <w:sz w:val="20"/>
                <w:szCs w:val="20"/>
              </w:rPr>
              <w:t xml:space="preserve"> (–</w:t>
            </w:r>
            <w:r w:rsidR="0007532F" w:rsidRPr="00965D6A">
              <w:rPr>
                <w:sz w:val="20"/>
                <w:szCs w:val="20"/>
              </w:rPr>
              <w:t>0.74</w:t>
            </w:r>
            <w:r w:rsidRPr="00965D6A">
              <w:rPr>
                <w:sz w:val="20"/>
                <w:szCs w:val="20"/>
              </w:rPr>
              <w:t>)</w:t>
            </w:r>
          </w:p>
        </w:tc>
      </w:tr>
      <w:tr w:rsidR="00965D6A" w:rsidRPr="00965D6A" w14:paraId="0E1D1B9F" w14:textId="77777777" w:rsidTr="00154002">
        <w:trPr>
          <w:trHeight w:val="86"/>
        </w:trPr>
        <w:tc>
          <w:tcPr>
            <w:tcW w:w="4185" w:type="dxa"/>
            <w:tcBorders>
              <w:top w:val="nil"/>
              <w:left w:val="nil"/>
              <w:bottom w:val="nil"/>
              <w:right w:val="nil"/>
            </w:tcBorders>
            <w:tcMar>
              <w:top w:w="43" w:type="dxa"/>
              <w:left w:w="72" w:type="dxa"/>
              <w:bottom w:w="43" w:type="dxa"/>
              <w:right w:w="72" w:type="dxa"/>
            </w:tcMar>
          </w:tcPr>
          <w:p w14:paraId="25E589A6" w14:textId="3D0E51DE" w:rsidR="00154002" w:rsidRPr="00965D6A" w:rsidRDefault="00154002" w:rsidP="00010333">
            <w:pPr>
              <w:rPr>
                <w:sz w:val="20"/>
                <w:szCs w:val="20"/>
              </w:rPr>
            </w:pPr>
            <w:r w:rsidRPr="00965D6A">
              <w:rPr>
                <w:sz w:val="20"/>
                <w:szCs w:val="20"/>
              </w:rPr>
              <w:t xml:space="preserve">     Trend</w:t>
            </w:r>
            <w:r w:rsidR="00DB739D" w:rsidRPr="00965D6A">
              <w:rPr>
                <w:sz w:val="20"/>
                <w:szCs w:val="20"/>
              </w:rPr>
              <w:t>10</w:t>
            </w:r>
            <w:r w:rsidR="009F1EB0" w:rsidRPr="00965D6A">
              <w:rPr>
                <w:sz w:val="20"/>
                <w:szCs w:val="20"/>
              </w:rPr>
              <w:t>to</w:t>
            </w:r>
            <w:r w:rsidR="00DB739D" w:rsidRPr="00965D6A">
              <w:rPr>
                <w:sz w:val="20"/>
                <w:szCs w:val="20"/>
              </w:rPr>
              <w:t>19</w:t>
            </w:r>
            <w:r w:rsidRPr="00965D6A">
              <w:rPr>
                <w:sz w:val="20"/>
                <w:szCs w:val="20"/>
              </w:rPr>
              <w:t xml:space="preserve"> x </w:t>
            </w:r>
            <m:oMath>
              <m:acc>
                <m:accPr>
                  <m:chr m:val="̅"/>
                  <m:ctrlPr>
                    <w:rPr>
                      <w:rFonts w:ascii="Cambria Math" w:hAnsi="Cambria Math" w:cs="Times New Roman"/>
                      <w:i/>
                      <w:sz w:val="20"/>
                      <w:szCs w:val="20"/>
                    </w:rPr>
                  </m:ctrlPr>
                </m:accPr>
                <m:e>
                  <m:r>
                    <m:rPr>
                      <m:sty m:val="p"/>
                    </m:rPr>
                    <w:rPr>
                      <w:rFonts w:ascii="Cambria Math" w:hAnsi="Cambria Math" w:cs="Times New Roman"/>
                      <w:sz w:val="20"/>
                      <w:szCs w:val="20"/>
                    </w:rPr>
                    <m:t>Rural</m:t>
                  </m:r>
                </m:e>
              </m:acc>
            </m:oMath>
          </w:p>
        </w:tc>
        <w:tc>
          <w:tcPr>
            <w:tcW w:w="633" w:type="dxa"/>
            <w:tcBorders>
              <w:top w:val="nil"/>
              <w:left w:val="nil"/>
              <w:bottom w:val="nil"/>
              <w:right w:val="nil"/>
            </w:tcBorders>
            <w:tcMar>
              <w:top w:w="43" w:type="dxa"/>
              <w:left w:w="72" w:type="dxa"/>
              <w:bottom w:w="43" w:type="dxa"/>
              <w:right w:w="72" w:type="dxa"/>
            </w:tcMar>
          </w:tcPr>
          <w:p w14:paraId="71DE6644" w14:textId="77777777" w:rsidR="00154002" w:rsidRPr="00965D6A" w:rsidRDefault="00034C1F" w:rsidP="00010333">
            <w:pPr>
              <w:rPr>
                <w:rFonts w:eastAsia="Calibri" w:cs="Times New Roman"/>
                <w:iCs/>
                <w:sz w:val="20"/>
                <w:szCs w:val="20"/>
              </w:rPr>
            </w:pPr>
            <m:oMathPara>
              <m:oMath>
                <m:sSub>
                  <m:sSubPr>
                    <m:ctrlPr>
                      <w:rPr>
                        <w:rFonts w:ascii="Cambria Math" w:hAnsi="Cambria Math"/>
                        <w:i/>
                        <w:iCs/>
                        <w:sz w:val="20"/>
                        <w:szCs w:val="20"/>
                      </w:rPr>
                    </m:ctrlPr>
                  </m:sSubPr>
                  <m:e>
                    <m:r>
                      <w:rPr>
                        <w:rFonts w:ascii="Cambria Math" w:hAnsi="Cambria Math"/>
                        <w:sz w:val="20"/>
                        <w:szCs w:val="20"/>
                      </w:rPr>
                      <m:t>γ</m:t>
                    </m:r>
                  </m:e>
                  <m:sub>
                    <m:r>
                      <w:rPr>
                        <w:rFonts w:ascii="Cambria Math" w:hAnsi="Cambria Math"/>
                        <w:sz w:val="20"/>
                        <w:szCs w:val="20"/>
                      </w:rPr>
                      <m:t>50</m:t>
                    </m:r>
                  </m:sub>
                </m:sSub>
              </m:oMath>
            </m:oMathPara>
          </w:p>
        </w:tc>
        <w:tc>
          <w:tcPr>
            <w:tcW w:w="2369" w:type="dxa"/>
            <w:tcBorders>
              <w:top w:val="nil"/>
              <w:left w:val="nil"/>
              <w:bottom w:val="nil"/>
              <w:right w:val="nil"/>
            </w:tcBorders>
            <w:tcMar>
              <w:top w:w="43" w:type="dxa"/>
              <w:left w:w="72" w:type="dxa"/>
              <w:bottom w:w="43" w:type="dxa"/>
              <w:right w:w="72" w:type="dxa"/>
            </w:tcMar>
          </w:tcPr>
          <w:p w14:paraId="13AE5E61" w14:textId="77777777" w:rsidR="00154002" w:rsidRPr="00965D6A" w:rsidRDefault="00154002" w:rsidP="00010333">
            <w:pPr>
              <w:tabs>
                <w:tab w:val="decimal" w:pos="432"/>
              </w:tabs>
              <w:rPr>
                <w:sz w:val="20"/>
                <w:szCs w:val="20"/>
              </w:rPr>
            </w:pPr>
          </w:p>
        </w:tc>
        <w:tc>
          <w:tcPr>
            <w:tcW w:w="2348" w:type="dxa"/>
            <w:tcBorders>
              <w:top w:val="nil"/>
              <w:left w:val="nil"/>
              <w:bottom w:val="nil"/>
              <w:right w:val="nil"/>
            </w:tcBorders>
            <w:tcMar>
              <w:top w:w="43" w:type="dxa"/>
              <w:left w:w="72" w:type="dxa"/>
              <w:bottom w:w="43" w:type="dxa"/>
              <w:right w:w="72" w:type="dxa"/>
            </w:tcMar>
          </w:tcPr>
          <w:p w14:paraId="23675BD3" w14:textId="77777777" w:rsidR="00154002" w:rsidRPr="00965D6A" w:rsidRDefault="00154002" w:rsidP="00010333">
            <w:pPr>
              <w:tabs>
                <w:tab w:val="decimal" w:pos="432"/>
              </w:tabs>
              <w:rPr>
                <w:sz w:val="20"/>
                <w:szCs w:val="20"/>
              </w:rPr>
            </w:pPr>
          </w:p>
        </w:tc>
        <w:tc>
          <w:tcPr>
            <w:tcW w:w="2339" w:type="dxa"/>
            <w:tcBorders>
              <w:top w:val="nil"/>
              <w:left w:val="nil"/>
              <w:bottom w:val="nil"/>
              <w:right w:val="nil"/>
            </w:tcBorders>
          </w:tcPr>
          <w:p w14:paraId="4F3A640D" w14:textId="0CD1CD5C" w:rsidR="00154002" w:rsidRPr="00965D6A" w:rsidRDefault="00154002" w:rsidP="00010333">
            <w:pPr>
              <w:tabs>
                <w:tab w:val="decimal" w:pos="432"/>
              </w:tabs>
              <w:rPr>
                <w:sz w:val="20"/>
                <w:szCs w:val="20"/>
              </w:rPr>
            </w:pPr>
            <w:r w:rsidRPr="00965D6A">
              <w:rPr>
                <w:sz w:val="20"/>
                <w:szCs w:val="20"/>
              </w:rPr>
              <w:t>–0.00</w:t>
            </w:r>
            <w:r w:rsidR="0007532F" w:rsidRPr="00965D6A">
              <w:rPr>
                <w:sz w:val="20"/>
                <w:szCs w:val="20"/>
              </w:rPr>
              <w:t>5*</w:t>
            </w:r>
            <w:r w:rsidRPr="00965D6A">
              <w:rPr>
                <w:sz w:val="20"/>
                <w:szCs w:val="20"/>
              </w:rPr>
              <w:t>** (–</w:t>
            </w:r>
            <w:r w:rsidR="0007532F" w:rsidRPr="00965D6A">
              <w:rPr>
                <w:sz w:val="20"/>
                <w:szCs w:val="20"/>
              </w:rPr>
              <w:t>3.60</w:t>
            </w:r>
            <w:r w:rsidRPr="00965D6A">
              <w:rPr>
                <w:sz w:val="20"/>
                <w:szCs w:val="20"/>
              </w:rPr>
              <w:t>)</w:t>
            </w:r>
          </w:p>
        </w:tc>
      </w:tr>
      <w:tr w:rsidR="00965D6A" w:rsidRPr="00965D6A" w14:paraId="7D55CB4B" w14:textId="77777777" w:rsidTr="00154002">
        <w:trPr>
          <w:trHeight w:val="34"/>
        </w:trPr>
        <w:tc>
          <w:tcPr>
            <w:tcW w:w="4185" w:type="dxa"/>
            <w:tcBorders>
              <w:top w:val="nil"/>
              <w:left w:val="nil"/>
              <w:bottom w:val="nil"/>
              <w:right w:val="nil"/>
            </w:tcBorders>
            <w:tcMar>
              <w:top w:w="43" w:type="dxa"/>
              <w:left w:w="72" w:type="dxa"/>
              <w:bottom w:w="43" w:type="dxa"/>
              <w:right w:w="72" w:type="dxa"/>
            </w:tcMar>
            <w:hideMark/>
          </w:tcPr>
          <w:p w14:paraId="0DB94E86" w14:textId="67BFEDF4" w:rsidR="00154002" w:rsidRPr="00965D6A" w:rsidRDefault="00154002" w:rsidP="00010333">
            <w:pPr>
              <w:rPr>
                <w:sz w:val="20"/>
                <w:szCs w:val="20"/>
              </w:rPr>
            </w:pPr>
            <w:r w:rsidRPr="00965D6A">
              <w:rPr>
                <w:sz w:val="20"/>
                <w:szCs w:val="20"/>
              </w:rPr>
              <w:t xml:space="preserve">     </w:t>
            </w:r>
            <w:r w:rsidR="00DB739D" w:rsidRPr="00965D6A">
              <w:rPr>
                <w:sz w:val="20"/>
                <w:szCs w:val="20"/>
              </w:rPr>
              <w:t>Jump20</w:t>
            </w:r>
            <w:r w:rsidR="009F1EB0" w:rsidRPr="00965D6A">
              <w:rPr>
                <w:sz w:val="20"/>
                <w:szCs w:val="20"/>
              </w:rPr>
              <w:t>to</w:t>
            </w:r>
            <w:r w:rsidR="00DB739D" w:rsidRPr="00965D6A">
              <w:rPr>
                <w:sz w:val="20"/>
                <w:szCs w:val="20"/>
              </w:rPr>
              <w:t>23</w:t>
            </w:r>
            <w:r w:rsidRPr="00965D6A">
              <w:rPr>
                <w:sz w:val="20"/>
                <w:szCs w:val="20"/>
              </w:rPr>
              <w:t xml:space="preserve"> x </w:t>
            </w:r>
            <m:oMath>
              <m:acc>
                <m:accPr>
                  <m:chr m:val="̅"/>
                  <m:ctrlPr>
                    <w:rPr>
                      <w:rFonts w:ascii="Cambria Math" w:hAnsi="Cambria Math" w:cs="Times New Roman"/>
                      <w:i/>
                      <w:sz w:val="20"/>
                      <w:szCs w:val="20"/>
                    </w:rPr>
                  </m:ctrlPr>
                </m:accPr>
                <m:e>
                  <m:r>
                    <m:rPr>
                      <m:sty m:val="p"/>
                    </m:rPr>
                    <w:rPr>
                      <w:rFonts w:ascii="Cambria Math" w:hAnsi="Cambria Math" w:cs="Times New Roman"/>
                      <w:sz w:val="20"/>
                      <w:szCs w:val="20"/>
                    </w:rPr>
                    <m:t>Rural</m:t>
                  </m:r>
                </m:e>
              </m:acc>
            </m:oMath>
          </w:p>
        </w:tc>
        <w:tc>
          <w:tcPr>
            <w:tcW w:w="633" w:type="dxa"/>
            <w:tcBorders>
              <w:top w:val="nil"/>
              <w:left w:val="nil"/>
              <w:bottom w:val="nil"/>
              <w:right w:val="nil"/>
            </w:tcBorders>
            <w:tcMar>
              <w:top w:w="43" w:type="dxa"/>
              <w:left w:w="72" w:type="dxa"/>
              <w:bottom w:w="43" w:type="dxa"/>
              <w:right w:w="72" w:type="dxa"/>
            </w:tcMar>
            <w:hideMark/>
          </w:tcPr>
          <w:p w14:paraId="19062128" w14:textId="77777777" w:rsidR="00154002" w:rsidRPr="00965D6A" w:rsidRDefault="00034C1F" w:rsidP="00010333">
            <w:pPr>
              <w:rPr>
                <w:sz w:val="20"/>
                <w:szCs w:val="20"/>
              </w:rPr>
            </w:pPr>
            <m:oMathPara>
              <m:oMath>
                <m:sSub>
                  <m:sSubPr>
                    <m:ctrlPr>
                      <w:rPr>
                        <w:rFonts w:ascii="Cambria Math" w:hAnsi="Cambria Math"/>
                        <w:i/>
                        <w:iCs/>
                        <w:sz w:val="20"/>
                        <w:szCs w:val="20"/>
                      </w:rPr>
                    </m:ctrlPr>
                  </m:sSubPr>
                  <m:e>
                    <m:r>
                      <w:rPr>
                        <w:rFonts w:ascii="Cambria Math" w:hAnsi="Cambria Math"/>
                        <w:sz w:val="20"/>
                        <w:szCs w:val="20"/>
                      </w:rPr>
                      <m:t>γ</m:t>
                    </m:r>
                  </m:e>
                  <m:sub>
                    <m:r>
                      <w:rPr>
                        <w:rFonts w:ascii="Cambria Math" w:hAnsi="Cambria Math"/>
                        <w:sz w:val="20"/>
                        <w:szCs w:val="20"/>
                      </w:rPr>
                      <m:t>60</m:t>
                    </m:r>
                  </m:sub>
                </m:sSub>
              </m:oMath>
            </m:oMathPara>
          </w:p>
        </w:tc>
        <w:tc>
          <w:tcPr>
            <w:tcW w:w="2369" w:type="dxa"/>
            <w:tcBorders>
              <w:top w:val="nil"/>
              <w:left w:val="nil"/>
              <w:bottom w:val="nil"/>
              <w:right w:val="nil"/>
            </w:tcBorders>
            <w:tcMar>
              <w:top w:w="43" w:type="dxa"/>
              <w:left w:w="72" w:type="dxa"/>
              <w:bottom w:w="43" w:type="dxa"/>
              <w:right w:w="72" w:type="dxa"/>
            </w:tcMar>
          </w:tcPr>
          <w:p w14:paraId="02BE4DE9" w14:textId="77777777" w:rsidR="00154002" w:rsidRPr="00965D6A" w:rsidRDefault="00154002" w:rsidP="00010333">
            <w:pPr>
              <w:tabs>
                <w:tab w:val="decimal" w:pos="432"/>
              </w:tabs>
              <w:rPr>
                <w:sz w:val="20"/>
                <w:szCs w:val="20"/>
              </w:rPr>
            </w:pPr>
          </w:p>
        </w:tc>
        <w:tc>
          <w:tcPr>
            <w:tcW w:w="2348" w:type="dxa"/>
            <w:tcBorders>
              <w:top w:val="nil"/>
              <w:left w:val="nil"/>
              <w:bottom w:val="nil"/>
              <w:right w:val="nil"/>
            </w:tcBorders>
            <w:tcMar>
              <w:top w:w="43" w:type="dxa"/>
              <w:left w:w="72" w:type="dxa"/>
              <w:bottom w:w="43" w:type="dxa"/>
              <w:right w:w="72" w:type="dxa"/>
            </w:tcMar>
          </w:tcPr>
          <w:p w14:paraId="59BF9A7E" w14:textId="77777777" w:rsidR="00154002" w:rsidRPr="00965D6A" w:rsidRDefault="00154002" w:rsidP="00010333">
            <w:pPr>
              <w:tabs>
                <w:tab w:val="decimal" w:pos="432"/>
              </w:tabs>
              <w:rPr>
                <w:sz w:val="20"/>
                <w:szCs w:val="20"/>
              </w:rPr>
            </w:pPr>
          </w:p>
        </w:tc>
        <w:tc>
          <w:tcPr>
            <w:tcW w:w="2339" w:type="dxa"/>
            <w:tcBorders>
              <w:top w:val="nil"/>
              <w:left w:val="nil"/>
              <w:bottom w:val="nil"/>
              <w:right w:val="nil"/>
            </w:tcBorders>
          </w:tcPr>
          <w:p w14:paraId="2696AC1E" w14:textId="4F89940D" w:rsidR="00154002" w:rsidRPr="00965D6A" w:rsidRDefault="00154002" w:rsidP="00010333">
            <w:pPr>
              <w:tabs>
                <w:tab w:val="decimal" w:pos="432"/>
              </w:tabs>
              <w:rPr>
                <w:sz w:val="20"/>
                <w:szCs w:val="20"/>
              </w:rPr>
            </w:pPr>
            <w:r w:rsidRPr="00965D6A">
              <w:rPr>
                <w:sz w:val="20"/>
                <w:szCs w:val="20"/>
              </w:rPr>
              <w:t>–0.02</w:t>
            </w:r>
            <w:r w:rsidR="0007532F" w:rsidRPr="00965D6A">
              <w:rPr>
                <w:sz w:val="20"/>
                <w:szCs w:val="20"/>
              </w:rPr>
              <w:t>1</w:t>
            </w:r>
            <w:r w:rsidRPr="00965D6A">
              <w:rPr>
                <w:sz w:val="20"/>
                <w:szCs w:val="20"/>
              </w:rPr>
              <w:t>*</w:t>
            </w:r>
            <w:r w:rsidR="0007532F" w:rsidRPr="00965D6A">
              <w:rPr>
                <w:sz w:val="20"/>
                <w:szCs w:val="20"/>
              </w:rPr>
              <w:t>*</w:t>
            </w:r>
            <w:r w:rsidRPr="00965D6A">
              <w:rPr>
                <w:sz w:val="20"/>
                <w:szCs w:val="20"/>
              </w:rPr>
              <w:t>* (–2</w:t>
            </w:r>
            <w:r w:rsidR="0007532F" w:rsidRPr="00965D6A">
              <w:rPr>
                <w:sz w:val="20"/>
                <w:szCs w:val="20"/>
              </w:rPr>
              <w:t>.61</w:t>
            </w:r>
            <w:r w:rsidRPr="00965D6A">
              <w:rPr>
                <w:sz w:val="20"/>
                <w:szCs w:val="20"/>
              </w:rPr>
              <w:t>)</w:t>
            </w:r>
          </w:p>
        </w:tc>
      </w:tr>
      <w:tr w:rsidR="00965D6A" w:rsidRPr="00965D6A" w14:paraId="6EA8FA07" w14:textId="77777777" w:rsidTr="00154002">
        <w:trPr>
          <w:trHeight w:val="34"/>
        </w:trPr>
        <w:tc>
          <w:tcPr>
            <w:tcW w:w="4185" w:type="dxa"/>
            <w:tcBorders>
              <w:top w:val="nil"/>
              <w:left w:val="nil"/>
              <w:right w:val="nil"/>
            </w:tcBorders>
            <w:tcMar>
              <w:top w:w="43" w:type="dxa"/>
              <w:left w:w="72" w:type="dxa"/>
              <w:bottom w:w="43" w:type="dxa"/>
              <w:right w:w="72" w:type="dxa"/>
            </w:tcMar>
          </w:tcPr>
          <w:p w14:paraId="12CB3670" w14:textId="77777777" w:rsidR="00154002" w:rsidRPr="00965D6A" w:rsidRDefault="00154002" w:rsidP="00010333">
            <w:pPr>
              <w:rPr>
                <w:i/>
                <w:iCs/>
                <w:sz w:val="20"/>
                <w:szCs w:val="20"/>
              </w:rPr>
            </w:pPr>
            <w:r w:rsidRPr="00965D6A">
              <w:rPr>
                <w:i/>
                <w:iCs/>
                <w:sz w:val="20"/>
                <w:szCs w:val="20"/>
              </w:rPr>
              <w:t>Model fit</w:t>
            </w:r>
          </w:p>
        </w:tc>
        <w:tc>
          <w:tcPr>
            <w:tcW w:w="633" w:type="dxa"/>
            <w:tcBorders>
              <w:top w:val="nil"/>
              <w:left w:val="nil"/>
              <w:right w:val="nil"/>
            </w:tcBorders>
            <w:tcMar>
              <w:top w:w="43" w:type="dxa"/>
              <w:left w:w="72" w:type="dxa"/>
              <w:bottom w:w="43" w:type="dxa"/>
              <w:right w:w="72" w:type="dxa"/>
            </w:tcMar>
          </w:tcPr>
          <w:p w14:paraId="18F42076" w14:textId="77777777" w:rsidR="00154002" w:rsidRPr="00965D6A" w:rsidRDefault="00154002" w:rsidP="00010333">
            <w:pPr>
              <w:rPr>
                <w:sz w:val="20"/>
                <w:szCs w:val="20"/>
              </w:rPr>
            </w:pPr>
          </w:p>
        </w:tc>
        <w:tc>
          <w:tcPr>
            <w:tcW w:w="2369" w:type="dxa"/>
            <w:tcBorders>
              <w:top w:val="nil"/>
              <w:left w:val="nil"/>
              <w:right w:val="nil"/>
            </w:tcBorders>
            <w:tcMar>
              <w:top w:w="43" w:type="dxa"/>
              <w:left w:w="72" w:type="dxa"/>
              <w:bottom w:w="43" w:type="dxa"/>
              <w:right w:w="72" w:type="dxa"/>
            </w:tcMar>
          </w:tcPr>
          <w:p w14:paraId="2B3ED8AB" w14:textId="77777777" w:rsidR="00154002" w:rsidRPr="00965D6A" w:rsidRDefault="00154002" w:rsidP="00010333">
            <w:pPr>
              <w:jc w:val="center"/>
              <w:rPr>
                <w:sz w:val="20"/>
                <w:szCs w:val="20"/>
              </w:rPr>
            </w:pPr>
          </w:p>
        </w:tc>
        <w:tc>
          <w:tcPr>
            <w:tcW w:w="2348" w:type="dxa"/>
            <w:tcBorders>
              <w:top w:val="nil"/>
              <w:left w:val="nil"/>
              <w:right w:val="nil"/>
            </w:tcBorders>
            <w:tcMar>
              <w:top w:w="43" w:type="dxa"/>
              <w:left w:w="72" w:type="dxa"/>
              <w:bottom w:w="43" w:type="dxa"/>
              <w:right w:w="72" w:type="dxa"/>
            </w:tcMar>
          </w:tcPr>
          <w:p w14:paraId="250ADF74" w14:textId="77777777" w:rsidR="00154002" w:rsidRPr="00965D6A" w:rsidRDefault="00154002" w:rsidP="00010333">
            <w:pPr>
              <w:jc w:val="center"/>
              <w:rPr>
                <w:sz w:val="20"/>
                <w:szCs w:val="20"/>
              </w:rPr>
            </w:pPr>
          </w:p>
        </w:tc>
        <w:tc>
          <w:tcPr>
            <w:tcW w:w="2339" w:type="dxa"/>
            <w:tcBorders>
              <w:top w:val="nil"/>
              <w:left w:val="nil"/>
              <w:right w:val="nil"/>
            </w:tcBorders>
          </w:tcPr>
          <w:p w14:paraId="2D2B3BFC" w14:textId="77777777" w:rsidR="00154002" w:rsidRPr="00965D6A" w:rsidRDefault="00154002" w:rsidP="00010333">
            <w:pPr>
              <w:jc w:val="center"/>
              <w:rPr>
                <w:sz w:val="20"/>
                <w:szCs w:val="20"/>
              </w:rPr>
            </w:pPr>
          </w:p>
        </w:tc>
      </w:tr>
      <w:tr w:rsidR="00965D6A" w:rsidRPr="00965D6A" w14:paraId="17868347" w14:textId="77777777" w:rsidTr="00154002">
        <w:trPr>
          <w:trHeight w:val="34"/>
        </w:trPr>
        <w:tc>
          <w:tcPr>
            <w:tcW w:w="4185" w:type="dxa"/>
            <w:tcBorders>
              <w:top w:val="nil"/>
              <w:left w:val="nil"/>
              <w:right w:val="nil"/>
            </w:tcBorders>
            <w:tcMar>
              <w:top w:w="43" w:type="dxa"/>
              <w:left w:w="72" w:type="dxa"/>
              <w:bottom w:w="43" w:type="dxa"/>
              <w:right w:w="72" w:type="dxa"/>
            </w:tcMar>
          </w:tcPr>
          <w:p w14:paraId="638CC352" w14:textId="05397EA4" w:rsidR="00154002" w:rsidRPr="00965D6A" w:rsidRDefault="00154002" w:rsidP="00010333">
            <w:pPr>
              <w:rPr>
                <w:sz w:val="20"/>
                <w:szCs w:val="20"/>
              </w:rPr>
            </w:pPr>
            <w:r w:rsidRPr="00965D6A">
              <w:rPr>
                <w:sz w:val="20"/>
                <w:szCs w:val="20"/>
              </w:rPr>
              <w:t xml:space="preserve">     –2 residual log pseudo-likelihood</w:t>
            </w:r>
          </w:p>
        </w:tc>
        <w:tc>
          <w:tcPr>
            <w:tcW w:w="633" w:type="dxa"/>
            <w:tcBorders>
              <w:top w:val="nil"/>
              <w:left w:val="nil"/>
              <w:right w:val="nil"/>
            </w:tcBorders>
            <w:tcMar>
              <w:top w:w="43" w:type="dxa"/>
              <w:left w:w="72" w:type="dxa"/>
              <w:bottom w:w="43" w:type="dxa"/>
              <w:right w:w="72" w:type="dxa"/>
            </w:tcMar>
          </w:tcPr>
          <w:p w14:paraId="2A2E0678" w14:textId="77777777" w:rsidR="00154002" w:rsidRPr="00965D6A" w:rsidRDefault="00154002" w:rsidP="00010333">
            <w:pPr>
              <w:rPr>
                <w:sz w:val="20"/>
                <w:szCs w:val="20"/>
              </w:rPr>
            </w:pPr>
          </w:p>
        </w:tc>
        <w:tc>
          <w:tcPr>
            <w:tcW w:w="2369" w:type="dxa"/>
            <w:tcBorders>
              <w:top w:val="nil"/>
              <w:left w:val="nil"/>
              <w:right w:val="nil"/>
            </w:tcBorders>
            <w:tcMar>
              <w:top w:w="43" w:type="dxa"/>
              <w:left w:w="72" w:type="dxa"/>
              <w:bottom w:w="43" w:type="dxa"/>
              <w:right w:w="72" w:type="dxa"/>
            </w:tcMar>
          </w:tcPr>
          <w:p w14:paraId="188B8D03" w14:textId="09BC0BC9" w:rsidR="00154002" w:rsidRPr="00965D6A" w:rsidRDefault="00154002" w:rsidP="00010333">
            <w:pPr>
              <w:jc w:val="center"/>
              <w:rPr>
                <w:sz w:val="20"/>
                <w:szCs w:val="20"/>
              </w:rPr>
            </w:pPr>
            <w:r w:rsidRPr="00965D6A">
              <w:rPr>
                <w:sz w:val="20"/>
                <w:szCs w:val="20"/>
              </w:rPr>
              <w:t>18,654.94</w:t>
            </w:r>
          </w:p>
        </w:tc>
        <w:tc>
          <w:tcPr>
            <w:tcW w:w="2348" w:type="dxa"/>
            <w:tcBorders>
              <w:top w:val="nil"/>
              <w:left w:val="nil"/>
              <w:right w:val="nil"/>
            </w:tcBorders>
            <w:tcMar>
              <w:top w:w="43" w:type="dxa"/>
              <w:left w:w="72" w:type="dxa"/>
              <w:bottom w:w="43" w:type="dxa"/>
              <w:right w:w="72" w:type="dxa"/>
            </w:tcMar>
          </w:tcPr>
          <w:p w14:paraId="3CAD68C8" w14:textId="0E1CC5F6" w:rsidR="00154002" w:rsidRPr="00965D6A" w:rsidRDefault="006C5187" w:rsidP="00010333">
            <w:pPr>
              <w:jc w:val="center"/>
              <w:rPr>
                <w:sz w:val="20"/>
                <w:szCs w:val="20"/>
              </w:rPr>
            </w:pPr>
            <w:r w:rsidRPr="00965D6A">
              <w:rPr>
                <w:sz w:val="20"/>
                <w:szCs w:val="20"/>
              </w:rPr>
              <w:t>18,651.89</w:t>
            </w:r>
          </w:p>
        </w:tc>
        <w:tc>
          <w:tcPr>
            <w:tcW w:w="2339" w:type="dxa"/>
            <w:tcBorders>
              <w:top w:val="nil"/>
              <w:left w:val="nil"/>
              <w:right w:val="nil"/>
            </w:tcBorders>
          </w:tcPr>
          <w:p w14:paraId="63999F70" w14:textId="00E31ABB" w:rsidR="00154002" w:rsidRPr="00965D6A" w:rsidRDefault="00C32379" w:rsidP="00010333">
            <w:pPr>
              <w:jc w:val="center"/>
              <w:rPr>
                <w:sz w:val="20"/>
                <w:szCs w:val="20"/>
              </w:rPr>
            </w:pPr>
            <w:r w:rsidRPr="00965D6A">
              <w:rPr>
                <w:sz w:val="20"/>
                <w:szCs w:val="20"/>
              </w:rPr>
              <w:t>18,565.00</w:t>
            </w:r>
          </w:p>
        </w:tc>
      </w:tr>
      <w:tr w:rsidR="00965D6A" w:rsidRPr="00965D6A" w14:paraId="0E66A528" w14:textId="77777777" w:rsidTr="00154002">
        <w:trPr>
          <w:trHeight w:val="34"/>
        </w:trPr>
        <w:tc>
          <w:tcPr>
            <w:tcW w:w="4185" w:type="dxa"/>
            <w:tcBorders>
              <w:top w:val="nil"/>
              <w:left w:val="nil"/>
              <w:right w:val="nil"/>
            </w:tcBorders>
            <w:tcMar>
              <w:top w:w="43" w:type="dxa"/>
              <w:left w:w="72" w:type="dxa"/>
              <w:bottom w:w="43" w:type="dxa"/>
              <w:right w:w="72" w:type="dxa"/>
            </w:tcMar>
          </w:tcPr>
          <w:p w14:paraId="1E66EA60" w14:textId="77777777" w:rsidR="00154002" w:rsidRPr="00965D6A" w:rsidRDefault="00154002" w:rsidP="00010333">
            <w:pPr>
              <w:rPr>
                <w:i/>
                <w:iCs/>
                <w:sz w:val="20"/>
                <w:szCs w:val="20"/>
              </w:rPr>
            </w:pPr>
            <w:r w:rsidRPr="00965D6A">
              <w:rPr>
                <w:i/>
                <w:iCs/>
                <w:sz w:val="20"/>
                <w:szCs w:val="20"/>
              </w:rPr>
              <w:t>Sample</w:t>
            </w:r>
          </w:p>
        </w:tc>
        <w:tc>
          <w:tcPr>
            <w:tcW w:w="633" w:type="dxa"/>
            <w:tcBorders>
              <w:top w:val="nil"/>
              <w:left w:val="nil"/>
              <w:right w:val="nil"/>
            </w:tcBorders>
            <w:tcMar>
              <w:top w:w="43" w:type="dxa"/>
              <w:left w:w="72" w:type="dxa"/>
              <w:bottom w:w="43" w:type="dxa"/>
              <w:right w:w="72" w:type="dxa"/>
            </w:tcMar>
          </w:tcPr>
          <w:p w14:paraId="6D3A2576" w14:textId="77777777" w:rsidR="00154002" w:rsidRPr="00965D6A" w:rsidRDefault="00154002" w:rsidP="00010333">
            <w:pPr>
              <w:rPr>
                <w:sz w:val="20"/>
                <w:szCs w:val="20"/>
              </w:rPr>
            </w:pPr>
          </w:p>
        </w:tc>
        <w:tc>
          <w:tcPr>
            <w:tcW w:w="2369" w:type="dxa"/>
            <w:tcBorders>
              <w:top w:val="nil"/>
              <w:left w:val="nil"/>
              <w:right w:val="nil"/>
            </w:tcBorders>
            <w:tcMar>
              <w:top w:w="43" w:type="dxa"/>
              <w:left w:w="72" w:type="dxa"/>
              <w:bottom w:w="43" w:type="dxa"/>
              <w:right w:w="72" w:type="dxa"/>
            </w:tcMar>
          </w:tcPr>
          <w:p w14:paraId="4BB4807A" w14:textId="77777777" w:rsidR="00154002" w:rsidRPr="00965D6A" w:rsidRDefault="00154002" w:rsidP="00010333">
            <w:pPr>
              <w:jc w:val="center"/>
              <w:rPr>
                <w:sz w:val="20"/>
                <w:szCs w:val="20"/>
              </w:rPr>
            </w:pPr>
          </w:p>
        </w:tc>
        <w:tc>
          <w:tcPr>
            <w:tcW w:w="2348" w:type="dxa"/>
            <w:tcBorders>
              <w:top w:val="nil"/>
              <w:left w:val="nil"/>
              <w:right w:val="nil"/>
            </w:tcBorders>
            <w:tcMar>
              <w:top w:w="43" w:type="dxa"/>
              <w:left w:w="72" w:type="dxa"/>
              <w:bottom w:w="43" w:type="dxa"/>
              <w:right w:w="72" w:type="dxa"/>
            </w:tcMar>
          </w:tcPr>
          <w:p w14:paraId="66B1B8B6" w14:textId="77777777" w:rsidR="00154002" w:rsidRPr="00965D6A" w:rsidRDefault="00154002" w:rsidP="00010333">
            <w:pPr>
              <w:jc w:val="center"/>
              <w:rPr>
                <w:sz w:val="20"/>
                <w:szCs w:val="20"/>
              </w:rPr>
            </w:pPr>
          </w:p>
        </w:tc>
        <w:tc>
          <w:tcPr>
            <w:tcW w:w="2339" w:type="dxa"/>
            <w:tcBorders>
              <w:top w:val="nil"/>
              <w:left w:val="nil"/>
              <w:right w:val="nil"/>
            </w:tcBorders>
          </w:tcPr>
          <w:p w14:paraId="4B0809A4" w14:textId="77777777" w:rsidR="00154002" w:rsidRPr="00965D6A" w:rsidRDefault="00154002" w:rsidP="00010333">
            <w:pPr>
              <w:jc w:val="center"/>
              <w:rPr>
                <w:sz w:val="20"/>
                <w:szCs w:val="20"/>
              </w:rPr>
            </w:pPr>
          </w:p>
        </w:tc>
      </w:tr>
      <w:tr w:rsidR="00965D6A" w:rsidRPr="00965D6A" w14:paraId="2F619613" w14:textId="77777777" w:rsidTr="00154002">
        <w:trPr>
          <w:trHeight w:val="34"/>
        </w:trPr>
        <w:tc>
          <w:tcPr>
            <w:tcW w:w="4185" w:type="dxa"/>
            <w:tcBorders>
              <w:top w:val="nil"/>
              <w:left w:val="nil"/>
              <w:right w:val="nil"/>
            </w:tcBorders>
            <w:tcMar>
              <w:top w:w="43" w:type="dxa"/>
              <w:left w:w="72" w:type="dxa"/>
              <w:bottom w:w="43" w:type="dxa"/>
              <w:right w:w="72" w:type="dxa"/>
            </w:tcMar>
            <w:hideMark/>
          </w:tcPr>
          <w:p w14:paraId="12DABB70" w14:textId="77777777" w:rsidR="00154002" w:rsidRPr="00965D6A" w:rsidRDefault="00154002" w:rsidP="00256ACE">
            <w:pPr>
              <w:rPr>
                <w:sz w:val="20"/>
                <w:szCs w:val="20"/>
              </w:rPr>
            </w:pPr>
            <w:r w:rsidRPr="00965D6A">
              <w:rPr>
                <w:sz w:val="20"/>
                <w:szCs w:val="20"/>
              </w:rPr>
              <w:t xml:space="preserve">     Observations</w:t>
            </w:r>
          </w:p>
        </w:tc>
        <w:tc>
          <w:tcPr>
            <w:tcW w:w="633" w:type="dxa"/>
            <w:tcBorders>
              <w:top w:val="nil"/>
              <w:left w:val="nil"/>
              <w:right w:val="nil"/>
            </w:tcBorders>
            <w:tcMar>
              <w:top w:w="43" w:type="dxa"/>
              <w:left w:w="72" w:type="dxa"/>
              <w:bottom w:w="43" w:type="dxa"/>
              <w:right w:w="72" w:type="dxa"/>
            </w:tcMar>
            <w:hideMark/>
          </w:tcPr>
          <w:p w14:paraId="6C556B3C" w14:textId="77777777" w:rsidR="00154002" w:rsidRPr="00965D6A" w:rsidRDefault="00154002" w:rsidP="00256ACE">
            <w:pPr>
              <w:rPr>
                <w:sz w:val="20"/>
                <w:szCs w:val="20"/>
              </w:rPr>
            </w:pPr>
          </w:p>
        </w:tc>
        <w:tc>
          <w:tcPr>
            <w:tcW w:w="2369" w:type="dxa"/>
            <w:tcBorders>
              <w:top w:val="nil"/>
              <w:left w:val="nil"/>
              <w:right w:val="nil"/>
            </w:tcBorders>
            <w:tcMar>
              <w:top w:w="43" w:type="dxa"/>
              <w:left w:w="72" w:type="dxa"/>
              <w:bottom w:w="43" w:type="dxa"/>
              <w:right w:w="72" w:type="dxa"/>
            </w:tcMar>
          </w:tcPr>
          <w:p w14:paraId="29A01CD1" w14:textId="2385196E" w:rsidR="00154002" w:rsidRPr="00965D6A" w:rsidRDefault="00154002" w:rsidP="00256ACE">
            <w:pPr>
              <w:jc w:val="center"/>
              <w:rPr>
                <w:sz w:val="20"/>
                <w:szCs w:val="20"/>
              </w:rPr>
            </w:pPr>
            <w:r w:rsidRPr="00965D6A">
              <w:rPr>
                <w:sz w:val="20"/>
                <w:szCs w:val="20"/>
              </w:rPr>
              <w:t>8,862</w:t>
            </w:r>
          </w:p>
        </w:tc>
        <w:tc>
          <w:tcPr>
            <w:tcW w:w="2348" w:type="dxa"/>
            <w:tcBorders>
              <w:top w:val="nil"/>
              <w:left w:val="nil"/>
              <w:right w:val="nil"/>
            </w:tcBorders>
            <w:tcMar>
              <w:top w:w="43" w:type="dxa"/>
              <w:left w:w="72" w:type="dxa"/>
              <w:bottom w:w="43" w:type="dxa"/>
              <w:right w:w="72" w:type="dxa"/>
            </w:tcMar>
          </w:tcPr>
          <w:p w14:paraId="7E7E537E" w14:textId="442D4BDB" w:rsidR="00154002" w:rsidRPr="00965D6A" w:rsidRDefault="00154002" w:rsidP="00256ACE">
            <w:pPr>
              <w:jc w:val="center"/>
              <w:rPr>
                <w:sz w:val="20"/>
                <w:szCs w:val="20"/>
              </w:rPr>
            </w:pPr>
            <w:r w:rsidRPr="00965D6A">
              <w:rPr>
                <w:sz w:val="20"/>
                <w:szCs w:val="20"/>
              </w:rPr>
              <w:t>8,862</w:t>
            </w:r>
          </w:p>
        </w:tc>
        <w:tc>
          <w:tcPr>
            <w:tcW w:w="2339" w:type="dxa"/>
            <w:tcBorders>
              <w:top w:val="nil"/>
              <w:left w:val="nil"/>
              <w:right w:val="nil"/>
            </w:tcBorders>
          </w:tcPr>
          <w:p w14:paraId="4F55F33F" w14:textId="18C3ED0F" w:rsidR="00154002" w:rsidRPr="00965D6A" w:rsidRDefault="00154002" w:rsidP="00256ACE">
            <w:pPr>
              <w:jc w:val="center"/>
              <w:rPr>
                <w:sz w:val="20"/>
                <w:szCs w:val="20"/>
              </w:rPr>
            </w:pPr>
            <w:r w:rsidRPr="00965D6A">
              <w:rPr>
                <w:sz w:val="20"/>
                <w:szCs w:val="20"/>
              </w:rPr>
              <w:t>8,862</w:t>
            </w:r>
          </w:p>
        </w:tc>
      </w:tr>
      <w:tr w:rsidR="00965D6A" w:rsidRPr="00965D6A" w14:paraId="0176B535" w14:textId="77777777" w:rsidTr="00154002">
        <w:trPr>
          <w:trHeight w:val="34"/>
        </w:trPr>
        <w:tc>
          <w:tcPr>
            <w:tcW w:w="4185" w:type="dxa"/>
            <w:tcBorders>
              <w:left w:val="nil"/>
              <w:bottom w:val="single" w:sz="4" w:space="0" w:color="auto"/>
              <w:right w:val="nil"/>
            </w:tcBorders>
            <w:tcMar>
              <w:top w:w="43" w:type="dxa"/>
              <w:left w:w="72" w:type="dxa"/>
              <w:bottom w:w="43" w:type="dxa"/>
              <w:right w:w="72" w:type="dxa"/>
            </w:tcMar>
          </w:tcPr>
          <w:p w14:paraId="4DC716BE" w14:textId="77777777" w:rsidR="00154002" w:rsidRPr="00965D6A" w:rsidRDefault="00154002" w:rsidP="00256ACE">
            <w:pPr>
              <w:rPr>
                <w:sz w:val="20"/>
                <w:szCs w:val="20"/>
              </w:rPr>
            </w:pPr>
            <w:r w:rsidRPr="00965D6A">
              <w:rPr>
                <w:sz w:val="20"/>
                <w:szCs w:val="20"/>
              </w:rPr>
              <w:t xml:space="preserve">     Number of groups</w:t>
            </w:r>
          </w:p>
        </w:tc>
        <w:tc>
          <w:tcPr>
            <w:tcW w:w="633" w:type="dxa"/>
            <w:tcBorders>
              <w:left w:val="nil"/>
              <w:bottom w:val="single" w:sz="4" w:space="0" w:color="auto"/>
              <w:right w:val="nil"/>
            </w:tcBorders>
            <w:tcMar>
              <w:top w:w="43" w:type="dxa"/>
              <w:left w:w="72" w:type="dxa"/>
              <w:bottom w:w="43" w:type="dxa"/>
              <w:right w:w="72" w:type="dxa"/>
            </w:tcMar>
          </w:tcPr>
          <w:p w14:paraId="69C04792" w14:textId="77777777" w:rsidR="00154002" w:rsidRPr="00965D6A" w:rsidRDefault="00154002" w:rsidP="00256ACE">
            <w:pPr>
              <w:rPr>
                <w:sz w:val="20"/>
                <w:szCs w:val="20"/>
              </w:rPr>
            </w:pPr>
          </w:p>
        </w:tc>
        <w:tc>
          <w:tcPr>
            <w:tcW w:w="2369" w:type="dxa"/>
            <w:tcBorders>
              <w:left w:val="nil"/>
              <w:bottom w:val="single" w:sz="4" w:space="0" w:color="auto"/>
              <w:right w:val="nil"/>
            </w:tcBorders>
            <w:tcMar>
              <w:top w:w="43" w:type="dxa"/>
              <w:left w:w="72" w:type="dxa"/>
              <w:bottom w:w="43" w:type="dxa"/>
              <w:right w:w="72" w:type="dxa"/>
            </w:tcMar>
          </w:tcPr>
          <w:p w14:paraId="154EE8F4" w14:textId="2F6A282D" w:rsidR="00154002" w:rsidRPr="00965D6A" w:rsidRDefault="00154002" w:rsidP="00256ACE">
            <w:pPr>
              <w:jc w:val="center"/>
              <w:rPr>
                <w:sz w:val="20"/>
                <w:szCs w:val="20"/>
              </w:rPr>
            </w:pPr>
            <w:r w:rsidRPr="00965D6A">
              <w:rPr>
                <w:sz w:val="20"/>
                <w:szCs w:val="20"/>
              </w:rPr>
              <w:t>633</w:t>
            </w:r>
          </w:p>
        </w:tc>
        <w:tc>
          <w:tcPr>
            <w:tcW w:w="2348" w:type="dxa"/>
            <w:tcBorders>
              <w:left w:val="nil"/>
              <w:bottom w:val="single" w:sz="4" w:space="0" w:color="auto"/>
              <w:right w:val="nil"/>
            </w:tcBorders>
            <w:tcMar>
              <w:top w:w="43" w:type="dxa"/>
              <w:left w:w="72" w:type="dxa"/>
              <w:bottom w:w="43" w:type="dxa"/>
              <w:right w:w="72" w:type="dxa"/>
            </w:tcMar>
          </w:tcPr>
          <w:p w14:paraId="0F4B9EC7" w14:textId="16940404" w:rsidR="00154002" w:rsidRPr="00965D6A" w:rsidRDefault="00154002" w:rsidP="00256ACE">
            <w:pPr>
              <w:jc w:val="center"/>
              <w:rPr>
                <w:sz w:val="20"/>
                <w:szCs w:val="20"/>
              </w:rPr>
            </w:pPr>
            <w:r w:rsidRPr="00965D6A">
              <w:rPr>
                <w:sz w:val="20"/>
                <w:szCs w:val="20"/>
              </w:rPr>
              <w:t>633</w:t>
            </w:r>
          </w:p>
        </w:tc>
        <w:tc>
          <w:tcPr>
            <w:tcW w:w="2339" w:type="dxa"/>
            <w:tcBorders>
              <w:left w:val="nil"/>
              <w:bottom w:val="single" w:sz="4" w:space="0" w:color="auto"/>
              <w:right w:val="nil"/>
            </w:tcBorders>
          </w:tcPr>
          <w:p w14:paraId="6316EC5E" w14:textId="476AD3BC" w:rsidR="00154002" w:rsidRPr="00965D6A" w:rsidRDefault="00154002" w:rsidP="00256ACE">
            <w:pPr>
              <w:jc w:val="center"/>
              <w:rPr>
                <w:sz w:val="20"/>
                <w:szCs w:val="20"/>
              </w:rPr>
            </w:pPr>
            <w:r w:rsidRPr="00965D6A">
              <w:rPr>
                <w:sz w:val="20"/>
                <w:szCs w:val="20"/>
              </w:rPr>
              <w:t>633</w:t>
            </w:r>
          </w:p>
        </w:tc>
      </w:tr>
      <w:tr w:rsidR="00965D6A" w:rsidRPr="00965D6A" w14:paraId="1550AAAB" w14:textId="77777777" w:rsidTr="00154002">
        <w:trPr>
          <w:trHeight w:val="34"/>
        </w:trPr>
        <w:tc>
          <w:tcPr>
            <w:tcW w:w="11874" w:type="dxa"/>
            <w:gridSpan w:val="5"/>
            <w:tcBorders>
              <w:top w:val="single" w:sz="4" w:space="0" w:color="auto"/>
              <w:left w:val="nil"/>
              <w:right w:val="nil"/>
            </w:tcBorders>
            <w:tcMar>
              <w:top w:w="43" w:type="dxa"/>
              <w:left w:w="72" w:type="dxa"/>
              <w:bottom w:w="43" w:type="dxa"/>
              <w:right w:w="72" w:type="dxa"/>
            </w:tcMar>
          </w:tcPr>
          <w:p w14:paraId="6A1DD3BB" w14:textId="7AC18A92" w:rsidR="00407542" w:rsidRPr="00965D6A" w:rsidRDefault="00154002" w:rsidP="00F47CC8">
            <w:pPr>
              <w:rPr>
                <w:sz w:val="20"/>
                <w:szCs w:val="20"/>
              </w:rPr>
            </w:pPr>
            <w:r w:rsidRPr="00965D6A">
              <w:rPr>
                <w:i/>
                <w:iCs/>
                <w:sz w:val="20"/>
                <w:szCs w:val="20"/>
              </w:rPr>
              <w:t xml:space="preserve">Notes: </w:t>
            </w:r>
            <w:r w:rsidRPr="00965D6A">
              <w:rPr>
                <w:sz w:val="20"/>
                <w:szCs w:val="20"/>
              </w:rPr>
              <w:t xml:space="preserve">Outcome: </w:t>
            </w:r>
            <m:oMath>
              <m:sSub>
                <m:sSubPr>
                  <m:ctrlPr>
                    <w:rPr>
                      <w:rFonts w:ascii="Cambria Math" w:hAnsi="Cambria Math"/>
                      <w:i/>
                      <w:sz w:val="20"/>
                      <w:szCs w:val="20"/>
                    </w:rPr>
                  </m:ctrlPr>
                </m:sSubPr>
                <m:e>
                  <m:r>
                    <w:rPr>
                      <w:rFonts w:ascii="Cambria Math" w:hAnsi="Cambria Math"/>
                      <w:sz w:val="20"/>
                      <w:szCs w:val="20"/>
                    </w:rPr>
                    <m:t>ShareTripsOnline</m:t>
                  </m:r>
                </m:e>
                <m:sub>
                  <m:r>
                    <w:rPr>
                      <w:rFonts w:ascii="Cambria Math" w:hAnsi="Cambria Math"/>
                      <w:sz w:val="20"/>
                      <w:szCs w:val="20"/>
                    </w:rPr>
                    <m:t>jt</m:t>
                  </m:r>
                </m:sub>
              </m:sSub>
            </m:oMath>
            <w:r w:rsidRPr="00965D6A">
              <w:rPr>
                <w:rFonts w:eastAsiaTheme="minorEastAsia"/>
                <w:sz w:val="20"/>
                <w:szCs w:val="20"/>
              </w:rPr>
              <w:t xml:space="preserve"> (no adjustment of 0.005 added). </w:t>
            </w:r>
            <w:proofErr w:type="gramStart"/>
            <w:r w:rsidRPr="00965D6A">
              <w:rPr>
                <w:sz w:val="20"/>
                <w:szCs w:val="20"/>
              </w:rPr>
              <w:t>z-</w:t>
            </w:r>
            <w:proofErr w:type="gramEnd"/>
            <w:r w:rsidRPr="00965D6A">
              <w:rPr>
                <w:sz w:val="20"/>
                <w:szCs w:val="20"/>
              </w:rPr>
              <w:t>statistics are reported in parentheses; *</w:t>
            </w:r>
            <w:r w:rsidRPr="00965D6A">
              <w:rPr>
                <w:i/>
                <w:iCs/>
                <w:sz w:val="20"/>
                <w:szCs w:val="20"/>
              </w:rPr>
              <w:t xml:space="preserve">p </w:t>
            </w:r>
            <w:r w:rsidRPr="00965D6A">
              <w:rPr>
                <w:sz w:val="20"/>
                <w:szCs w:val="20"/>
              </w:rPr>
              <w:t>&lt; .10, **</w:t>
            </w:r>
            <w:r w:rsidRPr="00965D6A">
              <w:rPr>
                <w:i/>
                <w:iCs/>
                <w:sz w:val="20"/>
                <w:szCs w:val="20"/>
              </w:rPr>
              <w:t xml:space="preserve">p </w:t>
            </w:r>
            <w:r w:rsidRPr="00965D6A">
              <w:rPr>
                <w:sz w:val="20"/>
                <w:szCs w:val="20"/>
              </w:rPr>
              <w:t>&lt; .05, ***</w:t>
            </w:r>
            <w:r w:rsidRPr="00965D6A">
              <w:rPr>
                <w:i/>
                <w:iCs/>
                <w:sz w:val="20"/>
                <w:szCs w:val="20"/>
              </w:rPr>
              <w:t xml:space="preserve">p </w:t>
            </w:r>
            <w:r w:rsidRPr="00965D6A">
              <w:rPr>
                <w:sz w:val="20"/>
                <w:szCs w:val="20"/>
              </w:rPr>
              <w:t xml:space="preserve">&lt; .01. </w:t>
            </w:r>
          </w:p>
        </w:tc>
      </w:tr>
    </w:tbl>
    <w:p w14:paraId="57B293FC" w14:textId="3997EC73" w:rsidR="00FA6E73" w:rsidRPr="00965D6A" w:rsidRDefault="000626AA" w:rsidP="002A64CB">
      <w:pPr>
        <w:pStyle w:val="NoSpacing"/>
        <w:spacing w:line="480" w:lineRule="auto"/>
        <w:jc w:val="both"/>
        <w:sectPr w:rsidR="00FA6E73" w:rsidRPr="00965D6A" w:rsidSect="00FA6E73">
          <w:pgSz w:w="15840" w:h="12240" w:orient="landscape"/>
          <w:pgMar w:top="1440" w:right="1440" w:bottom="1440" w:left="1440" w:header="720" w:footer="720" w:gutter="0"/>
          <w:cols w:space="720"/>
          <w:docGrid w:linePitch="360"/>
        </w:sectPr>
      </w:pPr>
      <w:r w:rsidRPr="00965D6A">
        <w:rPr>
          <w:b/>
          <w:bCs/>
          <w:sz w:val="20"/>
          <w:szCs w:val="20"/>
        </w:rPr>
        <w:t xml:space="preserve">Source(s): </w:t>
      </w:r>
      <w:r w:rsidRPr="00965D6A">
        <w:rPr>
          <w:sz w:val="20"/>
          <w:szCs w:val="20"/>
        </w:rPr>
        <w:t xml:space="preserve">Authors’ </w:t>
      </w:r>
      <w:proofErr w:type="gramStart"/>
      <w:r w:rsidRPr="00965D6A">
        <w:rPr>
          <w:sz w:val="20"/>
          <w:szCs w:val="20"/>
        </w:rPr>
        <w:t>own</w:t>
      </w:r>
      <w:proofErr w:type="gramEnd"/>
      <w:r w:rsidRPr="00965D6A">
        <w:rPr>
          <w:sz w:val="20"/>
          <w:szCs w:val="20"/>
        </w:rPr>
        <w:t xml:space="preserve"> </w:t>
      </w:r>
      <w:r w:rsidR="00567E07">
        <w:rPr>
          <w:sz w:val="20"/>
          <w:szCs w:val="20"/>
        </w:rPr>
        <w:t>work</w:t>
      </w:r>
    </w:p>
    <w:p w14:paraId="5F49C0BB" w14:textId="73F588B9" w:rsidR="00764473" w:rsidRPr="00965D6A" w:rsidRDefault="00764473" w:rsidP="00764473">
      <w:pPr>
        <w:jc w:val="both"/>
        <w:rPr>
          <w:rFonts w:eastAsia="Calibri" w:cs="Times New Roman"/>
        </w:rPr>
      </w:pPr>
      <w:r w:rsidRPr="00965D6A">
        <w:rPr>
          <w:rFonts w:eastAsia="Calibri" w:cs="Times New Roman"/>
          <w:b/>
          <w:bCs/>
        </w:rPr>
        <w:lastRenderedPageBreak/>
        <w:t>DISCLAIMER</w:t>
      </w:r>
      <w:r w:rsidRPr="00965D6A" w:rsidDel="00BE7D77">
        <w:rPr>
          <w:rFonts w:eastAsia="Calibri" w:cs="Times New Roman"/>
          <w:b/>
          <w:bCs/>
        </w:rPr>
        <w:t>:</w:t>
      </w:r>
      <w:r w:rsidRPr="00965D6A" w:rsidDel="00BE7D77">
        <w:rPr>
          <w:rFonts w:eastAsia="Calibri" w:cs="Times New Roman"/>
        </w:rPr>
        <w:t xml:space="preserve"> </w:t>
      </w:r>
      <w:r w:rsidRPr="00965D6A">
        <w:rPr>
          <w:rFonts w:eastAsia="Calibri" w:cs="Times New Roman"/>
        </w:rPr>
        <w:t xml:space="preserve">Researcher(s)’ own analyses calculated (or derived) based in part on data from Nielsen Consumer LLC and marketing databases provided through the </w:t>
      </w:r>
      <w:proofErr w:type="spellStart"/>
      <w:r w:rsidRPr="00965D6A">
        <w:rPr>
          <w:rFonts w:eastAsia="Calibri" w:cs="Times New Roman"/>
        </w:rPr>
        <w:t>NielsenIQ</w:t>
      </w:r>
      <w:proofErr w:type="spellEnd"/>
      <w:r w:rsidRPr="00965D6A">
        <w:rPr>
          <w:rFonts w:eastAsia="Calibri" w:cs="Times New Roman"/>
        </w:rPr>
        <w:t xml:space="preserve"> Datasets at the Kilts Center for Marketing Data Center at The University of Chicago Booth School of Business.</w:t>
      </w:r>
    </w:p>
    <w:p w14:paraId="2B73B79A" w14:textId="77777777" w:rsidR="00764473" w:rsidRPr="00965D6A" w:rsidRDefault="00764473" w:rsidP="00764473">
      <w:pPr>
        <w:jc w:val="both"/>
        <w:rPr>
          <w:rFonts w:eastAsia="Calibri" w:cs="Times New Roman"/>
        </w:rPr>
      </w:pPr>
    </w:p>
    <w:p w14:paraId="1157577B" w14:textId="77777777" w:rsidR="00764473" w:rsidRPr="00965D6A" w:rsidRDefault="00764473" w:rsidP="00965D6A">
      <w:pPr>
        <w:jc w:val="both"/>
        <w:rPr>
          <w:rFonts w:eastAsia="Calibri" w:cs="Times New Roman"/>
        </w:rPr>
      </w:pPr>
      <w:r w:rsidRPr="00965D6A">
        <w:rPr>
          <w:rFonts w:eastAsia="Calibri" w:cs="Times New Roman"/>
        </w:rPr>
        <w:t xml:space="preserve">The conclusions drawn from the </w:t>
      </w:r>
      <w:proofErr w:type="spellStart"/>
      <w:r w:rsidRPr="00965D6A">
        <w:rPr>
          <w:rFonts w:eastAsia="Calibri" w:cs="Times New Roman"/>
        </w:rPr>
        <w:t>NielsenIQ</w:t>
      </w:r>
      <w:proofErr w:type="spellEnd"/>
      <w:r w:rsidRPr="00965D6A">
        <w:rPr>
          <w:rFonts w:eastAsia="Calibri" w:cs="Times New Roman"/>
        </w:rPr>
        <w:t xml:space="preserve"> data are those of the researcher(s) and do not reflect the views of </w:t>
      </w:r>
      <w:proofErr w:type="spellStart"/>
      <w:r w:rsidRPr="00965D6A">
        <w:rPr>
          <w:rFonts w:eastAsia="Calibri" w:cs="Times New Roman"/>
        </w:rPr>
        <w:t>NielsenIQ</w:t>
      </w:r>
      <w:proofErr w:type="spellEnd"/>
      <w:r w:rsidRPr="00965D6A">
        <w:rPr>
          <w:rFonts w:eastAsia="Calibri" w:cs="Times New Roman"/>
        </w:rPr>
        <w:t xml:space="preserve">. </w:t>
      </w:r>
      <w:proofErr w:type="spellStart"/>
      <w:r w:rsidRPr="00965D6A">
        <w:rPr>
          <w:rFonts w:eastAsia="Calibri" w:cs="Times New Roman"/>
        </w:rPr>
        <w:t>NielsenIQ</w:t>
      </w:r>
      <w:proofErr w:type="spellEnd"/>
      <w:r w:rsidRPr="00965D6A">
        <w:rPr>
          <w:rFonts w:eastAsia="Calibri" w:cs="Times New Roman"/>
        </w:rPr>
        <w:t xml:space="preserve"> is not responsible for, had no role in, and was not involved in analyzing and preparing the results reported herein.</w:t>
      </w:r>
      <w:r w:rsidRPr="00965D6A">
        <w:rPr>
          <w:rFonts w:eastAsia="Calibri" w:cs="Times New Roman"/>
        </w:rPr>
        <w:br w:type="page"/>
      </w:r>
    </w:p>
    <w:p w14:paraId="28EDEEFB" w14:textId="77777777" w:rsidR="00906B74" w:rsidRPr="00675CF7" w:rsidRDefault="00906B74" w:rsidP="00906B74">
      <w:pPr>
        <w:spacing w:line="480" w:lineRule="auto"/>
        <w:ind w:left="720" w:hanging="720"/>
        <w:rPr>
          <w:rFonts w:eastAsiaTheme="minorEastAsia" w:cs="Times New Roman"/>
          <w:b/>
          <w:bCs/>
          <w:iCs/>
        </w:rPr>
      </w:pPr>
      <w:r w:rsidRPr="00675CF7">
        <w:rPr>
          <w:rFonts w:eastAsiaTheme="minorEastAsia" w:cs="Times New Roman"/>
          <w:b/>
          <w:bCs/>
          <w:iCs/>
        </w:rPr>
        <w:lastRenderedPageBreak/>
        <w:t>Reference</w:t>
      </w:r>
      <w:r>
        <w:rPr>
          <w:rFonts w:eastAsiaTheme="minorEastAsia" w:cs="Times New Roman"/>
          <w:b/>
          <w:bCs/>
          <w:iCs/>
        </w:rPr>
        <w:t>s</w:t>
      </w:r>
    </w:p>
    <w:p w14:paraId="541D8FB0" w14:textId="77777777" w:rsidR="00906B74" w:rsidRPr="008A085C" w:rsidRDefault="00906B74" w:rsidP="00906B74">
      <w:pPr>
        <w:pStyle w:val="Bibliography"/>
        <w:spacing w:after="240"/>
        <w:ind w:left="720" w:hanging="720"/>
      </w:pPr>
      <w:r w:rsidRPr="00F47CC8">
        <w:t xml:space="preserve">Beckers, J., Cárdenas, I. and </w:t>
      </w:r>
      <w:proofErr w:type="spellStart"/>
      <w:r w:rsidRPr="00F47CC8">
        <w:t>Verhetsel</w:t>
      </w:r>
      <w:proofErr w:type="spellEnd"/>
      <w:r w:rsidRPr="00F47CC8">
        <w:t xml:space="preserve">, A. (2018). </w:t>
      </w:r>
      <w:r w:rsidRPr="008A085C">
        <w:t>“Identifying the geography of online shopping adoption in Belgium”</w:t>
      </w:r>
      <w:r>
        <w:t>,</w:t>
      </w:r>
      <w:r w:rsidRPr="008A085C">
        <w:t xml:space="preserve"> </w:t>
      </w:r>
      <w:r w:rsidRPr="008A085C">
        <w:rPr>
          <w:i/>
          <w:iCs/>
        </w:rPr>
        <w:t>Journal of Retailing and Consumer Services</w:t>
      </w:r>
      <w:r>
        <w:t>,</w:t>
      </w:r>
      <w:r w:rsidRPr="008A085C">
        <w:t xml:space="preserve"> </w:t>
      </w:r>
      <w:r w:rsidRPr="00293921">
        <w:t>45</w:t>
      </w:r>
      <w:r w:rsidRPr="008A085C">
        <w:t>: 33</w:t>
      </w:r>
      <w:r>
        <w:t>-</w:t>
      </w:r>
      <w:r w:rsidRPr="008A085C">
        <w:t xml:space="preserve">41. </w:t>
      </w:r>
    </w:p>
    <w:p w14:paraId="0D1E2690" w14:textId="77777777" w:rsidR="00906B74" w:rsidRDefault="00906B74" w:rsidP="00906B74">
      <w:pPr>
        <w:pStyle w:val="Bibliography"/>
        <w:spacing w:after="240"/>
        <w:ind w:left="720" w:hanging="720"/>
      </w:pPr>
      <w:r w:rsidRPr="00F47CC8">
        <w:t xml:space="preserve">Beckers, J., </w:t>
      </w:r>
      <w:proofErr w:type="spellStart"/>
      <w:r w:rsidRPr="00F47CC8">
        <w:t>Weekx</w:t>
      </w:r>
      <w:proofErr w:type="spellEnd"/>
      <w:r w:rsidRPr="00F47CC8">
        <w:t xml:space="preserve">, S., </w:t>
      </w:r>
      <w:proofErr w:type="spellStart"/>
      <w:r w:rsidRPr="00F47CC8">
        <w:t>Beutels</w:t>
      </w:r>
      <w:proofErr w:type="spellEnd"/>
      <w:r w:rsidRPr="00F47CC8">
        <w:t xml:space="preserve">, P. and </w:t>
      </w:r>
      <w:proofErr w:type="spellStart"/>
      <w:r w:rsidRPr="00F47CC8">
        <w:t>Verhetsel</w:t>
      </w:r>
      <w:proofErr w:type="spellEnd"/>
      <w:r w:rsidRPr="00F47CC8">
        <w:t xml:space="preserve">, A. (2021). </w:t>
      </w:r>
      <w:r w:rsidRPr="008A085C">
        <w:t>“COVID-19 and retail: The catalyst for e-commerce in Belgium?”</w:t>
      </w:r>
      <w:r>
        <w:t>,</w:t>
      </w:r>
      <w:r w:rsidRPr="008A085C">
        <w:t xml:space="preserve"> </w:t>
      </w:r>
      <w:r w:rsidRPr="008A085C">
        <w:rPr>
          <w:i/>
          <w:iCs/>
        </w:rPr>
        <w:t>Journal of Retailing and Consumer Services</w:t>
      </w:r>
      <w:r>
        <w:t>,</w:t>
      </w:r>
      <w:r w:rsidRPr="008A085C">
        <w:t xml:space="preserve"> </w:t>
      </w:r>
      <w:r w:rsidRPr="00293921">
        <w:t>62</w:t>
      </w:r>
      <w:r w:rsidRPr="008A085C">
        <w:t xml:space="preserve">: 102645. </w:t>
      </w:r>
    </w:p>
    <w:p w14:paraId="58BA0AB3" w14:textId="77777777" w:rsidR="00906B74" w:rsidRPr="00D86CEA" w:rsidRDefault="00906B74" w:rsidP="00906B74">
      <w:pPr>
        <w:pStyle w:val="Bibliography"/>
        <w:spacing w:after="240"/>
        <w:ind w:left="720" w:hanging="720"/>
      </w:pPr>
      <w:r w:rsidRPr="008A085C">
        <w:t xml:space="preserve">Cao, X. (Jason), Chen, </w:t>
      </w:r>
      <w:r>
        <w:t xml:space="preserve">Q. </w:t>
      </w:r>
      <w:r w:rsidRPr="008A085C">
        <w:t>and Choo</w:t>
      </w:r>
      <w:r>
        <w:t>, S</w:t>
      </w:r>
      <w:r w:rsidRPr="008A085C">
        <w:t xml:space="preserve">. </w:t>
      </w:r>
      <w:r>
        <w:t>(</w:t>
      </w:r>
      <w:r w:rsidRPr="008A085C">
        <w:t>2013</w:t>
      </w:r>
      <w:r>
        <w:t>)</w:t>
      </w:r>
      <w:r w:rsidRPr="008A085C">
        <w:t>. “Geographic distribution of e-shopping: Application of structural equation models in the Twin Cities of Minnesota”</w:t>
      </w:r>
      <w:r>
        <w:t>,</w:t>
      </w:r>
      <w:r w:rsidRPr="008A085C">
        <w:t xml:space="preserve"> </w:t>
      </w:r>
      <w:r w:rsidRPr="008A085C">
        <w:rPr>
          <w:i/>
          <w:iCs/>
        </w:rPr>
        <w:t>Transportation Research Record</w:t>
      </w:r>
      <w:r>
        <w:t>,</w:t>
      </w:r>
      <w:r w:rsidRPr="008A085C">
        <w:t xml:space="preserve"> </w:t>
      </w:r>
      <w:r w:rsidRPr="00293921">
        <w:t>2383</w:t>
      </w:r>
      <w:r>
        <w:t>(</w:t>
      </w:r>
      <w:r w:rsidRPr="008A085C">
        <w:t>1</w:t>
      </w:r>
      <w:r>
        <w:t>)</w:t>
      </w:r>
      <w:r w:rsidRPr="008A085C">
        <w:t>: 18</w:t>
      </w:r>
      <w:r>
        <w:t>-</w:t>
      </w:r>
      <w:r w:rsidRPr="008A085C">
        <w:t xml:space="preserve">26. </w:t>
      </w:r>
    </w:p>
    <w:p w14:paraId="74394B31" w14:textId="77777777" w:rsidR="00906B74" w:rsidRPr="000F04F1" w:rsidRDefault="00906B74" w:rsidP="00906B74">
      <w:pPr>
        <w:pStyle w:val="Bibliography"/>
        <w:spacing w:after="240"/>
        <w:ind w:left="720" w:hanging="720"/>
      </w:pPr>
      <w:r w:rsidRPr="008A085C">
        <w:t>Clarke, G., Thompson,</w:t>
      </w:r>
      <w:r>
        <w:t xml:space="preserve"> C.</w:t>
      </w:r>
      <w:r w:rsidRPr="008A085C">
        <w:t xml:space="preserve"> and </w:t>
      </w:r>
      <w:r>
        <w:t>B</w:t>
      </w:r>
      <w:r w:rsidRPr="008A085C">
        <w:t>irkin</w:t>
      </w:r>
      <w:r>
        <w:t>, M</w:t>
      </w:r>
      <w:r w:rsidRPr="008A085C">
        <w:t xml:space="preserve">. </w:t>
      </w:r>
      <w:r>
        <w:t>(</w:t>
      </w:r>
      <w:r w:rsidRPr="008A085C">
        <w:t>2015</w:t>
      </w:r>
      <w:r>
        <w:t>)</w:t>
      </w:r>
      <w:r w:rsidRPr="008A085C">
        <w:t>. “The emerging geography of e-commerce in British retailing”</w:t>
      </w:r>
      <w:r>
        <w:t>,</w:t>
      </w:r>
      <w:r w:rsidRPr="008A085C">
        <w:t xml:space="preserve"> </w:t>
      </w:r>
      <w:r w:rsidRPr="008A085C">
        <w:rPr>
          <w:i/>
          <w:iCs/>
        </w:rPr>
        <w:t>Regional Studies, Regional Science</w:t>
      </w:r>
      <w:r>
        <w:t>,</w:t>
      </w:r>
      <w:r w:rsidRPr="008A085C">
        <w:t xml:space="preserve"> </w:t>
      </w:r>
      <w:r w:rsidRPr="00293921">
        <w:t>2</w:t>
      </w:r>
      <w:r>
        <w:t>(</w:t>
      </w:r>
      <w:r w:rsidRPr="008A085C">
        <w:t>1</w:t>
      </w:r>
      <w:r>
        <w:t>)</w:t>
      </w:r>
      <w:r w:rsidRPr="008A085C">
        <w:t>: 371</w:t>
      </w:r>
      <w:r>
        <w:t>-</w:t>
      </w:r>
      <w:r w:rsidRPr="008A085C">
        <w:t xml:space="preserve">391. </w:t>
      </w:r>
    </w:p>
    <w:p w14:paraId="550692A8" w14:textId="77777777" w:rsidR="00906B74" w:rsidRPr="007557C6" w:rsidRDefault="00906B74" w:rsidP="00906B74">
      <w:pPr>
        <w:pStyle w:val="Bibliography"/>
        <w:spacing w:after="240"/>
        <w:ind w:left="720" w:hanging="720"/>
      </w:pPr>
      <w:r w:rsidRPr="008A085C">
        <w:t>Davis-Sramek, B.,</w:t>
      </w:r>
      <w:r>
        <w:t xml:space="preserve"> </w:t>
      </w:r>
      <w:r w:rsidRPr="008A085C">
        <w:t xml:space="preserve">Scott, </w:t>
      </w:r>
      <w:r>
        <w:t xml:space="preserve">A. </w:t>
      </w:r>
      <w:r w:rsidRPr="008A085C">
        <w:t>and Richey Jr.</w:t>
      </w:r>
      <w:r>
        <w:t>, R.G.</w:t>
      </w:r>
      <w:r w:rsidRPr="008A085C">
        <w:t xml:space="preserve"> </w:t>
      </w:r>
      <w:r>
        <w:t>(</w:t>
      </w:r>
      <w:r w:rsidRPr="008A085C">
        <w:t>2023</w:t>
      </w:r>
      <w:r>
        <w:t>)</w:t>
      </w:r>
      <w:r w:rsidRPr="008A085C">
        <w:t>. “A case and framework for expanding the use of model-free evidence”</w:t>
      </w:r>
      <w:r>
        <w:t>,</w:t>
      </w:r>
      <w:r w:rsidRPr="008A085C">
        <w:t xml:space="preserve"> </w:t>
      </w:r>
      <w:r w:rsidRPr="008A085C">
        <w:rPr>
          <w:i/>
          <w:iCs/>
        </w:rPr>
        <w:t>Journal of Business Logistics</w:t>
      </w:r>
      <w:r>
        <w:t>,</w:t>
      </w:r>
      <w:r w:rsidRPr="008A085C">
        <w:t xml:space="preserve"> </w:t>
      </w:r>
      <w:r w:rsidRPr="00293921">
        <w:t>44</w:t>
      </w:r>
      <w:r>
        <w:t>(</w:t>
      </w:r>
      <w:r w:rsidRPr="008A085C">
        <w:t>1</w:t>
      </w:r>
      <w:r>
        <w:t>)</w:t>
      </w:r>
      <w:r w:rsidRPr="008A085C">
        <w:t xml:space="preserve">: </w:t>
      </w:r>
      <w:r>
        <w:t>4-</w:t>
      </w:r>
      <w:r w:rsidRPr="008A085C">
        <w:t xml:space="preserve">10. </w:t>
      </w:r>
    </w:p>
    <w:p w14:paraId="78351A9C" w14:textId="77777777" w:rsidR="00906B74" w:rsidRDefault="00906B74" w:rsidP="00906B74">
      <w:pPr>
        <w:pStyle w:val="Bibliography"/>
        <w:spacing w:after="240"/>
        <w:ind w:left="720" w:hanging="720"/>
      </w:pPr>
      <w:r w:rsidRPr="008A085C">
        <w:rPr>
          <w:lang w:val="de-DE"/>
        </w:rPr>
        <w:t>Farag, S., Dijst,</w:t>
      </w:r>
      <w:r>
        <w:rPr>
          <w:lang w:val="de-DE"/>
        </w:rPr>
        <w:t xml:space="preserve"> M.</w:t>
      </w:r>
      <w:r w:rsidRPr="008A085C">
        <w:rPr>
          <w:lang w:val="de-DE"/>
        </w:rPr>
        <w:t xml:space="preserve"> and Lanzendorf</w:t>
      </w:r>
      <w:r>
        <w:rPr>
          <w:lang w:val="de-DE"/>
        </w:rPr>
        <w:t>,</w:t>
      </w:r>
      <w:r w:rsidRPr="00FC2CB1">
        <w:rPr>
          <w:lang w:val="de-DE"/>
        </w:rPr>
        <w:t xml:space="preserve"> </w:t>
      </w:r>
      <w:r w:rsidRPr="008A085C">
        <w:rPr>
          <w:lang w:val="de-DE"/>
        </w:rPr>
        <w:t xml:space="preserve">M. </w:t>
      </w:r>
      <w:r>
        <w:rPr>
          <w:lang w:val="de-DE"/>
        </w:rPr>
        <w:t>(</w:t>
      </w:r>
      <w:r w:rsidRPr="008A085C">
        <w:rPr>
          <w:lang w:val="de-DE"/>
        </w:rPr>
        <w:t>2003</w:t>
      </w:r>
      <w:r>
        <w:rPr>
          <w:lang w:val="de-DE"/>
        </w:rPr>
        <w:t>)</w:t>
      </w:r>
      <w:r w:rsidRPr="008A085C">
        <w:rPr>
          <w:lang w:val="de-DE"/>
        </w:rPr>
        <w:t xml:space="preserve">. </w:t>
      </w:r>
      <w:r w:rsidRPr="008A085C">
        <w:t>“Exploring the use of e-shopping and its impact on personal travel behavior in the Netherlands”</w:t>
      </w:r>
      <w:r>
        <w:t>,</w:t>
      </w:r>
      <w:r w:rsidRPr="008A085C">
        <w:t xml:space="preserve"> </w:t>
      </w:r>
      <w:r w:rsidRPr="008A085C">
        <w:rPr>
          <w:i/>
          <w:iCs/>
        </w:rPr>
        <w:t>Transportation Research Record</w:t>
      </w:r>
      <w:r>
        <w:t>,</w:t>
      </w:r>
      <w:r w:rsidRPr="008A085C">
        <w:t xml:space="preserve"> </w:t>
      </w:r>
      <w:r w:rsidRPr="00293921">
        <w:t>1858</w:t>
      </w:r>
      <w:r>
        <w:t>(</w:t>
      </w:r>
      <w:r w:rsidRPr="008A085C">
        <w:t>1</w:t>
      </w:r>
      <w:r>
        <w:t>)</w:t>
      </w:r>
      <w:r w:rsidRPr="008A085C">
        <w:t>: 47</w:t>
      </w:r>
      <w:r>
        <w:t>-</w:t>
      </w:r>
      <w:r w:rsidRPr="008A085C">
        <w:t xml:space="preserve">54. </w:t>
      </w:r>
    </w:p>
    <w:p w14:paraId="284ABBDF" w14:textId="77777777" w:rsidR="00906B74" w:rsidRPr="00F47CC8" w:rsidRDefault="00906B74" w:rsidP="00906B74">
      <w:pPr>
        <w:pStyle w:val="Bibliography"/>
        <w:spacing w:after="240"/>
        <w:ind w:left="720" w:hanging="720"/>
      </w:pPr>
      <w:r w:rsidRPr="008A085C">
        <w:t xml:space="preserve">Farag, S., Krizek, </w:t>
      </w:r>
      <w:r>
        <w:t xml:space="preserve">K.J. </w:t>
      </w:r>
      <w:r w:rsidRPr="008A085C">
        <w:t>an</w:t>
      </w:r>
      <w:r>
        <w:t xml:space="preserve">d </w:t>
      </w:r>
      <w:proofErr w:type="spellStart"/>
      <w:r w:rsidRPr="008A085C">
        <w:t>Dijst</w:t>
      </w:r>
      <w:proofErr w:type="spellEnd"/>
      <w:r>
        <w:t>, M</w:t>
      </w:r>
      <w:r w:rsidRPr="008A085C">
        <w:t xml:space="preserve">. </w:t>
      </w:r>
      <w:r>
        <w:t>(</w:t>
      </w:r>
      <w:r w:rsidRPr="008A085C">
        <w:t>2006</w:t>
      </w:r>
      <w:r>
        <w:t>a)</w:t>
      </w:r>
      <w:r w:rsidRPr="008A085C">
        <w:t>. “E‐shopping and its relationship with in‐store shopping: Empirical evidence from the Netherlands and the USA”</w:t>
      </w:r>
      <w:r>
        <w:t>,</w:t>
      </w:r>
      <w:r w:rsidRPr="008A085C">
        <w:t xml:space="preserve"> </w:t>
      </w:r>
      <w:r w:rsidRPr="00F47CC8">
        <w:rPr>
          <w:i/>
          <w:iCs/>
        </w:rPr>
        <w:t>Transport Reviews</w:t>
      </w:r>
      <w:r w:rsidRPr="00F47CC8">
        <w:t xml:space="preserve">, 26(1): 43-61. </w:t>
      </w:r>
    </w:p>
    <w:p w14:paraId="561634C0" w14:textId="77777777" w:rsidR="00906B74" w:rsidRPr="008A085C" w:rsidRDefault="00906B74" w:rsidP="00906B74">
      <w:pPr>
        <w:pStyle w:val="Bibliography"/>
        <w:spacing w:after="240"/>
        <w:ind w:left="720" w:hanging="720"/>
      </w:pPr>
      <w:r w:rsidRPr="008A085C">
        <w:rPr>
          <w:lang w:val="de-DE"/>
        </w:rPr>
        <w:t xml:space="preserve">Farag, S., Weltevreden, </w:t>
      </w:r>
      <w:r>
        <w:rPr>
          <w:lang w:val="de-DE"/>
        </w:rPr>
        <w:t>J</w:t>
      </w:r>
      <w:r w:rsidRPr="008A085C">
        <w:rPr>
          <w:lang w:val="de-DE"/>
        </w:rPr>
        <w:t>.</w:t>
      </w:r>
      <w:r>
        <w:rPr>
          <w:lang w:val="de-DE"/>
        </w:rPr>
        <w:t>,</w:t>
      </w:r>
      <w:r w:rsidRPr="008A085C">
        <w:rPr>
          <w:lang w:val="de-DE"/>
        </w:rPr>
        <w:t xml:space="preserve"> van Rietbergen,</w:t>
      </w:r>
      <w:r>
        <w:rPr>
          <w:lang w:val="de-DE"/>
        </w:rPr>
        <w:t xml:space="preserve"> T</w:t>
      </w:r>
      <w:r w:rsidRPr="008A085C">
        <w:rPr>
          <w:lang w:val="de-DE"/>
        </w:rPr>
        <w:t>.</w:t>
      </w:r>
      <w:r>
        <w:rPr>
          <w:lang w:val="de-DE"/>
        </w:rPr>
        <w:t>,</w:t>
      </w:r>
      <w:r w:rsidRPr="008A085C">
        <w:rPr>
          <w:lang w:val="de-DE"/>
        </w:rPr>
        <w:t xml:space="preserve"> Dijst,</w:t>
      </w:r>
      <w:r>
        <w:rPr>
          <w:lang w:val="de-DE"/>
        </w:rPr>
        <w:t xml:space="preserve"> M.</w:t>
      </w:r>
      <w:r w:rsidRPr="008A085C">
        <w:rPr>
          <w:lang w:val="de-DE"/>
        </w:rPr>
        <w:t xml:space="preserve"> and van Oort</w:t>
      </w:r>
      <w:r>
        <w:rPr>
          <w:lang w:val="de-DE"/>
        </w:rPr>
        <w:t>, F</w:t>
      </w:r>
      <w:r w:rsidRPr="008A085C">
        <w:rPr>
          <w:lang w:val="de-DE"/>
        </w:rPr>
        <w:t xml:space="preserve">. </w:t>
      </w:r>
      <w:r>
        <w:rPr>
          <w:lang w:val="de-DE"/>
        </w:rPr>
        <w:t>(</w:t>
      </w:r>
      <w:r w:rsidRPr="008A085C">
        <w:rPr>
          <w:lang w:val="de-DE"/>
        </w:rPr>
        <w:t>2006</w:t>
      </w:r>
      <w:r>
        <w:rPr>
          <w:lang w:val="de-DE"/>
        </w:rPr>
        <w:t>b)</w:t>
      </w:r>
      <w:r w:rsidRPr="008A085C">
        <w:rPr>
          <w:lang w:val="de-DE"/>
        </w:rPr>
        <w:t xml:space="preserve">. </w:t>
      </w:r>
      <w:r w:rsidRPr="008A085C">
        <w:t>“E-shopping in the Netherlands: Does geography matter?”</w:t>
      </w:r>
      <w:r>
        <w:t>,</w:t>
      </w:r>
      <w:r w:rsidRPr="008A085C">
        <w:t xml:space="preserve"> </w:t>
      </w:r>
      <w:r w:rsidRPr="008A085C">
        <w:rPr>
          <w:i/>
          <w:iCs/>
        </w:rPr>
        <w:t>Environment and Planning B: Planning and Design</w:t>
      </w:r>
      <w:r>
        <w:t>,</w:t>
      </w:r>
      <w:r w:rsidRPr="008A085C">
        <w:t xml:space="preserve"> </w:t>
      </w:r>
      <w:r w:rsidRPr="00293921">
        <w:t>33</w:t>
      </w:r>
      <w:r>
        <w:t>(</w:t>
      </w:r>
      <w:r w:rsidRPr="008A085C">
        <w:t>1</w:t>
      </w:r>
      <w:r>
        <w:t>)</w:t>
      </w:r>
      <w:r w:rsidRPr="008A085C">
        <w:t>: 59</w:t>
      </w:r>
      <w:r>
        <w:t>-</w:t>
      </w:r>
      <w:r w:rsidRPr="008A085C">
        <w:t xml:space="preserve">74. </w:t>
      </w:r>
    </w:p>
    <w:p w14:paraId="234799C1" w14:textId="3C596183" w:rsidR="002B36F8" w:rsidRPr="00965D6A" w:rsidRDefault="002B36F8" w:rsidP="00906B74">
      <w:pPr>
        <w:pStyle w:val="Bibliography"/>
        <w:spacing w:after="240"/>
        <w:ind w:left="720" w:hanging="720"/>
      </w:pPr>
      <w:r w:rsidRPr="00965D6A">
        <w:t xml:space="preserve">Kieschnick, R. and McCullough, B.D. (2003). “Regression analysis of variates observed on (0, 1): percentages, proportions and fractions”, </w:t>
      </w:r>
      <w:r w:rsidRPr="00965D6A">
        <w:rPr>
          <w:i/>
          <w:iCs/>
        </w:rPr>
        <w:t>Statistical Modelling</w:t>
      </w:r>
      <w:r w:rsidRPr="00965D6A">
        <w:t>, 3(3): 193-213.</w:t>
      </w:r>
    </w:p>
    <w:p w14:paraId="2CF28251" w14:textId="44BD0A79" w:rsidR="00906B74" w:rsidRPr="00965D6A" w:rsidRDefault="00906B74" w:rsidP="00906B74">
      <w:pPr>
        <w:pStyle w:val="Bibliography"/>
        <w:spacing w:after="240"/>
        <w:ind w:left="720" w:hanging="720"/>
      </w:pPr>
      <w:r w:rsidRPr="00965D6A">
        <w:t xml:space="preserve">Kirby-Hawkins, E., Birkin, M. and Clarke, G. (2019). “An investigation into the geography of corporate e-commerce sales in the UK grocery market”, </w:t>
      </w:r>
      <w:r w:rsidRPr="00965D6A">
        <w:rPr>
          <w:i/>
          <w:iCs/>
        </w:rPr>
        <w:t>Environment and Planning B: Urban Analytics and City Science</w:t>
      </w:r>
      <w:r w:rsidRPr="00965D6A">
        <w:t>, 46(6): 1148-1164.</w:t>
      </w:r>
    </w:p>
    <w:p w14:paraId="6E7E2BB9" w14:textId="77777777" w:rsidR="00906B74" w:rsidRPr="00965D6A" w:rsidRDefault="00906B74" w:rsidP="00906B74">
      <w:pPr>
        <w:pStyle w:val="Bibliography"/>
        <w:spacing w:after="240"/>
        <w:ind w:left="720" w:hanging="720"/>
      </w:pPr>
      <w:r w:rsidRPr="00965D6A">
        <w:t xml:space="preserve">Krizek, K.J., Li, Y. and Handy, S.L. (2005). “Spatial attributes and patterns of use in household-related information and communications technology activity”, </w:t>
      </w:r>
      <w:r w:rsidRPr="00965D6A">
        <w:rPr>
          <w:i/>
          <w:iCs/>
        </w:rPr>
        <w:t>Transportation Research Record</w:t>
      </w:r>
      <w:r w:rsidRPr="00965D6A">
        <w:t xml:space="preserve">, 1926(1): 252-259. </w:t>
      </w:r>
    </w:p>
    <w:p w14:paraId="4A37A03D" w14:textId="47AD061E" w:rsidR="00831894" w:rsidRPr="00965D6A" w:rsidRDefault="005B5E2A" w:rsidP="00906B74">
      <w:pPr>
        <w:pStyle w:val="Bibliography"/>
        <w:spacing w:after="240"/>
        <w:ind w:left="720" w:hanging="720"/>
        <w:rPr>
          <w:lang w:val="de-DE"/>
        </w:rPr>
      </w:pPr>
      <w:r w:rsidRPr="00965D6A">
        <w:t xml:space="preserve">Li, M., </w:t>
      </w:r>
      <w:proofErr w:type="spellStart"/>
      <w:r w:rsidRPr="00965D6A">
        <w:t>Bolumole</w:t>
      </w:r>
      <w:proofErr w:type="spellEnd"/>
      <w:r w:rsidRPr="00965D6A">
        <w:t xml:space="preserve">, Y.A. and Miller, J.W. (2022). “Antecedents of spot and contract freight mix in the truckload sector”, </w:t>
      </w:r>
      <w:r w:rsidRPr="00965D6A">
        <w:rPr>
          <w:i/>
          <w:iCs/>
        </w:rPr>
        <w:t>Transportation Journal</w:t>
      </w:r>
      <w:r w:rsidRPr="00965D6A">
        <w:t>, 61(4): 331-368.</w:t>
      </w:r>
    </w:p>
    <w:p w14:paraId="7960514A" w14:textId="62E6C59A" w:rsidR="00906B74" w:rsidRDefault="00906B74" w:rsidP="00906B74">
      <w:pPr>
        <w:pStyle w:val="Bibliography"/>
        <w:spacing w:after="240"/>
        <w:ind w:left="720" w:hanging="720"/>
      </w:pPr>
      <w:r w:rsidRPr="00F47CC8">
        <w:rPr>
          <w:lang w:val="de-DE"/>
        </w:rPr>
        <w:t xml:space="preserve">Ma, W., Gan, C., Vatsa, P., Yang, W. and Zheng, H. (2022). </w:t>
      </w:r>
      <w:r w:rsidRPr="008A085C">
        <w:t>“Factors affecting online shopping frequency: Lessons from New Zealand”</w:t>
      </w:r>
      <w:r>
        <w:t>,</w:t>
      </w:r>
      <w:r w:rsidRPr="008A085C">
        <w:t xml:space="preserve"> </w:t>
      </w:r>
      <w:r w:rsidRPr="008A085C">
        <w:rPr>
          <w:i/>
          <w:iCs/>
        </w:rPr>
        <w:t>SN Business &amp; Economics</w:t>
      </w:r>
      <w:r>
        <w:t>,</w:t>
      </w:r>
      <w:r w:rsidRPr="008A085C">
        <w:rPr>
          <w:i/>
          <w:iCs/>
        </w:rPr>
        <w:t xml:space="preserve"> </w:t>
      </w:r>
      <w:r w:rsidRPr="00293921">
        <w:t>2</w:t>
      </w:r>
      <w:r>
        <w:t>(</w:t>
      </w:r>
      <w:r w:rsidRPr="008A085C">
        <w:t>41</w:t>
      </w:r>
      <w:r>
        <w:t>)</w:t>
      </w:r>
      <w:r w:rsidRPr="008A085C">
        <w:t>: 1</w:t>
      </w:r>
      <w:r>
        <w:t>-</w:t>
      </w:r>
      <w:r w:rsidRPr="008A085C">
        <w:t xml:space="preserve">10. </w:t>
      </w:r>
    </w:p>
    <w:p w14:paraId="7F1B7219" w14:textId="324638EB" w:rsidR="00906B74" w:rsidRDefault="00906B74" w:rsidP="00906B74">
      <w:pPr>
        <w:pStyle w:val="Bibliography"/>
        <w:spacing w:after="240"/>
        <w:ind w:left="720" w:hanging="720"/>
      </w:pPr>
      <w:r w:rsidRPr="008A085C">
        <w:lastRenderedPageBreak/>
        <w:t>Motte-</w:t>
      </w:r>
      <w:proofErr w:type="spellStart"/>
      <w:r w:rsidRPr="008A085C">
        <w:t>Baumvol</w:t>
      </w:r>
      <w:proofErr w:type="spellEnd"/>
      <w:r w:rsidRPr="008A085C">
        <w:t>, B., Belton-Chevallier, L.</w:t>
      </w:r>
      <w:r>
        <w:t>,</w:t>
      </w:r>
      <w:r w:rsidRPr="008A085C">
        <w:t xml:space="preserve"> </w:t>
      </w:r>
      <w:proofErr w:type="spellStart"/>
      <w:r w:rsidRPr="008A085C">
        <w:t>Dablanc</w:t>
      </w:r>
      <w:proofErr w:type="spellEnd"/>
      <w:r w:rsidRPr="008A085C">
        <w:t>,</w:t>
      </w:r>
      <w:r>
        <w:t xml:space="preserve"> L., </w:t>
      </w:r>
      <w:r w:rsidRPr="008A085C">
        <w:t>Morganti,</w:t>
      </w:r>
      <w:r>
        <w:t xml:space="preserve"> E. and</w:t>
      </w:r>
      <w:r w:rsidR="005B5E2A">
        <w:t xml:space="preserve"> </w:t>
      </w:r>
      <w:r w:rsidRPr="008A085C">
        <w:t>Belin-Munier</w:t>
      </w:r>
      <w:r>
        <w:t>, C</w:t>
      </w:r>
      <w:r w:rsidRPr="008A085C">
        <w:t xml:space="preserve">. </w:t>
      </w:r>
      <w:r>
        <w:t>(</w:t>
      </w:r>
      <w:r w:rsidRPr="008A085C">
        <w:t>2017</w:t>
      </w:r>
      <w:r>
        <w:t>)</w:t>
      </w:r>
      <w:r w:rsidRPr="008A085C">
        <w:t>. “Spatial dimensions of e-shopping in France”</w:t>
      </w:r>
      <w:r>
        <w:t>,</w:t>
      </w:r>
      <w:r w:rsidRPr="008A085C">
        <w:t xml:space="preserve"> </w:t>
      </w:r>
      <w:r w:rsidRPr="008A085C">
        <w:rPr>
          <w:i/>
          <w:iCs/>
        </w:rPr>
        <w:t>Asian Transport Studies</w:t>
      </w:r>
      <w:r>
        <w:t>,</w:t>
      </w:r>
      <w:r w:rsidRPr="008A085C">
        <w:t xml:space="preserve"> </w:t>
      </w:r>
      <w:r w:rsidRPr="00293921">
        <w:t>4</w:t>
      </w:r>
      <w:r>
        <w:t>(</w:t>
      </w:r>
      <w:r w:rsidRPr="008A085C">
        <w:t>3</w:t>
      </w:r>
      <w:r>
        <w:t>)</w:t>
      </w:r>
      <w:r w:rsidRPr="008A085C">
        <w:t>: 585</w:t>
      </w:r>
      <w:r>
        <w:t>-</w:t>
      </w:r>
      <w:r w:rsidRPr="008A085C">
        <w:t>600.</w:t>
      </w:r>
    </w:p>
    <w:p w14:paraId="3259AFE1" w14:textId="596E9FB5" w:rsidR="005B5E2A" w:rsidRPr="00965D6A" w:rsidRDefault="005B5E2A" w:rsidP="00906B74">
      <w:pPr>
        <w:pStyle w:val="Bibliography"/>
        <w:spacing w:after="240"/>
        <w:ind w:left="720" w:hanging="720"/>
      </w:pPr>
      <w:r w:rsidRPr="00965D6A">
        <w:t>Papke, L E. and Wooldridge, J.M. (1996). “Econometric methods for fractional response variables with an application to 401 (k) plan participation rates”, </w:t>
      </w:r>
      <w:r w:rsidRPr="00965D6A">
        <w:rPr>
          <w:i/>
          <w:iCs/>
        </w:rPr>
        <w:t>Journal of Applied Econometrics</w:t>
      </w:r>
      <w:r w:rsidRPr="00965D6A">
        <w:t>, 11(6): 619-632.</w:t>
      </w:r>
    </w:p>
    <w:p w14:paraId="5AF530C7" w14:textId="03FA3F43" w:rsidR="00906B74" w:rsidRDefault="00906B74" w:rsidP="00906B74">
      <w:pPr>
        <w:pStyle w:val="Bibliography"/>
        <w:spacing w:after="240"/>
        <w:ind w:left="720" w:hanging="720"/>
      </w:pPr>
      <w:r w:rsidRPr="00965D6A">
        <w:t>Shi, K., De Vos, J., Yang, Y. and</w:t>
      </w:r>
      <w:r w:rsidRPr="00965D6A" w:rsidDel="00BE646D">
        <w:t xml:space="preserve"> </w:t>
      </w:r>
      <w:proofErr w:type="spellStart"/>
      <w:r w:rsidRPr="00965D6A">
        <w:t>Witlox</w:t>
      </w:r>
      <w:proofErr w:type="spellEnd"/>
      <w:r w:rsidRPr="00965D6A">
        <w:t xml:space="preserve">, F. (2019). “Does </w:t>
      </w:r>
      <w:r w:rsidRPr="008A085C">
        <w:t>e-shopping replace shopping trips? Empirical evidence from Chengdu, China</w:t>
      </w:r>
      <w:r>
        <w:t>”,</w:t>
      </w:r>
      <w:r w:rsidRPr="008A085C">
        <w:t xml:space="preserve"> </w:t>
      </w:r>
      <w:r w:rsidRPr="008A085C">
        <w:rPr>
          <w:i/>
          <w:iCs/>
        </w:rPr>
        <w:t>Transportation Research Part A: Policy and Practice</w:t>
      </w:r>
      <w:r>
        <w:t>,</w:t>
      </w:r>
      <w:r w:rsidRPr="008A085C">
        <w:t xml:space="preserve"> </w:t>
      </w:r>
      <w:r w:rsidRPr="00293921">
        <w:t>122</w:t>
      </w:r>
      <w:r w:rsidRPr="008A085C">
        <w:t>: 21</w:t>
      </w:r>
      <w:r>
        <w:t>-</w:t>
      </w:r>
      <w:r w:rsidRPr="008A085C">
        <w:t xml:space="preserve">33. </w:t>
      </w:r>
    </w:p>
    <w:p w14:paraId="0B5D1A56" w14:textId="77777777" w:rsidR="00906B74" w:rsidRDefault="00906B74" w:rsidP="00906B74">
      <w:pPr>
        <w:pStyle w:val="Bibliography"/>
        <w:spacing w:after="240"/>
        <w:ind w:left="720" w:hanging="720"/>
      </w:pPr>
      <w:r w:rsidRPr="008A085C">
        <w:t xml:space="preserve">Smithson, M. </w:t>
      </w:r>
      <w:r w:rsidRPr="00F47CC8">
        <w:t>and</w:t>
      </w:r>
      <w:r w:rsidRPr="008A085C">
        <w:t xml:space="preserve"> Verkuilen</w:t>
      </w:r>
      <w:r>
        <w:t>, J</w:t>
      </w:r>
      <w:r w:rsidRPr="008A085C">
        <w:t xml:space="preserve">. </w:t>
      </w:r>
      <w:r>
        <w:t>(</w:t>
      </w:r>
      <w:r w:rsidRPr="008A085C">
        <w:t>2006</w:t>
      </w:r>
      <w:r>
        <w:t>)</w:t>
      </w:r>
      <w:r w:rsidRPr="008A085C">
        <w:t>. “A better lemon squeezer? Maximum-likelihood regression with beta-distributed dependent variables</w:t>
      </w:r>
      <w:r>
        <w:t>”,</w:t>
      </w:r>
      <w:r w:rsidRPr="008A085C">
        <w:t xml:space="preserve"> </w:t>
      </w:r>
      <w:r w:rsidRPr="008A085C">
        <w:rPr>
          <w:i/>
          <w:iCs/>
        </w:rPr>
        <w:t>Psychological Methods</w:t>
      </w:r>
      <w:r>
        <w:t>,</w:t>
      </w:r>
      <w:r w:rsidRPr="008A085C">
        <w:t xml:space="preserve"> </w:t>
      </w:r>
      <w:r w:rsidRPr="00293921">
        <w:t>11</w:t>
      </w:r>
      <w:r w:rsidRPr="008A085C">
        <w:t>: 54</w:t>
      </w:r>
      <w:r>
        <w:t>-</w:t>
      </w:r>
      <w:r w:rsidRPr="008A085C">
        <w:t xml:space="preserve">71. </w:t>
      </w:r>
    </w:p>
    <w:p w14:paraId="0DC81921" w14:textId="77777777" w:rsidR="00906B74" w:rsidRDefault="00906B74" w:rsidP="00906B74">
      <w:pPr>
        <w:pStyle w:val="Bibliography"/>
        <w:spacing w:after="240"/>
        <w:ind w:left="720" w:hanging="720"/>
      </w:pPr>
      <w:r w:rsidRPr="008A085C">
        <w:t xml:space="preserve">Song, Z. </w:t>
      </w:r>
      <w:r>
        <w:t>(</w:t>
      </w:r>
      <w:r w:rsidRPr="008A085C">
        <w:t>2022</w:t>
      </w:r>
      <w:r>
        <w:t>)</w:t>
      </w:r>
      <w:r w:rsidRPr="008A085C">
        <w:t>. “The geography of online shopping in China and its key drivers</w:t>
      </w:r>
      <w:r>
        <w:t>”,</w:t>
      </w:r>
      <w:r w:rsidRPr="008A085C">
        <w:t xml:space="preserve"> </w:t>
      </w:r>
      <w:r w:rsidRPr="008A085C">
        <w:rPr>
          <w:i/>
          <w:iCs/>
        </w:rPr>
        <w:t>Environment and Planning B: Urban Analytics and City Science</w:t>
      </w:r>
      <w:r>
        <w:t>,</w:t>
      </w:r>
      <w:r w:rsidRPr="008A085C">
        <w:t xml:space="preserve"> </w:t>
      </w:r>
      <w:r w:rsidRPr="00293921">
        <w:t>49</w:t>
      </w:r>
      <w:r>
        <w:t>(</w:t>
      </w:r>
      <w:r w:rsidRPr="008A085C">
        <w:t>1</w:t>
      </w:r>
      <w:r>
        <w:t>)</w:t>
      </w:r>
      <w:r w:rsidRPr="008A085C">
        <w:t>: 259</w:t>
      </w:r>
      <w:r>
        <w:t>-</w:t>
      </w:r>
      <w:r w:rsidRPr="008A085C">
        <w:t xml:space="preserve">274. </w:t>
      </w:r>
    </w:p>
    <w:p w14:paraId="5078D031" w14:textId="77777777" w:rsidR="00906B74" w:rsidRDefault="00906B74" w:rsidP="00906B74">
      <w:pPr>
        <w:pStyle w:val="Bibliography"/>
        <w:spacing w:after="240"/>
        <w:ind w:left="720" w:hanging="720"/>
      </w:pPr>
      <w:r w:rsidRPr="008A085C">
        <w:t xml:space="preserve">Wieland, T. </w:t>
      </w:r>
      <w:r>
        <w:t>(</w:t>
      </w:r>
      <w:r w:rsidRPr="008A085C">
        <w:t>2023</w:t>
      </w:r>
      <w:r>
        <w:t>)</w:t>
      </w:r>
      <w:r w:rsidRPr="008A085C">
        <w:t>. “Pandemic shopping behavior: Did voluntary behavioral changes during the COVID-19 pandemic increase the competition between online retailers and physical retail locations?</w:t>
      </w:r>
      <w:r>
        <w:t>”,</w:t>
      </w:r>
      <w:r w:rsidRPr="008A085C">
        <w:t xml:space="preserve"> </w:t>
      </w:r>
      <w:r w:rsidRPr="008A085C">
        <w:rPr>
          <w:i/>
          <w:iCs/>
        </w:rPr>
        <w:t>Papers in Applied Geography</w:t>
      </w:r>
      <w:r>
        <w:t>,</w:t>
      </w:r>
      <w:r w:rsidRPr="008A085C">
        <w:t xml:space="preserve"> </w:t>
      </w:r>
      <w:r w:rsidRPr="00293921">
        <w:t>9</w:t>
      </w:r>
      <w:r>
        <w:t>(</w:t>
      </w:r>
      <w:r w:rsidRPr="008A085C">
        <w:t>1</w:t>
      </w:r>
      <w:r>
        <w:t>)</w:t>
      </w:r>
      <w:r w:rsidRPr="008A085C">
        <w:t>: 70</w:t>
      </w:r>
      <w:r>
        <w:t>-</w:t>
      </w:r>
      <w:r w:rsidRPr="008A085C">
        <w:t>88</w:t>
      </w:r>
      <w:r>
        <w:t>.</w:t>
      </w:r>
    </w:p>
    <w:p w14:paraId="45D7D366" w14:textId="77777777" w:rsidR="00906B74" w:rsidRPr="003C2369" w:rsidRDefault="00906B74" w:rsidP="00906B74">
      <w:pPr>
        <w:pStyle w:val="Bibliography"/>
        <w:spacing w:after="240"/>
        <w:ind w:left="720" w:hanging="720"/>
      </w:pPr>
      <w:r w:rsidRPr="008A085C">
        <w:t>Young, M., Soza-Parra,</w:t>
      </w:r>
      <w:r>
        <w:t xml:space="preserve"> J.</w:t>
      </w:r>
      <w:r w:rsidRPr="008A085C">
        <w:t xml:space="preserve"> </w:t>
      </w:r>
      <w:r w:rsidRPr="00F47CC8">
        <w:t>and</w:t>
      </w:r>
      <w:r w:rsidRPr="008A085C" w:rsidDel="00BE646D">
        <w:t xml:space="preserve"> </w:t>
      </w:r>
      <w:proofErr w:type="spellStart"/>
      <w:r w:rsidRPr="008A085C">
        <w:t>Circella</w:t>
      </w:r>
      <w:proofErr w:type="spellEnd"/>
      <w:r>
        <w:t>, G</w:t>
      </w:r>
      <w:r w:rsidRPr="008A085C">
        <w:t xml:space="preserve">. </w:t>
      </w:r>
      <w:r>
        <w:t>(</w:t>
      </w:r>
      <w:r w:rsidRPr="008A085C">
        <w:t>2022</w:t>
      </w:r>
      <w:r>
        <w:t>)</w:t>
      </w:r>
      <w:r w:rsidRPr="008A085C">
        <w:t>. “The increase in online shopping during COVID-19: Who is responsible, will it last, and what does it mean for cities?”</w:t>
      </w:r>
      <w:r>
        <w:t>,</w:t>
      </w:r>
      <w:r w:rsidRPr="008A085C">
        <w:t xml:space="preserve"> </w:t>
      </w:r>
      <w:r w:rsidRPr="008A085C">
        <w:rPr>
          <w:i/>
          <w:iCs/>
        </w:rPr>
        <w:t>Regional Science Policy &amp; Practice</w:t>
      </w:r>
      <w:r>
        <w:t>,</w:t>
      </w:r>
      <w:r w:rsidRPr="008A085C">
        <w:t xml:space="preserve"> </w:t>
      </w:r>
      <w:r w:rsidRPr="00293921">
        <w:t>14</w:t>
      </w:r>
      <w:r>
        <w:t>(</w:t>
      </w:r>
      <w:r w:rsidRPr="008A085C">
        <w:t>S1</w:t>
      </w:r>
      <w:r>
        <w:t>)</w:t>
      </w:r>
      <w:r w:rsidRPr="008A085C">
        <w:t>: 162</w:t>
      </w:r>
      <w:r>
        <w:t>-</w:t>
      </w:r>
      <w:r w:rsidRPr="008A085C">
        <w:t xml:space="preserve">178. </w:t>
      </w:r>
    </w:p>
    <w:p w14:paraId="03D5C39B" w14:textId="77777777" w:rsidR="00906B74" w:rsidRPr="00553E61" w:rsidRDefault="00906B74" w:rsidP="00906B74">
      <w:pPr>
        <w:pStyle w:val="Bibliography"/>
        <w:spacing w:after="240"/>
        <w:ind w:left="720" w:hanging="720"/>
      </w:pPr>
      <w:r w:rsidRPr="008A085C">
        <w:t>Zhen, F., Du,</w:t>
      </w:r>
      <w:r>
        <w:t xml:space="preserve"> X.,</w:t>
      </w:r>
      <w:r w:rsidRPr="008A085C">
        <w:t xml:space="preserve"> Cao,</w:t>
      </w:r>
      <w:r>
        <w:t xml:space="preserve"> J.</w:t>
      </w:r>
      <w:r w:rsidRPr="008A085C">
        <w:t xml:space="preserve"> </w:t>
      </w:r>
      <w:r w:rsidRPr="00F47CC8">
        <w:t>and</w:t>
      </w:r>
      <w:r w:rsidRPr="008A085C">
        <w:t xml:space="preserve"> Mokhtarian</w:t>
      </w:r>
      <w:r>
        <w:t>, P.L</w:t>
      </w:r>
      <w:r w:rsidRPr="008A085C">
        <w:t xml:space="preserve">. </w:t>
      </w:r>
      <w:r>
        <w:t>(</w:t>
      </w:r>
      <w:r w:rsidRPr="008A085C">
        <w:t>2018</w:t>
      </w:r>
      <w:r>
        <w:t>)</w:t>
      </w:r>
      <w:r w:rsidRPr="008A085C">
        <w:t>. “The association between spatial attributes and e-shopping in the shopping process for search goods and experience goods: Evidence from Nanjing</w:t>
      </w:r>
      <w:r>
        <w:t>”,</w:t>
      </w:r>
      <w:r w:rsidRPr="008A085C">
        <w:t xml:space="preserve"> </w:t>
      </w:r>
      <w:r w:rsidRPr="008A085C">
        <w:rPr>
          <w:i/>
          <w:iCs/>
        </w:rPr>
        <w:t>Journal of Transport Geography</w:t>
      </w:r>
      <w:r>
        <w:t>,</w:t>
      </w:r>
      <w:r w:rsidRPr="008A085C">
        <w:t xml:space="preserve"> </w:t>
      </w:r>
      <w:r w:rsidRPr="00293921">
        <w:t>66</w:t>
      </w:r>
      <w:r w:rsidRPr="008A085C">
        <w:t>: 291</w:t>
      </w:r>
      <w:r>
        <w:t>-</w:t>
      </w:r>
      <w:r w:rsidRPr="008A085C">
        <w:t xml:space="preserve">299. </w:t>
      </w:r>
    </w:p>
    <w:p w14:paraId="3ABDB2BA" w14:textId="77777777" w:rsidR="00906B74" w:rsidRPr="00D42DD9" w:rsidRDefault="00906B74" w:rsidP="00906B74">
      <w:pPr>
        <w:pStyle w:val="Bibliography"/>
        <w:spacing w:after="240"/>
        <w:ind w:left="720" w:hanging="720"/>
      </w:pPr>
      <w:r w:rsidRPr="008A085C">
        <w:t xml:space="preserve">Zhou, Y. </w:t>
      </w:r>
      <w:r w:rsidRPr="00F47CC8">
        <w:t xml:space="preserve">and </w:t>
      </w:r>
      <w:r w:rsidRPr="008A085C">
        <w:t>Wang</w:t>
      </w:r>
      <w:r>
        <w:t>, X.C</w:t>
      </w:r>
      <w:r w:rsidRPr="008A085C">
        <w:t xml:space="preserve">. </w:t>
      </w:r>
      <w:r>
        <w:t>(</w:t>
      </w:r>
      <w:r w:rsidRPr="008A085C">
        <w:t>2014</w:t>
      </w:r>
      <w:r>
        <w:t>)</w:t>
      </w:r>
      <w:r w:rsidRPr="008A085C">
        <w:t>. “Explore the relationship between online shopping and shopping trips: An analysis with the 2009 NHTS data</w:t>
      </w:r>
      <w:r>
        <w:t>”,</w:t>
      </w:r>
      <w:r w:rsidRPr="008A085C">
        <w:t xml:space="preserve"> </w:t>
      </w:r>
      <w:r w:rsidRPr="008A085C">
        <w:rPr>
          <w:i/>
          <w:iCs/>
        </w:rPr>
        <w:t>Transportation Research Part A: Policy and Practice</w:t>
      </w:r>
      <w:bookmarkStart w:id="1" w:name="_Hlk200461361"/>
      <w:r>
        <w:t>,</w:t>
      </w:r>
      <w:bookmarkEnd w:id="1"/>
      <w:r w:rsidRPr="008A085C">
        <w:t xml:space="preserve"> </w:t>
      </w:r>
      <w:r w:rsidRPr="00293921">
        <w:t>70</w:t>
      </w:r>
      <w:r w:rsidRPr="008A085C">
        <w:t>: 1</w:t>
      </w:r>
      <w:r>
        <w:t>-</w:t>
      </w:r>
      <w:r w:rsidRPr="008A085C">
        <w:t xml:space="preserve">9. </w:t>
      </w:r>
    </w:p>
    <w:p w14:paraId="1A7E63DD" w14:textId="77777777" w:rsidR="00906B74" w:rsidRDefault="00906B74" w:rsidP="00906B74">
      <w:pPr>
        <w:ind w:left="720" w:hanging="720"/>
      </w:pPr>
    </w:p>
    <w:p w14:paraId="7DC9C409" w14:textId="77777777" w:rsidR="00906B74" w:rsidRDefault="00906B74" w:rsidP="00906B74">
      <w:pPr>
        <w:ind w:left="720" w:hanging="720"/>
      </w:pPr>
    </w:p>
    <w:p w14:paraId="2BAC81AA" w14:textId="712FF230" w:rsidR="009D4637" w:rsidRDefault="009D4637" w:rsidP="00906B74">
      <w:pPr>
        <w:pStyle w:val="Bibliography"/>
        <w:spacing w:after="240"/>
        <w:ind w:left="720" w:hanging="720"/>
      </w:pPr>
    </w:p>
    <w:sectPr w:rsidR="009D4637" w:rsidSect="006A42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6521C" w14:textId="77777777" w:rsidR="00034C1F" w:rsidRDefault="00034C1F" w:rsidP="00027CD8">
      <w:r>
        <w:separator/>
      </w:r>
    </w:p>
  </w:endnote>
  <w:endnote w:type="continuationSeparator" w:id="0">
    <w:p w14:paraId="1CEAC696" w14:textId="77777777" w:rsidR="00034C1F" w:rsidRDefault="00034C1F" w:rsidP="000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583576"/>
      <w:docPartObj>
        <w:docPartGallery w:val="Page Numbers (Bottom of Page)"/>
        <w:docPartUnique/>
      </w:docPartObj>
    </w:sdtPr>
    <w:sdtEndPr>
      <w:rPr>
        <w:noProof/>
      </w:rPr>
    </w:sdtEndPr>
    <w:sdtContent>
      <w:p w14:paraId="7A02208F" w14:textId="4EE64EEA" w:rsidR="00CD7D39" w:rsidRDefault="00CD7D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8235D5" w14:textId="77777777" w:rsidR="00CD7D39" w:rsidRDefault="00CD7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526A1" w14:textId="77777777" w:rsidR="00034C1F" w:rsidRDefault="00034C1F" w:rsidP="00027CD8">
      <w:r>
        <w:separator/>
      </w:r>
    </w:p>
  </w:footnote>
  <w:footnote w:type="continuationSeparator" w:id="0">
    <w:p w14:paraId="7F562E13" w14:textId="77777777" w:rsidR="00034C1F" w:rsidRDefault="00034C1F" w:rsidP="00027C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3B"/>
    <w:rsid w:val="00006BBF"/>
    <w:rsid w:val="000137B9"/>
    <w:rsid w:val="00014676"/>
    <w:rsid w:val="00016F92"/>
    <w:rsid w:val="000240C0"/>
    <w:rsid w:val="00027CD8"/>
    <w:rsid w:val="00034C1F"/>
    <w:rsid w:val="000626AA"/>
    <w:rsid w:val="0006426C"/>
    <w:rsid w:val="00064F2D"/>
    <w:rsid w:val="00067D1E"/>
    <w:rsid w:val="0007532F"/>
    <w:rsid w:val="000871EE"/>
    <w:rsid w:val="000C64E1"/>
    <w:rsid w:val="000C6E6C"/>
    <w:rsid w:val="000C7AA7"/>
    <w:rsid w:val="00107738"/>
    <w:rsid w:val="0013315B"/>
    <w:rsid w:val="00150030"/>
    <w:rsid w:val="00154002"/>
    <w:rsid w:val="001621EE"/>
    <w:rsid w:val="00165267"/>
    <w:rsid w:val="00172386"/>
    <w:rsid w:val="001809C9"/>
    <w:rsid w:val="00191D61"/>
    <w:rsid w:val="001C6122"/>
    <w:rsid w:val="001D0C60"/>
    <w:rsid w:val="001E5FF2"/>
    <w:rsid w:val="0022228F"/>
    <w:rsid w:val="00222AE0"/>
    <w:rsid w:val="002241CC"/>
    <w:rsid w:val="0023297D"/>
    <w:rsid w:val="00254EF3"/>
    <w:rsid w:val="00255ABE"/>
    <w:rsid w:val="00256ACE"/>
    <w:rsid w:val="00257F7D"/>
    <w:rsid w:val="0026735E"/>
    <w:rsid w:val="00275EF4"/>
    <w:rsid w:val="002A5EBE"/>
    <w:rsid w:val="002A64CB"/>
    <w:rsid w:val="002B0DA6"/>
    <w:rsid w:val="002B1FE5"/>
    <w:rsid w:val="002B3333"/>
    <w:rsid w:val="002B36F8"/>
    <w:rsid w:val="002B4BC6"/>
    <w:rsid w:val="002D28B1"/>
    <w:rsid w:val="003046A2"/>
    <w:rsid w:val="00310E48"/>
    <w:rsid w:val="00314733"/>
    <w:rsid w:val="003230C1"/>
    <w:rsid w:val="0032481F"/>
    <w:rsid w:val="003416A3"/>
    <w:rsid w:val="003529DD"/>
    <w:rsid w:val="0036642D"/>
    <w:rsid w:val="00373AC0"/>
    <w:rsid w:val="00374594"/>
    <w:rsid w:val="00377B93"/>
    <w:rsid w:val="003957F3"/>
    <w:rsid w:val="003B0CDE"/>
    <w:rsid w:val="003C120B"/>
    <w:rsid w:val="003E55D7"/>
    <w:rsid w:val="003E7524"/>
    <w:rsid w:val="00407542"/>
    <w:rsid w:val="00412113"/>
    <w:rsid w:val="0041305B"/>
    <w:rsid w:val="004326E8"/>
    <w:rsid w:val="004753BA"/>
    <w:rsid w:val="00482E72"/>
    <w:rsid w:val="00485286"/>
    <w:rsid w:val="00487C6A"/>
    <w:rsid w:val="004923B1"/>
    <w:rsid w:val="00545FAA"/>
    <w:rsid w:val="005549CA"/>
    <w:rsid w:val="00567E07"/>
    <w:rsid w:val="005808E1"/>
    <w:rsid w:val="00583B81"/>
    <w:rsid w:val="005848BF"/>
    <w:rsid w:val="005B5E2A"/>
    <w:rsid w:val="005B697D"/>
    <w:rsid w:val="005E7B90"/>
    <w:rsid w:val="0061365A"/>
    <w:rsid w:val="00657389"/>
    <w:rsid w:val="00672236"/>
    <w:rsid w:val="00672D1F"/>
    <w:rsid w:val="00683A62"/>
    <w:rsid w:val="0068479C"/>
    <w:rsid w:val="0069788E"/>
    <w:rsid w:val="006A32A0"/>
    <w:rsid w:val="006A42CD"/>
    <w:rsid w:val="006B302B"/>
    <w:rsid w:val="006B787E"/>
    <w:rsid w:val="006C5187"/>
    <w:rsid w:val="006E05D1"/>
    <w:rsid w:val="006E2637"/>
    <w:rsid w:val="00721F3B"/>
    <w:rsid w:val="00722310"/>
    <w:rsid w:val="00735E2A"/>
    <w:rsid w:val="00750AA1"/>
    <w:rsid w:val="0076348E"/>
    <w:rsid w:val="00764473"/>
    <w:rsid w:val="007658FB"/>
    <w:rsid w:val="00786E94"/>
    <w:rsid w:val="00790742"/>
    <w:rsid w:val="00792229"/>
    <w:rsid w:val="007927BE"/>
    <w:rsid w:val="00796E04"/>
    <w:rsid w:val="007D2A9B"/>
    <w:rsid w:val="007E5DEA"/>
    <w:rsid w:val="00802891"/>
    <w:rsid w:val="00821560"/>
    <w:rsid w:val="00831894"/>
    <w:rsid w:val="0085474E"/>
    <w:rsid w:val="00870F95"/>
    <w:rsid w:val="008859C1"/>
    <w:rsid w:val="00893F77"/>
    <w:rsid w:val="008B6F89"/>
    <w:rsid w:val="008C25FA"/>
    <w:rsid w:val="008C3A5E"/>
    <w:rsid w:val="008C3E5E"/>
    <w:rsid w:val="008C3FB2"/>
    <w:rsid w:val="008D4781"/>
    <w:rsid w:val="008E1E1F"/>
    <w:rsid w:val="00904385"/>
    <w:rsid w:val="00906B74"/>
    <w:rsid w:val="00922107"/>
    <w:rsid w:val="0094622F"/>
    <w:rsid w:val="00946942"/>
    <w:rsid w:val="00965D6A"/>
    <w:rsid w:val="0096745A"/>
    <w:rsid w:val="009947B0"/>
    <w:rsid w:val="009A7DE7"/>
    <w:rsid w:val="009B593B"/>
    <w:rsid w:val="009B5FCD"/>
    <w:rsid w:val="009B7975"/>
    <w:rsid w:val="009C3F5D"/>
    <w:rsid w:val="009C5D38"/>
    <w:rsid w:val="009C6672"/>
    <w:rsid w:val="009D4637"/>
    <w:rsid w:val="009E0380"/>
    <w:rsid w:val="009F1EB0"/>
    <w:rsid w:val="00A03390"/>
    <w:rsid w:val="00A066C3"/>
    <w:rsid w:val="00A20E8C"/>
    <w:rsid w:val="00A2467A"/>
    <w:rsid w:val="00A3368A"/>
    <w:rsid w:val="00A62927"/>
    <w:rsid w:val="00A64030"/>
    <w:rsid w:val="00AD1242"/>
    <w:rsid w:val="00AD30CA"/>
    <w:rsid w:val="00AE7F00"/>
    <w:rsid w:val="00B11D5A"/>
    <w:rsid w:val="00B27EB4"/>
    <w:rsid w:val="00B317F8"/>
    <w:rsid w:val="00B73D50"/>
    <w:rsid w:val="00B749F4"/>
    <w:rsid w:val="00B76C28"/>
    <w:rsid w:val="00BA13CF"/>
    <w:rsid w:val="00BB24B3"/>
    <w:rsid w:val="00BB377C"/>
    <w:rsid w:val="00BB5DF2"/>
    <w:rsid w:val="00BB71FE"/>
    <w:rsid w:val="00BC55EB"/>
    <w:rsid w:val="00BD3FB8"/>
    <w:rsid w:val="00BD6CBA"/>
    <w:rsid w:val="00BE7006"/>
    <w:rsid w:val="00C02FAC"/>
    <w:rsid w:val="00C20D66"/>
    <w:rsid w:val="00C26F63"/>
    <w:rsid w:val="00C27726"/>
    <w:rsid w:val="00C32379"/>
    <w:rsid w:val="00C37852"/>
    <w:rsid w:val="00C4061C"/>
    <w:rsid w:val="00C4309C"/>
    <w:rsid w:val="00C4593D"/>
    <w:rsid w:val="00C758BF"/>
    <w:rsid w:val="00C856AA"/>
    <w:rsid w:val="00CA7422"/>
    <w:rsid w:val="00CB21C6"/>
    <w:rsid w:val="00CB2250"/>
    <w:rsid w:val="00CB4F03"/>
    <w:rsid w:val="00CB68BF"/>
    <w:rsid w:val="00CD2863"/>
    <w:rsid w:val="00CD5A5A"/>
    <w:rsid w:val="00CD7D39"/>
    <w:rsid w:val="00CE74ED"/>
    <w:rsid w:val="00D114D7"/>
    <w:rsid w:val="00D40BC5"/>
    <w:rsid w:val="00D463E9"/>
    <w:rsid w:val="00D47D4C"/>
    <w:rsid w:val="00D7364B"/>
    <w:rsid w:val="00D75926"/>
    <w:rsid w:val="00D80318"/>
    <w:rsid w:val="00DB739D"/>
    <w:rsid w:val="00DC4FE1"/>
    <w:rsid w:val="00DD2A72"/>
    <w:rsid w:val="00DF6582"/>
    <w:rsid w:val="00DF71EA"/>
    <w:rsid w:val="00E04F72"/>
    <w:rsid w:val="00E130E8"/>
    <w:rsid w:val="00E21A82"/>
    <w:rsid w:val="00E26749"/>
    <w:rsid w:val="00E34E99"/>
    <w:rsid w:val="00E626AA"/>
    <w:rsid w:val="00E80D31"/>
    <w:rsid w:val="00E87338"/>
    <w:rsid w:val="00E92385"/>
    <w:rsid w:val="00E95126"/>
    <w:rsid w:val="00E97734"/>
    <w:rsid w:val="00EA393F"/>
    <w:rsid w:val="00EC0159"/>
    <w:rsid w:val="00EC2C06"/>
    <w:rsid w:val="00EC5E6D"/>
    <w:rsid w:val="00EC7A77"/>
    <w:rsid w:val="00ED3370"/>
    <w:rsid w:val="00F034D4"/>
    <w:rsid w:val="00F10139"/>
    <w:rsid w:val="00F2690C"/>
    <w:rsid w:val="00F415CD"/>
    <w:rsid w:val="00F44E93"/>
    <w:rsid w:val="00F463C1"/>
    <w:rsid w:val="00F47CC8"/>
    <w:rsid w:val="00F549FA"/>
    <w:rsid w:val="00F60AEB"/>
    <w:rsid w:val="00F71515"/>
    <w:rsid w:val="00F82B86"/>
    <w:rsid w:val="00F90C46"/>
    <w:rsid w:val="00F9624E"/>
    <w:rsid w:val="00FA6339"/>
    <w:rsid w:val="00FA6E73"/>
    <w:rsid w:val="00FB6EC5"/>
    <w:rsid w:val="00FF0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22717"/>
  <w15:chartTrackingRefBased/>
  <w15:docId w15:val="{D8CE309E-F1AA-4B75-96BA-EB362B09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CD8"/>
    <w:pPr>
      <w:spacing w:after="0" w:line="240" w:lineRule="auto"/>
    </w:pPr>
    <w:rPr>
      <w:rFonts w:ascii="Times New Roman" w:hAnsi="Times New Roman"/>
      <w:kern w:val="0"/>
    </w:rPr>
  </w:style>
  <w:style w:type="paragraph" w:styleId="Heading1">
    <w:name w:val="heading 1"/>
    <w:basedOn w:val="Normal"/>
    <w:next w:val="Normal"/>
    <w:link w:val="Heading1Char"/>
    <w:uiPriority w:val="9"/>
    <w:qFormat/>
    <w:rsid w:val="00721F3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721F3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unhideWhenUsed/>
    <w:qFormat/>
    <w:rsid w:val="00721F3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721F3B"/>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721F3B"/>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721F3B"/>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721F3B"/>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721F3B"/>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721F3B"/>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F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1F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21F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1F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1F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1F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F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F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F3B"/>
    <w:rPr>
      <w:rFonts w:eastAsiaTheme="majorEastAsia" w:cstheme="majorBidi"/>
      <w:color w:val="272727" w:themeColor="text1" w:themeTint="D8"/>
    </w:rPr>
  </w:style>
  <w:style w:type="paragraph" w:styleId="Title">
    <w:name w:val="Title"/>
    <w:basedOn w:val="Normal"/>
    <w:next w:val="Normal"/>
    <w:link w:val="TitleChar"/>
    <w:uiPriority w:val="10"/>
    <w:qFormat/>
    <w:rsid w:val="00721F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F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F3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721F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F3B"/>
    <w:pPr>
      <w:spacing w:before="160" w:after="160" w:line="278" w:lineRule="auto"/>
      <w:jc w:val="center"/>
    </w:pPr>
    <w:rPr>
      <w:rFonts w:asciiTheme="minorHAnsi" w:hAnsiTheme="minorHAnsi"/>
      <w:i/>
      <w:iCs/>
      <w:color w:val="404040" w:themeColor="text1" w:themeTint="BF"/>
      <w:kern w:val="2"/>
    </w:rPr>
  </w:style>
  <w:style w:type="character" w:customStyle="1" w:styleId="QuoteChar">
    <w:name w:val="Quote Char"/>
    <w:basedOn w:val="DefaultParagraphFont"/>
    <w:link w:val="Quote"/>
    <w:uiPriority w:val="29"/>
    <w:rsid w:val="00721F3B"/>
    <w:rPr>
      <w:i/>
      <w:iCs/>
      <w:color w:val="404040" w:themeColor="text1" w:themeTint="BF"/>
    </w:rPr>
  </w:style>
  <w:style w:type="paragraph" w:styleId="ListParagraph">
    <w:name w:val="List Paragraph"/>
    <w:basedOn w:val="Normal"/>
    <w:uiPriority w:val="34"/>
    <w:qFormat/>
    <w:rsid w:val="00721F3B"/>
    <w:pPr>
      <w:spacing w:after="160" w:line="278" w:lineRule="auto"/>
      <w:ind w:left="720"/>
      <w:contextualSpacing/>
    </w:pPr>
    <w:rPr>
      <w:rFonts w:asciiTheme="minorHAnsi" w:hAnsiTheme="minorHAnsi"/>
      <w:kern w:val="2"/>
    </w:rPr>
  </w:style>
  <w:style w:type="character" w:styleId="IntenseEmphasis">
    <w:name w:val="Intense Emphasis"/>
    <w:basedOn w:val="DefaultParagraphFont"/>
    <w:uiPriority w:val="21"/>
    <w:qFormat/>
    <w:rsid w:val="00721F3B"/>
    <w:rPr>
      <w:i/>
      <w:iCs/>
      <w:color w:val="0F4761" w:themeColor="accent1" w:themeShade="BF"/>
    </w:rPr>
  </w:style>
  <w:style w:type="paragraph" w:styleId="IntenseQuote">
    <w:name w:val="Intense Quote"/>
    <w:basedOn w:val="Normal"/>
    <w:next w:val="Normal"/>
    <w:link w:val="IntenseQuoteChar"/>
    <w:uiPriority w:val="30"/>
    <w:qFormat/>
    <w:rsid w:val="00721F3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rPr>
  </w:style>
  <w:style w:type="character" w:customStyle="1" w:styleId="IntenseQuoteChar">
    <w:name w:val="Intense Quote Char"/>
    <w:basedOn w:val="DefaultParagraphFont"/>
    <w:link w:val="IntenseQuote"/>
    <w:uiPriority w:val="30"/>
    <w:rsid w:val="00721F3B"/>
    <w:rPr>
      <w:i/>
      <w:iCs/>
      <w:color w:val="0F4761" w:themeColor="accent1" w:themeShade="BF"/>
    </w:rPr>
  </w:style>
  <w:style w:type="character" w:styleId="IntenseReference">
    <w:name w:val="Intense Reference"/>
    <w:basedOn w:val="DefaultParagraphFont"/>
    <w:uiPriority w:val="32"/>
    <w:qFormat/>
    <w:rsid w:val="00721F3B"/>
    <w:rPr>
      <w:b/>
      <w:bCs/>
      <w:smallCaps/>
      <w:color w:val="0F4761" w:themeColor="accent1" w:themeShade="BF"/>
      <w:spacing w:val="5"/>
    </w:rPr>
  </w:style>
  <w:style w:type="character" w:styleId="CommentReference">
    <w:name w:val="annotation reference"/>
    <w:basedOn w:val="DefaultParagraphFont"/>
    <w:uiPriority w:val="99"/>
    <w:semiHidden/>
    <w:unhideWhenUsed/>
    <w:rsid w:val="00027CD8"/>
    <w:rPr>
      <w:sz w:val="16"/>
      <w:szCs w:val="16"/>
    </w:rPr>
  </w:style>
  <w:style w:type="paragraph" w:styleId="CommentText">
    <w:name w:val="annotation text"/>
    <w:basedOn w:val="Normal"/>
    <w:link w:val="CommentTextChar"/>
    <w:uiPriority w:val="99"/>
    <w:unhideWhenUsed/>
    <w:rsid w:val="00027CD8"/>
    <w:rPr>
      <w:sz w:val="20"/>
      <w:szCs w:val="20"/>
    </w:rPr>
  </w:style>
  <w:style w:type="character" w:customStyle="1" w:styleId="CommentTextChar">
    <w:name w:val="Comment Text Char"/>
    <w:basedOn w:val="DefaultParagraphFont"/>
    <w:link w:val="CommentText"/>
    <w:uiPriority w:val="99"/>
    <w:rsid w:val="00027CD8"/>
    <w:rPr>
      <w:rFonts w:ascii="Times New Roman" w:hAnsi="Times New Roman"/>
      <w:kern w:val="0"/>
      <w:sz w:val="20"/>
      <w:szCs w:val="20"/>
    </w:rPr>
  </w:style>
  <w:style w:type="paragraph" w:styleId="FootnoteText">
    <w:name w:val="footnote text"/>
    <w:basedOn w:val="Normal"/>
    <w:link w:val="FootnoteTextChar"/>
    <w:uiPriority w:val="99"/>
    <w:unhideWhenUsed/>
    <w:rsid w:val="00027CD8"/>
    <w:rPr>
      <w:sz w:val="20"/>
      <w:szCs w:val="20"/>
    </w:rPr>
  </w:style>
  <w:style w:type="character" w:customStyle="1" w:styleId="FootnoteTextChar">
    <w:name w:val="Footnote Text Char"/>
    <w:basedOn w:val="DefaultParagraphFont"/>
    <w:link w:val="FootnoteText"/>
    <w:uiPriority w:val="99"/>
    <w:rsid w:val="00027CD8"/>
    <w:rPr>
      <w:rFonts w:ascii="Times New Roman" w:hAnsi="Times New Roman"/>
      <w:kern w:val="0"/>
      <w:sz w:val="20"/>
      <w:szCs w:val="20"/>
    </w:rPr>
  </w:style>
  <w:style w:type="character" w:styleId="FootnoteReference">
    <w:name w:val="footnote reference"/>
    <w:basedOn w:val="DefaultParagraphFont"/>
    <w:uiPriority w:val="99"/>
    <w:semiHidden/>
    <w:unhideWhenUsed/>
    <w:rsid w:val="00027CD8"/>
    <w:rPr>
      <w:vertAlign w:val="superscript"/>
    </w:rPr>
  </w:style>
  <w:style w:type="paragraph" w:styleId="NoSpacing">
    <w:name w:val="No Spacing"/>
    <w:uiPriority w:val="1"/>
    <w:qFormat/>
    <w:rsid w:val="00027CD8"/>
    <w:pPr>
      <w:spacing w:after="0" w:line="240" w:lineRule="auto"/>
    </w:pPr>
    <w:rPr>
      <w:rFonts w:ascii="Times New Roman" w:hAnsi="Times New Roman"/>
      <w:kern w:val="0"/>
    </w:rPr>
  </w:style>
  <w:style w:type="paragraph" w:styleId="Bibliography">
    <w:name w:val="Bibliography"/>
    <w:basedOn w:val="Normal"/>
    <w:next w:val="Normal"/>
    <w:uiPriority w:val="37"/>
    <w:unhideWhenUsed/>
    <w:rsid w:val="009D4637"/>
  </w:style>
  <w:style w:type="paragraph" w:styleId="CommentSubject">
    <w:name w:val="annotation subject"/>
    <w:basedOn w:val="CommentText"/>
    <w:next w:val="CommentText"/>
    <w:link w:val="CommentSubjectChar"/>
    <w:uiPriority w:val="99"/>
    <w:semiHidden/>
    <w:unhideWhenUsed/>
    <w:rsid w:val="00F549FA"/>
    <w:rPr>
      <w:b/>
      <w:bCs/>
    </w:rPr>
  </w:style>
  <w:style w:type="character" w:customStyle="1" w:styleId="CommentSubjectChar">
    <w:name w:val="Comment Subject Char"/>
    <w:basedOn w:val="CommentTextChar"/>
    <w:link w:val="CommentSubject"/>
    <w:uiPriority w:val="99"/>
    <w:semiHidden/>
    <w:rsid w:val="00F549FA"/>
    <w:rPr>
      <w:rFonts w:ascii="Times New Roman" w:hAnsi="Times New Roman"/>
      <w:b/>
      <w:bCs/>
      <w:kern w:val="0"/>
      <w:sz w:val="20"/>
      <w:szCs w:val="20"/>
    </w:rPr>
  </w:style>
  <w:style w:type="paragraph" w:styleId="Header">
    <w:name w:val="header"/>
    <w:basedOn w:val="Normal"/>
    <w:link w:val="HeaderChar"/>
    <w:uiPriority w:val="99"/>
    <w:unhideWhenUsed/>
    <w:rsid w:val="00CD7D39"/>
    <w:pPr>
      <w:tabs>
        <w:tab w:val="center" w:pos="4680"/>
        <w:tab w:val="right" w:pos="9360"/>
      </w:tabs>
    </w:pPr>
  </w:style>
  <w:style w:type="character" w:customStyle="1" w:styleId="HeaderChar">
    <w:name w:val="Header Char"/>
    <w:basedOn w:val="DefaultParagraphFont"/>
    <w:link w:val="Header"/>
    <w:uiPriority w:val="99"/>
    <w:rsid w:val="00CD7D39"/>
    <w:rPr>
      <w:rFonts w:ascii="Times New Roman" w:hAnsi="Times New Roman"/>
      <w:kern w:val="0"/>
    </w:rPr>
  </w:style>
  <w:style w:type="paragraph" w:styleId="Footer">
    <w:name w:val="footer"/>
    <w:basedOn w:val="Normal"/>
    <w:link w:val="FooterChar"/>
    <w:uiPriority w:val="99"/>
    <w:unhideWhenUsed/>
    <w:rsid w:val="00CD7D39"/>
    <w:pPr>
      <w:tabs>
        <w:tab w:val="center" w:pos="4680"/>
        <w:tab w:val="right" w:pos="9360"/>
      </w:tabs>
    </w:pPr>
  </w:style>
  <w:style w:type="character" w:customStyle="1" w:styleId="FooterChar">
    <w:name w:val="Footer Char"/>
    <w:basedOn w:val="DefaultParagraphFont"/>
    <w:link w:val="Footer"/>
    <w:uiPriority w:val="99"/>
    <w:rsid w:val="00CD7D39"/>
    <w:rPr>
      <w:rFonts w:ascii="Times New Roman" w:hAnsi="Times New Roman"/>
      <w:kern w:val="0"/>
    </w:rPr>
  </w:style>
  <w:style w:type="paragraph" w:styleId="Revision">
    <w:name w:val="Revision"/>
    <w:hidden/>
    <w:uiPriority w:val="99"/>
    <w:semiHidden/>
    <w:rsid w:val="00DF6582"/>
    <w:pPr>
      <w:spacing w:after="0" w:line="240" w:lineRule="auto"/>
    </w:pPr>
    <w:rPr>
      <w:rFonts w:ascii="Times New Roman"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webSettings" Target="webSettings.xml"/><Relationship Id="rId7"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'Model free evidence'!$G$3</c:f>
              <c:strCache>
                <c:ptCount val="1"/>
                <c:pt idx="0">
                  <c:v>Chicago area (zone 58)</c:v>
                </c:pt>
              </c:strCache>
            </c:strRef>
          </c:tx>
          <c:spPr>
            <a:ln w="28575" cap="rnd">
              <a:solidFill>
                <a:schemeClr val="accent1"/>
              </a:solidFill>
              <a:prstDash val="sysDot"/>
              <a:round/>
            </a:ln>
            <a:effectLst/>
          </c:spPr>
          <c:marker>
            <c:symbol val="none"/>
          </c:marker>
          <c:cat>
            <c:numRef>
              <c:f>'Model free evidence'!$H$2:$U$2</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'Model free evidence'!$H$3:$U$3</c:f>
              <c:numCache>
                <c:formatCode>0%</c:formatCode>
                <c:ptCount val="14"/>
                <c:pt idx="0">
                  <c:v>1.6075029804681843E-2</c:v>
                </c:pt>
                <c:pt idx="1">
                  <c:v>1.6674362245943427E-2</c:v>
                </c:pt>
                <c:pt idx="2">
                  <c:v>1.7172771832129702E-2</c:v>
                </c:pt>
                <c:pt idx="3">
                  <c:v>1.8029457314787643E-2</c:v>
                </c:pt>
                <c:pt idx="4">
                  <c:v>2.2002894031869717E-2</c:v>
                </c:pt>
                <c:pt idx="5">
                  <c:v>2.1046154219234055E-2</c:v>
                </c:pt>
                <c:pt idx="6">
                  <c:v>2.218037422200551E-2</c:v>
                </c:pt>
                <c:pt idx="7">
                  <c:v>2.4020025260174077E-2</c:v>
                </c:pt>
                <c:pt idx="8">
                  <c:v>2.6845820253669866E-2</c:v>
                </c:pt>
                <c:pt idx="9">
                  <c:v>2.8440753913295782E-2</c:v>
                </c:pt>
                <c:pt idx="10">
                  <c:v>4.6721044242658424E-2</c:v>
                </c:pt>
                <c:pt idx="11">
                  <c:v>5.0977268935470978E-2</c:v>
                </c:pt>
                <c:pt idx="12">
                  <c:v>4.8487456038278885E-2</c:v>
                </c:pt>
                <c:pt idx="13">
                  <c:v>4.2693579849037398E-2</c:v>
                </c:pt>
              </c:numCache>
            </c:numRef>
          </c:val>
          <c:smooth val="0"/>
          <c:extLst>
            <c:ext xmlns:c16="http://schemas.microsoft.com/office/drawing/2014/chart" uri="{C3380CC4-5D6E-409C-BE32-E72D297353CC}">
              <c16:uniqueId val="{00000000-2210-4FF6-85F3-677F7E0E0467}"/>
            </c:ext>
          </c:extLst>
        </c:ser>
        <c:ser>
          <c:idx val="1"/>
          <c:order val="1"/>
          <c:tx>
            <c:strRef>
              <c:f>'Model free evidence'!$G$4</c:f>
              <c:strCache>
                <c:ptCount val="1"/>
                <c:pt idx="0">
                  <c:v>Oakland, San Fran, Napa (zone 294)</c:v>
                </c:pt>
              </c:strCache>
            </c:strRef>
          </c:tx>
          <c:spPr>
            <a:ln w="28575" cap="rnd">
              <a:solidFill>
                <a:schemeClr val="accent2"/>
              </a:solidFill>
              <a:prstDash val="dash"/>
              <a:round/>
            </a:ln>
            <a:effectLst/>
          </c:spPr>
          <c:marker>
            <c:symbol val="none"/>
          </c:marker>
          <c:cat>
            <c:numRef>
              <c:f>'Model free evidence'!$H$2:$U$2</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'Model free evidence'!$H$4:$U$4</c:f>
              <c:numCache>
                <c:formatCode>0%</c:formatCode>
                <c:ptCount val="14"/>
                <c:pt idx="0">
                  <c:v>1.95280826911415E-2</c:v>
                </c:pt>
                <c:pt idx="1">
                  <c:v>2.3031008694205782E-2</c:v>
                </c:pt>
                <c:pt idx="2">
                  <c:v>2.5821058447771654E-2</c:v>
                </c:pt>
                <c:pt idx="3">
                  <c:v>2.744710821410816E-2</c:v>
                </c:pt>
                <c:pt idx="4">
                  <c:v>3.1829099079428359E-2</c:v>
                </c:pt>
                <c:pt idx="5">
                  <c:v>3.3685634687984169E-2</c:v>
                </c:pt>
                <c:pt idx="6">
                  <c:v>3.4276527331189709E-2</c:v>
                </c:pt>
                <c:pt idx="7">
                  <c:v>3.4739975232287827E-2</c:v>
                </c:pt>
                <c:pt idx="8">
                  <c:v>3.8010553058432678E-2</c:v>
                </c:pt>
                <c:pt idx="9">
                  <c:v>4.085801126540628E-2</c:v>
                </c:pt>
                <c:pt idx="10">
                  <c:v>7.2412710326182683E-2</c:v>
                </c:pt>
                <c:pt idx="11">
                  <c:v>7.1560687272240714E-2</c:v>
                </c:pt>
                <c:pt idx="12">
                  <c:v>7.137638807714787E-2</c:v>
                </c:pt>
                <c:pt idx="13">
                  <c:v>7.087278289990491E-2</c:v>
                </c:pt>
              </c:numCache>
            </c:numRef>
          </c:val>
          <c:smooth val="0"/>
          <c:extLst>
            <c:ext xmlns:c16="http://schemas.microsoft.com/office/drawing/2014/chart" uri="{C3380CC4-5D6E-409C-BE32-E72D297353CC}">
              <c16:uniqueId val="{00000001-2210-4FF6-85F3-677F7E0E0467}"/>
            </c:ext>
          </c:extLst>
        </c:ser>
        <c:ser>
          <c:idx val="2"/>
          <c:order val="2"/>
          <c:tx>
            <c:strRef>
              <c:f>'Model free evidence'!$G$5</c:f>
              <c:strCache>
                <c:ptCount val="1"/>
                <c:pt idx="0">
                  <c:v>Miami, Ft. Lauderdale, Key West (zone 410)</c:v>
                </c:pt>
              </c:strCache>
            </c:strRef>
          </c:tx>
          <c:spPr>
            <a:ln w="28575" cap="rnd">
              <a:solidFill>
                <a:srgbClr val="00B050"/>
              </a:solidFill>
              <a:round/>
            </a:ln>
            <a:effectLst/>
          </c:spPr>
          <c:marker>
            <c:symbol val="none"/>
          </c:marker>
          <c:cat>
            <c:numRef>
              <c:f>'Model free evidence'!$H$2:$U$2</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'Model free evidence'!$H$5:$U$5</c:f>
              <c:numCache>
                <c:formatCode>0%</c:formatCode>
                <c:ptCount val="14"/>
                <c:pt idx="0">
                  <c:v>1.456812675025098E-2</c:v>
                </c:pt>
                <c:pt idx="1">
                  <c:v>1.4918090957478265E-2</c:v>
                </c:pt>
                <c:pt idx="2">
                  <c:v>1.450036232419882E-2</c:v>
                </c:pt>
                <c:pt idx="3">
                  <c:v>1.5909196993978622E-2</c:v>
                </c:pt>
                <c:pt idx="4">
                  <c:v>1.6531372597399393E-2</c:v>
                </c:pt>
                <c:pt idx="5">
                  <c:v>2.0478994637628714E-2</c:v>
                </c:pt>
                <c:pt idx="6">
                  <c:v>2.1425672519545757E-2</c:v>
                </c:pt>
                <c:pt idx="7">
                  <c:v>2.606130005600087E-2</c:v>
                </c:pt>
                <c:pt idx="8">
                  <c:v>2.7292917660607059E-2</c:v>
                </c:pt>
                <c:pt idx="9">
                  <c:v>3.1298332879959583E-2</c:v>
                </c:pt>
                <c:pt idx="10">
                  <c:v>5.6889470772060254E-2</c:v>
                </c:pt>
                <c:pt idx="11">
                  <c:v>5.8545435383214016E-2</c:v>
                </c:pt>
                <c:pt idx="12">
                  <c:v>5.7480359925273901E-2</c:v>
                </c:pt>
                <c:pt idx="13">
                  <c:v>5.9310379953142506E-2</c:v>
                </c:pt>
              </c:numCache>
            </c:numRef>
          </c:val>
          <c:smooth val="0"/>
          <c:extLst>
            <c:ext xmlns:c16="http://schemas.microsoft.com/office/drawing/2014/chart" uri="{C3380CC4-5D6E-409C-BE32-E72D297353CC}">
              <c16:uniqueId val="{00000002-2210-4FF6-85F3-677F7E0E0467}"/>
            </c:ext>
          </c:extLst>
        </c:ser>
        <c:dLbls>
          <c:showLegendKey val="0"/>
          <c:showVal val="0"/>
          <c:showCatName val="0"/>
          <c:showSerName val="0"/>
          <c:showPercent val="0"/>
          <c:showBubbleSize val="0"/>
        </c:dLbls>
        <c:smooth val="0"/>
        <c:axId val="395082176"/>
        <c:axId val="395083616"/>
      </c:lineChart>
      <c:catAx>
        <c:axId val="395082176"/>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Year</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5083616"/>
        <c:crosses val="autoZero"/>
        <c:auto val="1"/>
        <c:lblAlgn val="ctr"/>
        <c:lblOffset val="100"/>
        <c:noMultiLvlLbl val="0"/>
      </c:catAx>
      <c:valAx>
        <c:axId val="3950836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Share of Trips Online</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5082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'Model free evidence'!$Z$2</c:f>
              <c:strCache>
                <c:ptCount val="1"/>
                <c:pt idx="0">
                  <c:v>Richmond, VA area (zone 14)</c:v>
                </c:pt>
              </c:strCache>
            </c:strRef>
          </c:tx>
          <c:spPr>
            <a:ln w="28575" cap="rnd">
              <a:solidFill>
                <a:schemeClr val="accent1"/>
              </a:solidFill>
              <a:prstDash val="sysDot"/>
              <a:round/>
            </a:ln>
            <a:effectLst/>
          </c:spPr>
          <c:marker>
            <c:symbol val="none"/>
          </c:marker>
          <c:cat>
            <c:numRef>
              <c:f>'Model free evidence'!$AA$1:$AN$1</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'Model free evidence'!$AA$2:$AN$2</c:f>
              <c:numCache>
                <c:formatCode>0%</c:formatCode>
                <c:ptCount val="14"/>
                <c:pt idx="0">
                  <c:v>1.8178795100593028E-2</c:v>
                </c:pt>
                <c:pt idx="1">
                  <c:v>2.2420131517630611E-2</c:v>
                </c:pt>
                <c:pt idx="2">
                  <c:v>2.2248368809498341E-2</c:v>
                </c:pt>
                <c:pt idx="3">
                  <c:v>2.2029715695851115E-2</c:v>
                </c:pt>
                <c:pt idx="4">
                  <c:v>2.4831361814449115E-2</c:v>
                </c:pt>
                <c:pt idx="5">
                  <c:v>2.1989896534024906E-2</c:v>
                </c:pt>
                <c:pt idx="6">
                  <c:v>2.3699659362694175E-2</c:v>
                </c:pt>
                <c:pt idx="7">
                  <c:v>2.2734597743894882E-2</c:v>
                </c:pt>
                <c:pt idx="8">
                  <c:v>2.4859553756226262E-2</c:v>
                </c:pt>
                <c:pt idx="9">
                  <c:v>2.7453202086726625E-2</c:v>
                </c:pt>
                <c:pt idx="10">
                  <c:v>4.7713997513429827E-2</c:v>
                </c:pt>
                <c:pt idx="11">
                  <c:v>5.584504965096844E-2</c:v>
                </c:pt>
                <c:pt idx="12">
                  <c:v>4.3442602579715189E-2</c:v>
                </c:pt>
                <c:pt idx="13">
                  <c:v>4.0384421350015132E-2</c:v>
                </c:pt>
              </c:numCache>
            </c:numRef>
          </c:val>
          <c:smooth val="0"/>
          <c:extLst>
            <c:ext xmlns:c16="http://schemas.microsoft.com/office/drawing/2014/chart" uri="{C3380CC4-5D6E-409C-BE32-E72D297353CC}">
              <c16:uniqueId val="{00000000-E6D8-4A53-B3C5-7D54753074A1}"/>
            </c:ext>
          </c:extLst>
        </c:ser>
        <c:ser>
          <c:idx val="1"/>
          <c:order val="1"/>
          <c:tx>
            <c:strRef>
              <c:f>'Model free evidence'!$Z$3</c:f>
              <c:strCache>
                <c:ptCount val="1"/>
                <c:pt idx="0">
                  <c:v>Lafayette, LA area (zone 168)</c:v>
                </c:pt>
              </c:strCache>
            </c:strRef>
          </c:tx>
          <c:spPr>
            <a:ln w="28575" cap="rnd">
              <a:solidFill>
                <a:schemeClr val="accent3"/>
              </a:solidFill>
              <a:prstDash val="dash"/>
              <a:round/>
            </a:ln>
            <a:effectLst/>
          </c:spPr>
          <c:marker>
            <c:symbol val="none"/>
          </c:marker>
          <c:cat>
            <c:numRef>
              <c:f>'Model free evidence'!$AA$1:$AN$1</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'Model free evidence'!$AA$3:$AN$3</c:f>
              <c:numCache>
                <c:formatCode>0%</c:formatCode>
                <c:ptCount val="14"/>
                <c:pt idx="0">
                  <c:v>9.2270660604439683E-3</c:v>
                </c:pt>
                <c:pt idx="1">
                  <c:v>9.3129880363922914E-3</c:v>
                </c:pt>
                <c:pt idx="2">
                  <c:v>8.1288905162943976E-3</c:v>
                </c:pt>
                <c:pt idx="3">
                  <c:v>1.3778208088180532E-2</c:v>
                </c:pt>
                <c:pt idx="4">
                  <c:v>1.4078282828282829E-2</c:v>
                </c:pt>
                <c:pt idx="5">
                  <c:v>1.6405873026814642E-2</c:v>
                </c:pt>
                <c:pt idx="6">
                  <c:v>1.5878138514167688E-2</c:v>
                </c:pt>
                <c:pt idx="7">
                  <c:v>1.9839847018047089E-2</c:v>
                </c:pt>
                <c:pt idx="8">
                  <c:v>1.6412869585826866E-2</c:v>
                </c:pt>
                <c:pt idx="9">
                  <c:v>2.1502967857542837E-2</c:v>
                </c:pt>
                <c:pt idx="10">
                  <c:v>3.5041191739081365E-2</c:v>
                </c:pt>
                <c:pt idx="11">
                  <c:v>2.0582017162044521E-2</c:v>
                </c:pt>
                <c:pt idx="12">
                  <c:v>2.2963270634308433E-2</c:v>
                </c:pt>
                <c:pt idx="13">
                  <c:v>2.5327613562907681E-2</c:v>
                </c:pt>
              </c:numCache>
            </c:numRef>
          </c:val>
          <c:smooth val="0"/>
          <c:extLst>
            <c:ext xmlns:c16="http://schemas.microsoft.com/office/drawing/2014/chart" uri="{C3380CC4-5D6E-409C-BE32-E72D297353CC}">
              <c16:uniqueId val="{00000001-E6D8-4A53-B3C5-7D54753074A1}"/>
            </c:ext>
          </c:extLst>
        </c:ser>
        <c:ser>
          <c:idx val="2"/>
          <c:order val="2"/>
          <c:tx>
            <c:strRef>
              <c:f>'Model free evidence'!$Z$4</c:f>
              <c:strCache>
                <c:ptCount val="1"/>
                <c:pt idx="0">
                  <c:v>Kalamazoo, MI area (zone 284)</c:v>
                </c:pt>
              </c:strCache>
            </c:strRef>
          </c:tx>
          <c:spPr>
            <a:ln w="28575" cap="rnd">
              <a:solidFill>
                <a:schemeClr val="accent6"/>
              </a:solidFill>
              <a:prstDash val="sysDot"/>
              <a:round/>
            </a:ln>
            <a:effectLst/>
          </c:spPr>
          <c:marker>
            <c:symbol val="none"/>
          </c:marker>
          <c:cat>
            <c:numRef>
              <c:f>'Model free evidence'!$AA$1:$AN$1</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'Model free evidence'!$AA$4:$AN$4</c:f>
              <c:numCache>
                <c:formatCode>0%</c:formatCode>
                <c:ptCount val="14"/>
                <c:pt idx="0">
                  <c:v>1.087171377742637E-2</c:v>
                </c:pt>
                <c:pt idx="1">
                  <c:v>1.1819872887924352E-2</c:v>
                </c:pt>
                <c:pt idx="2">
                  <c:v>1.3397043719019336E-2</c:v>
                </c:pt>
                <c:pt idx="3">
                  <c:v>1.4143677356112589E-2</c:v>
                </c:pt>
                <c:pt idx="4">
                  <c:v>1.4901888189559422E-2</c:v>
                </c:pt>
                <c:pt idx="5">
                  <c:v>1.2844476395878265E-2</c:v>
                </c:pt>
                <c:pt idx="6">
                  <c:v>1.5755161173487867E-2</c:v>
                </c:pt>
                <c:pt idx="7">
                  <c:v>1.6528549312448775E-2</c:v>
                </c:pt>
                <c:pt idx="8">
                  <c:v>1.9751214944937357E-2</c:v>
                </c:pt>
                <c:pt idx="9">
                  <c:v>2.012263580620088E-2</c:v>
                </c:pt>
                <c:pt idx="10">
                  <c:v>4.7716089268850341E-2</c:v>
                </c:pt>
                <c:pt idx="11">
                  <c:v>6.4740559774815451E-2</c:v>
                </c:pt>
                <c:pt idx="12">
                  <c:v>6.3124529923713341E-2</c:v>
                </c:pt>
                <c:pt idx="13">
                  <c:v>5.6388219264228066E-2</c:v>
                </c:pt>
              </c:numCache>
            </c:numRef>
          </c:val>
          <c:smooth val="0"/>
          <c:extLst>
            <c:ext xmlns:c16="http://schemas.microsoft.com/office/drawing/2014/chart" uri="{C3380CC4-5D6E-409C-BE32-E72D297353CC}">
              <c16:uniqueId val="{00000002-E6D8-4A53-B3C5-7D54753074A1}"/>
            </c:ext>
          </c:extLst>
        </c:ser>
        <c:ser>
          <c:idx val="3"/>
          <c:order val="3"/>
          <c:tx>
            <c:strRef>
              <c:f>'Model free evidence'!$Z$5</c:f>
              <c:strCache>
                <c:ptCount val="1"/>
                <c:pt idx="0">
                  <c:v>El Paso, TX area (zone 288)</c:v>
                </c:pt>
              </c:strCache>
            </c:strRef>
          </c:tx>
          <c:spPr>
            <a:ln w="28575" cap="rnd">
              <a:solidFill>
                <a:schemeClr val="accent5"/>
              </a:solidFill>
              <a:round/>
            </a:ln>
            <a:effectLst/>
          </c:spPr>
          <c:marker>
            <c:symbol val="none"/>
          </c:marker>
          <c:cat>
            <c:numRef>
              <c:f>'Model free evidence'!$AA$1:$AN$1</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'Model free evidence'!$AA$5:$AN$5</c:f>
              <c:numCache>
                <c:formatCode>0%</c:formatCode>
                <c:ptCount val="14"/>
                <c:pt idx="0">
                  <c:v>1.8287435456110154E-2</c:v>
                </c:pt>
                <c:pt idx="1">
                  <c:v>1.856510364258402E-2</c:v>
                </c:pt>
                <c:pt idx="2">
                  <c:v>1.8115590092277804E-2</c:v>
                </c:pt>
                <c:pt idx="3">
                  <c:v>1.9950932740823032E-2</c:v>
                </c:pt>
                <c:pt idx="4">
                  <c:v>2.3183488832343793E-2</c:v>
                </c:pt>
                <c:pt idx="5">
                  <c:v>2.626720375965089E-2</c:v>
                </c:pt>
                <c:pt idx="6">
                  <c:v>2.7847013321873657E-2</c:v>
                </c:pt>
                <c:pt idx="7">
                  <c:v>3.2692036314031704E-2</c:v>
                </c:pt>
                <c:pt idx="8">
                  <c:v>3.6519109935276607E-2</c:v>
                </c:pt>
                <c:pt idx="9">
                  <c:v>4.2560964471641247E-2</c:v>
                </c:pt>
                <c:pt idx="10">
                  <c:v>6.1156622597128722E-2</c:v>
                </c:pt>
                <c:pt idx="11">
                  <c:v>6.0142962780379589E-2</c:v>
                </c:pt>
                <c:pt idx="12">
                  <c:v>5.4522346960389746E-2</c:v>
                </c:pt>
                <c:pt idx="13">
                  <c:v>5.2242839128085028E-2</c:v>
                </c:pt>
              </c:numCache>
            </c:numRef>
          </c:val>
          <c:smooth val="0"/>
          <c:extLst>
            <c:ext xmlns:c16="http://schemas.microsoft.com/office/drawing/2014/chart" uri="{C3380CC4-5D6E-409C-BE32-E72D297353CC}">
              <c16:uniqueId val="{00000003-E6D8-4A53-B3C5-7D54753074A1}"/>
            </c:ext>
          </c:extLst>
        </c:ser>
        <c:ser>
          <c:idx val="4"/>
          <c:order val="4"/>
          <c:tx>
            <c:strRef>
              <c:f>'Model free evidence'!$Z$6</c:f>
              <c:strCache>
                <c:ptCount val="1"/>
                <c:pt idx="0">
                  <c:v>Cambridge, OH area (zone 318)</c:v>
                </c:pt>
              </c:strCache>
            </c:strRef>
          </c:tx>
          <c:spPr>
            <a:ln w="28575" cap="rnd">
              <a:solidFill>
                <a:schemeClr val="accent6"/>
              </a:solidFill>
              <a:prstDash val="sysDash"/>
              <a:round/>
            </a:ln>
            <a:effectLst/>
          </c:spPr>
          <c:marker>
            <c:symbol val="none"/>
          </c:marker>
          <c:cat>
            <c:numRef>
              <c:f>'Model free evidence'!$AA$1:$AN$1</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'Model free evidence'!$AA$6:$AN$6</c:f>
              <c:numCache>
                <c:formatCode>0%</c:formatCode>
                <c:ptCount val="14"/>
                <c:pt idx="0">
                  <c:v>2.8308563340410475E-3</c:v>
                </c:pt>
                <c:pt idx="1">
                  <c:v>8.0862533692722376E-3</c:v>
                </c:pt>
                <c:pt idx="2">
                  <c:v>9.3658014450093661E-3</c:v>
                </c:pt>
                <c:pt idx="3">
                  <c:v>9.7729232538085655E-3</c:v>
                </c:pt>
                <c:pt idx="4">
                  <c:v>9.0410074265418142E-3</c:v>
                </c:pt>
                <c:pt idx="5">
                  <c:v>9.2399403874813719E-3</c:v>
                </c:pt>
                <c:pt idx="6">
                  <c:v>9.3252879868348879E-3</c:v>
                </c:pt>
                <c:pt idx="7">
                  <c:v>9.2834348709022341E-3</c:v>
                </c:pt>
                <c:pt idx="8">
                  <c:v>1.0836437521164918E-2</c:v>
                </c:pt>
                <c:pt idx="9">
                  <c:v>2.5594149908592323E-2</c:v>
                </c:pt>
                <c:pt idx="10">
                  <c:v>2.9871977240398292E-2</c:v>
                </c:pt>
                <c:pt idx="11">
                  <c:v>9.2064883822884705E-3</c:v>
                </c:pt>
                <c:pt idx="12">
                  <c:v>2.8139437211255777E-2</c:v>
                </c:pt>
                <c:pt idx="13">
                  <c:v>3.1368493622888662E-2</c:v>
                </c:pt>
              </c:numCache>
            </c:numRef>
          </c:val>
          <c:smooth val="0"/>
          <c:extLst>
            <c:ext xmlns:c16="http://schemas.microsoft.com/office/drawing/2014/chart" uri="{C3380CC4-5D6E-409C-BE32-E72D297353CC}">
              <c16:uniqueId val="{00000004-E6D8-4A53-B3C5-7D54753074A1}"/>
            </c:ext>
          </c:extLst>
        </c:ser>
        <c:ser>
          <c:idx val="5"/>
          <c:order val="5"/>
          <c:tx>
            <c:strRef>
              <c:f>'Model free evidence'!$Z$7</c:f>
              <c:strCache>
                <c:ptCount val="1"/>
                <c:pt idx="0">
                  <c:v>NW Kansas/SE Nebraska (zone 516)</c:v>
                </c:pt>
              </c:strCache>
            </c:strRef>
          </c:tx>
          <c:spPr>
            <a:ln w="28575" cap="rnd">
              <a:solidFill>
                <a:schemeClr val="accent2"/>
              </a:solidFill>
              <a:prstDash val="dash"/>
              <a:round/>
            </a:ln>
            <a:effectLst/>
          </c:spPr>
          <c:marker>
            <c:symbol val="none"/>
          </c:marker>
          <c:cat>
            <c:numRef>
              <c:f>'Model free evidence'!$AA$1:$AN$1</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'Model free evidence'!$AA$7:$AN$7</c:f>
              <c:numCache>
                <c:formatCode>0%</c:formatCode>
                <c:ptCount val="14"/>
                <c:pt idx="0">
                  <c:v>5.681818181818182E-3</c:v>
                </c:pt>
                <c:pt idx="1">
                  <c:v>1.2158054711246201E-2</c:v>
                </c:pt>
                <c:pt idx="2">
                  <c:v>1.3950073421439061E-2</c:v>
                </c:pt>
                <c:pt idx="3">
                  <c:v>4.6511627906976744E-3</c:v>
                </c:pt>
                <c:pt idx="4">
                  <c:v>7.8791858174655279E-3</c:v>
                </c:pt>
                <c:pt idx="5">
                  <c:v>9.3617021276595751E-3</c:v>
                </c:pt>
                <c:pt idx="6">
                  <c:v>2.7322404371584699E-3</c:v>
                </c:pt>
                <c:pt idx="7">
                  <c:v>0</c:v>
                </c:pt>
                <c:pt idx="8">
                  <c:v>1.2195121951219512E-3</c:v>
                </c:pt>
                <c:pt idx="9">
                  <c:v>2.2026431718061676E-3</c:v>
                </c:pt>
                <c:pt idx="10">
                  <c:v>9.1649694501018328E-3</c:v>
                </c:pt>
                <c:pt idx="11">
                  <c:v>4.9079754601226997E-3</c:v>
                </c:pt>
                <c:pt idx="12">
                  <c:v>4.0000000000000001E-3</c:v>
                </c:pt>
                <c:pt idx="13">
                  <c:v>1.5220700152207001E-3</c:v>
                </c:pt>
              </c:numCache>
            </c:numRef>
          </c:val>
          <c:smooth val="0"/>
          <c:extLst>
            <c:ext xmlns:c16="http://schemas.microsoft.com/office/drawing/2014/chart" uri="{C3380CC4-5D6E-409C-BE32-E72D297353CC}">
              <c16:uniqueId val="{00000005-E6D8-4A53-B3C5-7D54753074A1}"/>
            </c:ext>
          </c:extLst>
        </c:ser>
        <c:ser>
          <c:idx val="6"/>
          <c:order val="6"/>
          <c:tx>
            <c:strRef>
              <c:f>'Model free evidence'!$Z$8</c:f>
              <c:strCache>
                <c:ptCount val="1"/>
                <c:pt idx="0">
                  <c:v>NW Wisconsin (zone 517)</c:v>
                </c:pt>
              </c:strCache>
            </c:strRef>
          </c:tx>
          <c:spPr>
            <a:ln w="28575" cap="rnd">
              <a:solidFill>
                <a:schemeClr val="accent1">
                  <a:lumMod val="60000"/>
                </a:schemeClr>
              </a:solidFill>
              <a:round/>
            </a:ln>
            <a:effectLst/>
          </c:spPr>
          <c:marker>
            <c:symbol val="none"/>
          </c:marker>
          <c:cat>
            <c:numRef>
              <c:f>'Model free evidence'!$AA$1:$AN$1</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'Model free evidence'!$AA$8:$AN$8</c:f>
              <c:numCache>
                <c:formatCode>0%</c:formatCode>
                <c:ptCount val="14"/>
                <c:pt idx="0">
                  <c:v>2.9231995748073346E-3</c:v>
                </c:pt>
                <c:pt idx="1">
                  <c:v>8.8002346729246107E-3</c:v>
                </c:pt>
                <c:pt idx="2">
                  <c:v>8.1459758879113726E-3</c:v>
                </c:pt>
                <c:pt idx="3">
                  <c:v>6.387114690363788E-3</c:v>
                </c:pt>
                <c:pt idx="4">
                  <c:v>9.6918489065606368E-3</c:v>
                </c:pt>
                <c:pt idx="5">
                  <c:v>1.5948963317384369E-2</c:v>
                </c:pt>
                <c:pt idx="6">
                  <c:v>1.2085441259134345E-2</c:v>
                </c:pt>
                <c:pt idx="7">
                  <c:v>1.0360138135175136E-2</c:v>
                </c:pt>
                <c:pt idx="8">
                  <c:v>1.2333965844402278E-2</c:v>
                </c:pt>
                <c:pt idx="9">
                  <c:v>1.6579406631762654E-2</c:v>
                </c:pt>
                <c:pt idx="10">
                  <c:v>1.1668611435239206E-2</c:v>
                </c:pt>
                <c:pt idx="11">
                  <c:v>8.1602373887240363E-3</c:v>
                </c:pt>
                <c:pt idx="12">
                  <c:v>1.1114541525162088E-2</c:v>
                </c:pt>
                <c:pt idx="13">
                  <c:v>9.7968069666182871E-3</c:v>
                </c:pt>
              </c:numCache>
            </c:numRef>
          </c:val>
          <c:smooth val="0"/>
          <c:extLst>
            <c:ext xmlns:c16="http://schemas.microsoft.com/office/drawing/2014/chart" uri="{C3380CC4-5D6E-409C-BE32-E72D297353CC}">
              <c16:uniqueId val="{00000006-E6D8-4A53-B3C5-7D54753074A1}"/>
            </c:ext>
          </c:extLst>
        </c:ser>
        <c:ser>
          <c:idx val="7"/>
          <c:order val="7"/>
          <c:tx>
            <c:strRef>
              <c:f>'Model free evidence'!$Z$9</c:f>
              <c:strCache>
                <c:ptCount val="1"/>
                <c:pt idx="0">
                  <c:v>Eastern Wisconsin (zone 586)</c:v>
                </c:pt>
              </c:strCache>
            </c:strRef>
          </c:tx>
          <c:spPr>
            <a:ln w="28575" cap="rnd">
              <a:solidFill>
                <a:schemeClr val="accent2">
                  <a:lumMod val="60000"/>
                </a:schemeClr>
              </a:solidFill>
              <a:round/>
            </a:ln>
            <a:effectLst/>
          </c:spPr>
          <c:marker>
            <c:symbol val="none"/>
          </c:marker>
          <c:cat>
            <c:numRef>
              <c:f>'Model free evidence'!$AA$1:$AN$1</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'Model free evidence'!$AA$9:$AN$9</c:f>
              <c:numCache>
                <c:formatCode>0%</c:formatCode>
                <c:ptCount val="14"/>
                <c:pt idx="0">
                  <c:v>8.8967971530249119E-3</c:v>
                </c:pt>
                <c:pt idx="1">
                  <c:v>8.2609795161426285E-3</c:v>
                </c:pt>
                <c:pt idx="2">
                  <c:v>1.2663952962460425E-2</c:v>
                </c:pt>
                <c:pt idx="3">
                  <c:v>1.6195931266047799E-2</c:v>
                </c:pt>
                <c:pt idx="4">
                  <c:v>1.5550978372811535E-2</c:v>
                </c:pt>
                <c:pt idx="5">
                  <c:v>1.4071183634858696E-2</c:v>
                </c:pt>
                <c:pt idx="6">
                  <c:v>1.4244686961516369E-2</c:v>
                </c:pt>
                <c:pt idx="7">
                  <c:v>1.3473545842918173E-2</c:v>
                </c:pt>
                <c:pt idx="8">
                  <c:v>1.5347539320142059E-2</c:v>
                </c:pt>
                <c:pt idx="9">
                  <c:v>2.2324448653768095E-2</c:v>
                </c:pt>
                <c:pt idx="10">
                  <c:v>2.3088023088023088E-2</c:v>
                </c:pt>
                <c:pt idx="11">
                  <c:v>1.6132915964363111E-2</c:v>
                </c:pt>
                <c:pt idx="12">
                  <c:v>3.401789089076477E-2</c:v>
                </c:pt>
                <c:pt idx="13">
                  <c:v>3.2817109144542771E-2</c:v>
                </c:pt>
              </c:numCache>
            </c:numRef>
          </c:val>
          <c:smooth val="0"/>
          <c:extLst>
            <c:ext xmlns:c16="http://schemas.microsoft.com/office/drawing/2014/chart" uri="{C3380CC4-5D6E-409C-BE32-E72D297353CC}">
              <c16:uniqueId val="{00000007-E6D8-4A53-B3C5-7D54753074A1}"/>
            </c:ext>
          </c:extLst>
        </c:ser>
        <c:dLbls>
          <c:showLegendKey val="0"/>
          <c:showVal val="0"/>
          <c:showCatName val="0"/>
          <c:showSerName val="0"/>
          <c:showPercent val="0"/>
          <c:showBubbleSize val="0"/>
        </c:dLbls>
        <c:smooth val="0"/>
        <c:axId val="395052896"/>
        <c:axId val="395050976"/>
      </c:lineChart>
      <c:catAx>
        <c:axId val="395052896"/>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Year</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5050976"/>
        <c:crosses val="autoZero"/>
        <c:auto val="1"/>
        <c:lblAlgn val="ctr"/>
        <c:lblOffset val="100"/>
        <c:noMultiLvlLbl val="0"/>
      </c:catAx>
      <c:valAx>
        <c:axId val="3950509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Share</a:t>
                </a:r>
                <a:r>
                  <a:rPr lang="en-US" baseline="0"/>
                  <a:t> of Trips Online</a:t>
                </a:r>
                <a:endParaRPr lang="en-US"/>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5052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'Model free evidence'!$AS$2</c:f>
              <c:strCache>
                <c:ptCount val="1"/>
                <c:pt idx="0">
                  <c:v>New York City area - urban (zone 134)</c:v>
                </c:pt>
              </c:strCache>
            </c:strRef>
          </c:tx>
          <c:spPr>
            <a:ln w="28575" cap="rnd">
              <a:solidFill>
                <a:schemeClr val="accent1"/>
              </a:solidFill>
              <a:round/>
            </a:ln>
            <a:effectLst/>
          </c:spPr>
          <c:marker>
            <c:symbol val="none"/>
          </c:marker>
          <c:cat>
            <c:numRef>
              <c:f>'Model free evidence'!$AT$1:$BG$1</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'Model free evidence'!$AT$2:$BG$2</c:f>
              <c:numCache>
                <c:formatCode>0%</c:formatCode>
                <c:ptCount val="14"/>
                <c:pt idx="0">
                  <c:v>2.3207232001856912E-2</c:v>
                </c:pt>
                <c:pt idx="1">
                  <c:v>2.5903974980211974E-2</c:v>
                </c:pt>
                <c:pt idx="2">
                  <c:v>2.8522663865822036E-2</c:v>
                </c:pt>
                <c:pt idx="3">
                  <c:v>3.0095162729478642E-2</c:v>
                </c:pt>
                <c:pt idx="4">
                  <c:v>3.3103098713931141E-2</c:v>
                </c:pt>
                <c:pt idx="5">
                  <c:v>3.6124733892519342E-2</c:v>
                </c:pt>
                <c:pt idx="6">
                  <c:v>3.8054591278710352E-2</c:v>
                </c:pt>
                <c:pt idx="7">
                  <c:v>4.1091177193413618E-2</c:v>
                </c:pt>
                <c:pt idx="8">
                  <c:v>4.4704695023233321E-2</c:v>
                </c:pt>
                <c:pt idx="9">
                  <c:v>4.7634805554242397E-2</c:v>
                </c:pt>
                <c:pt idx="10">
                  <c:v>8.1048286161587449E-2</c:v>
                </c:pt>
                <c:pt idx="11">
                  <c:v>9.9157957648176115E-2</c:v>
                </c:pt>
                <c:pt idx="12">
                  <c:v>9.3073664977991855E-2</c:v>
                </c:pt>
                <c:pt idx="13">
                  <c:v>7.9483593973837599E-2</c:v>
                </c:pt>
              </c:numCache>
            </c:numRef>
          </c:val>
          <c:smooth val="0"/>
          <c:extLst>
            <c:ext xmlns:c16="http://schemas.microsoft.com/office/drawing/2014/chart" uri="{C3380CC4-5D6E-409C-BE32-E72D297353CC}">
              <c16:uniqueId val="{00000000-572E-401D-BCDB-3C6336D07DC1}"/>
            </c:ext>
          </c:extLst>
        </c:ser>
        <c:ser>
          <c:idx val="1"/>
          <c:order val="1"/>
          <c:tx>
            <c:strRef>
              <c:f>'Model free evidence'!$AS$3</c:f>
              <c:strCache>
                <c:ptCount val="1"/>
                <c:pt idx="0">
                  <c:v>Kentucky, east of Lexington - rural (zone 311)</c:v>
                </c:pt>
              </c:strCache>
            </c:strRef>
          </c:tx>
          <c:spPr>
            <a:ln w="28575" cap="rnd">
              <a:solidFill>
                <a:schemeClr val="accent2"/>
              </a:solidFill>
              <a:round/>
            </a:ln>
            <a:effectLst/>
          </c:spPr>
          <c:marker>
            <c:symbol val="none"/>
          </c:marker>
          <c:cat>
            <c:numRef>
              <c:f>'Model free evidence'!$AT$1:$BG$1</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'Model free evidence'!$AT$3:$BG$3</c:f>
              <c:numCache>
                <c:formatCode>0%</c:formatCode>
                <c:ptCount val="14"/>
                <c:pt idx="0">
                  <c:v>5.1733057423693739E-3</c:v>
                </c:pt>
                <c:pt idx="1">
                  <c:v>5.7550013702384216E-3</c:v>
                </c:pt>
                <c:pt idx="2">
                  <c:v>4.4525929806181249E-3</c:v>
                </c:pt>
                <c:pt idx="3">
                  <c:v>5.0377833753148613E-3</c:v>
                </c:pt>
                <c:pt idx="4">
                  <c:v>1.8329405603561141E-3</c:v>
                </c:pt>
                <c:pt idx="5">
                  <c:v>6.9593147751605992E-3</c:v>
                </c:pt>
                <c:pt idx="6">
                  <c:v>6.4606741573033704E-3</c:v>
                </c:pt>
                <c:pt idx="7">
                  <c:v>6.993006993006993E-3</c:v>
                </c:pt>
                <c:pt idx="8">
                  <c:v>7.0683271625715249E-3</c:v>
                </c:pt>
                <c:pt idx="9">
                  <c:v>1.296252651425878E-2</c:v>
                </c:pt>
                <c:pt idx="10">
                  <c:v>2.1697914472298293E-2</c:v>
                </c:pt>
                <c:pt idx="11">
                  <c:v>1.4484978540772532E-2</c:v>
                </c:pt>
                <c:pt idx="12">
                  <c:v>1.2191742865059573E-2</c:v>
                </c:pt>
                <c:pt idx="13">
                  <c:v>1.6522988505747127E-2</c:v>
                </c:pt>
              </c:numCache>
            </c:numRef>
          </c:val>
          <c:smooth val="0"/>
          <c:extLst>
            <c:ext xmlns:c16="http://schemas.microsoft.com/office/drawing/2014/chart" uri="{C3380CC4-5D6E-409C-BE32-E72D297353CC}">
              <c16:uniqueId val="{00000001-572E-401D-BCDB-3C6336D07DC1}"/>
            </c:ext>
          </c:extLst>
        </c:ser>
        <c:dLbls>
          <c:showLegendKey val="0"/>
          <c:showVal val="0"/>
          <c:showCatName val="0"/>
          <c:showSerName val="0"/>
          <c:showPercent val="0"/>
          <c:showBubbleSize val="0"/>
        </c:dLbls>
        <c:smooth val="0"/>
        <c:axId val="395052896"/>
        <c:axId val="395050976"/>
      </c:lineChart>
      <c:catAx>
        <c:axId val="395052896"/>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Year</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5050976"/>
        <c:crosses val="autoZero"/>
        <c:auto val="1"/>
        <c:lblAlgn val="ctr"/>
        <c:lblOffset val="100"/>
        <c:noMultiLvlLbl val="0"/>
      </c:catAx>
      <c:valAx>
        <c:axId val="3950509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Share</a:t>
                </a:r>
                <a:r>
                  <a:rPr lang="en-US" baseline="0"/>
                  <a:t> of Trips Online</a:t>
                </a:r>
                <a:endParaRPr lang="en-US"/>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5052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2951</Words>
  <Characters>16822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Marzolf, Micah [SCM]</dc:creator>
  <cp:keywords/>
  <dc:description/>
  <cp:lastModifiedBy>Marzolf, Micah [SCM]</cp:lastModifiedBy>
  <cp:revision>5</cp:revision>
  <cp:lastPrinted>2025-10-28T17:17:00Z</cp:lastPrinted>
  <dcterms:created xsi:type="dcterms:W3CDTF">2026-03-04T17:37:00Z</dcterms:created>
  <dcterms:modified xsi:type="dcterms:W3CDTF">2026-03-16T17:24:00Z</dcterms:modified>
</cp:coreProperties>
</file>