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2855" w14:textId="7A7AF586" w:rsidR="00240696" w:rsidRDefault="50B5A393" w:rsidP="00240696">
      <w:pPr>
        <w:jc w:val="center"/>
        <w:rPr>
          <w:rFonts w:ascii="Times New Roman" w:hAnsi="Times New Roman" w:cs="Times New Roman"/>
          <w:b/>
          <w:bCs/>
        </w:rPr>
      </w:pPr>
      <w:r w:rsidRPr="50B5A393">
        <w:rPr>
          <w:rFonts w:ascii="Times New Roman" w:hAnsi="Times New Roman" w:cs="Times New Roman"/>
          <w:b/>
          <w:bCs/>
        </w:rPr>
        <w:t>SUPPLEMENTARY FILE S1: TABLES</w:t>
      </w:r>
    </w:p>
    <w:p w14:paraId="3FFA1CEC" w14:textId="77777777" w:rsidR="00240696" w:rsidRDefault="00240696" w:rsidP="00240696">
      <w:pPr>
        <w:jc w:val="center"/>
        <w:rPr>
          <w:rFonts w:ascii="Times New Roman" w:hAnsi="Times New Roman" w:cs="Times New Roman"/>
          <w:b/>
          <w:bCs/>
        </w:rPr>
      </w:pPr>
    </w:p>
    <w:p w14:paraId="6981DFDE" w14:textId="77777777" w:rsidR="007E6BDC" w:rsidRPr="007E6BDC" w:rsidRDefault="00240696" w:rsidP="007E6BDC">
      <w:pPr>
        <w:spacing w:after="240"/>
        <w:jc w:val="both"/>
        <w:outlineLvl w:val="0"/>
        <w:rPr>
          <w:rFonts w:ascii="Times New Roman" w:hAnsi="Times New Roman" w:cs="Times New Roman"/>
          <w:bCs/>
        </w:rPr>
      </w:pPr>
      <w:r w:rsidRPr="007E6BDC">
        <w:rPr>
          <w:rFonts w:ascii="Times New Roman" w:hAnsi="Times New Roman" w:cs="Times New Roman"/>
          <w:b/>
          <w:bCs/>
        </w:rPr>
        <w:t xml:space="preserve">Table A. </w:t>
      </w:r>
      <w:r w:rsidR="007E6BDC" w:rsidRPr="007E6BDC">
        <w:rPr>
          <w:rFonts w:ascii="Times New Roman" w:hAnsi="Times New Roman" w:cs="Times New Roman"/>
          <w:bCs/>
        </w:rPr>
        <w:t>Articles identified for analysis.</w:t>
      </w:r>
    </w:p>
    <w:tbl>
      <w:tblPr>
        <w:tblStyle w:val="TableGrid1"/>
        <w:tblW w:w="92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0"/>
        <w:gridCol w:w="735"/>
        <w:gridCol w:w="5205"/>
        <w:gridCol w:w="1080"/>
      </w:tblGrid>
      <w:tr w:rsidR="007E6BDC" w:rsidRPr="00A3182C" w14:paraId="4BD85AC7" w14:textId="77777777" w:rsidTr="45BA1AAA">
        <w:trPr>
          <w:trHeight w:val="315"/>
        </w:trPr>
        <w:tc>
          <w:tcPr>
            <w:tcW w:w="450" w:type="dxa"/>
            <w:tcBorders>
              <w:top w:val="single" w:sz="4" w:space="0" w:color="auto"/>
              <w:bottom w:val="single" w:sz="4" w:space="0" w:color="auto"/>
            </w:tcBorders>
            <w:noWrap/>
            <w:hideMark/>
          </w:tcPr>
          <w:p w14:paraId="3676417C" w14:textId="77777777" w:rsidR="007E6BDC" w:rsidRPr="00A3182C" w:rsidRDefault="007E6BDC" w:rsidP="45BA1AAA">
            <w:pPr>
              <w:ind w:right="-128"/>
              <w:rPr>
                <w:rFonts w:eastAsia="Times New Roman" w:cs="Times New Roman"/>
                <w:b/>
                <w:bCs/>
                <w:sz w:val="21"/>
                <w:szCs w:val="21"/>
              </w:rPr>
            </w:pPr>
          </w:p>
        </w:tc>
        <w:tc>
          <w:tcPr>
            <w:tcW w:w="1800" w:type="dxa"/>
            <w:tcBorders>
              <w:top w:val="single" w:sz="4" w:space="0" w:color="auto"/>
              <w:bottom w:val="single" w:sz="4" w:space="0" w:color="auto"/>
            </w:tcBorders>
            <w:noWrap/>
            <w:hideMark/>
          </w:tcPr>
          <w:p w14:paraId="71BAF2DB" w14:textId="77777777" w:rsidR="007E6BDC" w:rsidRPr="00A3182C" w:rsidRDefault="45BA1AAA" w:rsidP="45BA1AAA">
            <w:pPr>
              <w:rPr>
                <w:rFonts w:eastAsia="Times New Roman" w:cs="Times New Roman"/>
                <w:b/>
                <w:bCs/>
                <w:sz w:val="21"/>
                <w:szCs w:val="21"/>
              </w:rPr>
            </w:pPr>
            <w:r w:rsidRPr="45BA1AAA">
              <w:rPr>
                <w:rFonts w:eastAsia="Times New Roman" w:cs="Times New Roman"/>
                <w:b/>
                <w:bCs/>
                <w:sz w:val="21"/>
                <w:szCs w:val="21"/>
              </w:rPr>
              <w:t>Authors</w:t>
            </w:r>
          </w:p>
        </w:tc>
        <w:tc>
          <w:tcPr>
            <w:tcW w:w="735" w:type="dxa"/>
            <w:tcBorders>
              <w:top w:val="single" w:sz="4" w:space="0" w:color="auto"/>
              <w:bottom w:val="single" w:sz="4" w:space="0" w:color="auto"/>
            </w:tcBorders>
            <w:noWrap/>
            <w:hideMark/>
          </w:tcPr>
          <w:p w14:paraId="2C03C055" w14:textId="77777777" w:rsidR="007E6BDC" w:rsidRPr="00A3182C" w:rsidRDefault="45BA1AAA" w:rsidP="45BA1AAA">
            <w:pPr>
              <w:rPr>
                <w:rFonts w:eastAsia="Times New Roman" w:cs="Times New Roman"/>
                <w:b/>
                <w:bCs/>
                <w:sz w:val="21"/>
                <w:szCs w:val="21"/>
              </w:rPr>
            </w:pPr>
            <w:r w:rsidRPr="45BA1AAA">
              <w:rPr>
                <w:rFonts w:eastAsia="Times New Roman" w:cs="Times New Roman"/>
                <w:b/>
                <w:bCs/>
                <w:sz w:val="21"/>
                <w:szCs w:val="21"/>
              </w:rPr>
              <w:t>Year</w:t>
            </w:r>
          </w:p>
        </w:tc>
        <w:tc>
          <w:tcPr>
            <w:tcW w:w="5205" w:type="dxa"/>
            <w:tcBorders>
              <w:top w:val="single" w:sz="4" w:space="0" w:color="auto"/>
              <w:bottom w:val="single" w:sz="4" w:space="0" w:color="auto"/>
            </w:tcBorders>
            <w:noWrap/>
            <w:hideMark/>
          </w:tcPr>
          <w:p w14:paraId="26F651A0" w14:textId="77777777" w:rsidR="007E6BDC" w:rsidRPr="00A3182C" w:rsidRDefault="45BA1AAA" w:rsidP="45BA1AAA">
            <w:pPr>
              <w:rPr>
                <w:rFonts w:eastAsia="Times New Roman" w:cs="Times New Roman"/>
                <w:b/>
                <w:bCs/>
                <w:sz w:val="21"/>
                <w:szCs w:val="21"/>
              </w:rPr>
            </w:pPr>
            <w:r w:rsidRPr="45BA1AAA">
              <w:rPr>
                <w:rFonts w:eastAsia="Times New Roman" w:cs="Times New Roman"/>
                <w:b/>
                <w:bCs/>
                <w:sz w:val="21"/>
                <w:szCs w:val="21"/>
              </w:rPr>
              <w:t>Title</w:t>
            </w:r>
          </w:p>
        </w:tc>
        <w:tc>
          <w:tcPr>
            <w:tcW w:w="1080" w:type="dxa"/>
            <w:tcBorders>
              <w:top w:val="single" w:sz="4" w:space="0" w:color="auto"/>
              <w:bottom w:val="single" w:sz="4" w:space="0" w:color="auto"/>
            </w:tcBorders>
            <w:noWrap/>
            <w:hideMark/>
          </w:tcPr>
          <w:p w14:paraId="52A62B4F" w14:textId="77777777" w:rsidR="007E6BDC" w:rsidRPr="00A3182C" w:rsidRDefault="45BA1AAA" w:rsidP="45BA1AAA">
            <w:pPr>
              <w:rPr>
                <w:rFonts w:eastAsia="Times New Roman" w:cs="Times New Roman"/>
                <w:b/>
                <w:bCs/>
                <w:sz w:val="21"/>
                <w:szCs w:val="21"/>
              </w:rPr>
            </w:pPr>
            <w:r w:rsidRPr="45BA1AAA">
              <w:rPr>
                <w:rFonts w:eastAsia="Times New Roman" w:cs="Times New Roman"/>
                <w:b/>
                <w:bCs/>
                <w:sz w:val="21"/>
                <w:szCs w:val="21"/>
              </w:rPr>
              <w:t>Journal*</w:t>
            </w:r>
          </w:p>
        </w:tc>
      </w:tr>
      <w:tr w:rsidR="007E6BDC" w:rsidRPr="007E6BDC" w14:paraId="3D6D83E4" w14:textId="77777777" w:rsidTr="45BA1AAA">
        <w:trPr>
          <w:trHeight w:val="300"/>
        </w:trPr>
        <w:tc>
          <w:tcPr>
            <w:tcW w:w="450" w:type="dxa"/>
            <w:tcBorders>
              <w:top w:val="single" w:sz="4" w:space="0" w:color="auto"/>
            </w:tcBorders>
            <w:noWrap/>
          </w:tcPr>
          <w:p w14:paraId="461F5F6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w:t>
            </w:r>
          </w:p>
        </w:tc>
        <w:tc>
          <w:tcPr>
            <w:tcW w:w="1800" w:type="dxa"/>
            <w:tcBorders>
              <w:top w:val="single" w:sz="4" w:space="0" w:color="auto"/>
            </w:tcBorders>
            <w:noWrap/>
            <w:hideMark/>
          </w:tcPr>
          <w:p w14:paraId="3C9BEDD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Thierry </w:t>
            </w:r>
            <w:r w:rsidRPr="45BA1AAA">
              <w:rPr>
                <w:rFonts w:eastAsia="Times New Roman" w:cs="Times New Roman"/>
                <w:i/>
                <w:iCs/>
                <w:sz w:val="21"/>
                <w:szCs w:val="21"/>
              </w:rPr>
              <w:t>et al.</w:t>
            </w:r>
          </w:p>
        </w:tc>
        <w:tc>
          <w:tcPr>
            <w:tcW w:w="735" w:type="dxa"/>
            <w:tcBorders>
              <w:top w:val="single" w:sz="4" w:space="0" w:color="auto"/>
            </w:tcBorders>
            <w:noWrap/>
            <w:hideMark/>
          </w:tcPr>
          <w:p w14:paraId="44FF97B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1995</w:t>
            </w:r>
          </w:p>
        </w:tc>
        <w:tc>
          <w:tcPr>
            <w:tcW w:w="5205" w:type="dxa"/>
            <w:tcBorders>
              <w:top w:val="single" w:sz="4" w:space="0" w:color="auto"/>
            </w:tcBorders>
            <w:noWrap/>
            <w:hideMark/>
          </w:tcPr>
          <w:p w14:paraId="1C6BF5B7"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Strategic issues in product recovery management</w:t>
            </w:r>
          </w:p>
        </w:tc>
        <w:tc>
          <w:tcPr>
            <w:tcW w:w="1080" w:type="dxa"/>
            <w:tcBorders>
              <w:top w:val="single" w:sz="4" w:space="0" w:color="auto"/>
            </w:tcBorders>
            <w:noWrap/>
            <w:hideMark/>
          </w:tcPr>
          <w:p w14:paraId="74BE23BA"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CMR</w:t>
            </w:r>
          </w:p>
        </w:tc>
      </w:tr>
      <w:tr w:rsidR="007E6BDC" w:rsidRPr="007E6BDC" w14:paraId="72DEBD90" w14:textId="77777777" w:rsidTr="45BA1AAA">
        <w:trPr>
          <w:trHeight w:val="300"/>
        </w:trPr>
        <w:tc>
          <w:tcPr>
            <w:tcW w:w="450" w:type="dxa"/>
            <w:noWrap/>
          </w:tcPr>
          <w:p w14:paraId="2D699C4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w:t>
            </w:r>
          </w:p>
        </w:tc>
        <w:tc>
          <w:tcPr>
            <w:tcW w:w="1800" w:type="dxa"/>
            <w:noWrap/>
            <w:hideMark/>
          </w:tcPr>
          <w:p w14:paraId="479CBFC2" w14:textId="014F240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Carter and </w:t>
            </w:r>
            <w:proofErr w:type="spellStart"/>
            <w:r w:rsidRPr="45BA1AAA">
              <w:rPr>
                <w:rFonts w:eastAsia="Times New Roman" w:cs="Times New Roman"/>
                <w:sz w:val="21"/>
                <w:szCs w:val="21"/>
              </w:rPr>
              <w:t>Ellram</w:t>
            </w:r>
            <w:proofErr w:type="spellEnd"/>
          </w:p>
        </w:tc>
        <w:tc>
          <w:tcPr>
            <w:tcW w:w="735" w:type="dxa"/>
            <w:noWrap/>
            <w:hideMark/>
          </w:tcPr>
          <w:p w14:paraId="63755442"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1998</w:t>
            </w:r>
          </w:p>
        </w:tc>
        <w:tc>
          <w:tcPr>
            <w:tcW w:w="5205" w:type="dxa"/>
            <w:noWrap/>
            <w:hideMark/>
          </w:tcPr>
          <w:p w14:paraId="272E5F90"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Reverse logistics: A review of the literature and framework for future investigation</w:t>
            </w:r>
          </w:p>
        </w:tc>
        <w:tc>
          <w:tcPr>
            <w:tcW w:w="1080" w:type="dxa"/>
            <w:noWrap/>
            <w:hideMark/>
          </w:tcPr>
          <w:p w14:paraId="3914ED42"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JBL</w:t>
            </w:r>
          </w:p>
        </w:tc>
      </w:tr>
      <w:tr w:rsidR="007E6BDC" w:rsidRPr="007E6BDC" w14:paraId="1904B5FA" w14:textId="77777777" w:rsidTr="45BA1AAA">
        <w:trPr>
          <w:trHeight w:val="300"/>
        </w:trPr>
        <w:tc>
          <w:tcPr>
            <w:tcW w:w="450" w:type="dxa"/>
            <w:noWrap/>
          </w:tcPr>
          <w:p w14:paraId="661B2D2E"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3</w:t>
            </w:r>
          </w:p>
        </w:tc>
        <w:tc>
          <w:tcPr>
            <w:tcW w:w="1800" w:type="dxa"/>
            <w:noWrap/>
            <w:hideMark/>
          </w:tcPr>
          <w:p w14:paraId="3BA11EE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Fleischmann </w:t>
            </w:r>
            <w:r w:rsidRPr="45BA1AAA">
              <w:rPr>
                <w:rFonts w:eastAsia="Times New Roman" w:cs="Times New Roman"/>
                <w:i/>
                <w:iCs/>
                <w:sz w:val="21"/>
                <w:szCs w:val="21"/>
              </w:rPr>
              <w:t>et al.</w:t>
            </w:r>
          </w:p>
        </w:tc>
        <w:tc>
          <w:tcPr>
            <w:tcW w:w="735" w:type="dxa"/>
            <w:noWrap/>
            <w:hideMark/>
          </w:tcPr>
          <w:p w14:paraId="2F2B013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2000</w:t>
            </w:r>
          </w:p>
        </w:tc>
        <w:tc>
          <w:tcPr>
            <w:tcW w:w="5205" w:type="dxa"/>
            <w:noWrap/>
            <w:hideMark/>
          </w:tcPr>
          <w:p w14:paraId="1FDAACDE"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A characterization of logistics networks for product recovery </w:t>
            </w:r>
          </w:p>
        </w:tc>
        <w:tc>
          <w:tcPr>
            <w:tcW w:w="1080" w:type="dxa"/>
            <w:noWrap/>
            <w:hideMark/>
          </w:tcPr>
          <w:p w14:paraId="23268D3A"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Omega</w:t>
            </w:r>
          </w:p>
        </w:tc>
      </w:tr>
      <w:tr w:rsidR="007E6BDC" w:rsidRPr="007E6BDC" w14:paraId="0370DD46" w14:textId="77777777" w:rsidTr="45BA1AAA">
        <w:trPr>
          <w:trHeight w:val="300"/>
        </w:trPr>
        <w:tc>
          <w:tcPr>
            <w:tcW w:w="450" w:type="dxa"/>
            <w:noWrap/>
          </w:tcPr>
          <w:p w14:paraId="64C5EB5E"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4</w:t>
            </w:r>
          </w:p>
        </w:tc>
        <w:tc>
          <w:tcPr>
            <w:tcW w:w="1800" w:type="dxa"/>
            <w:noWrap/>
            <w:hideMark/>
          </w:tcPr>
          <w:p w14:paraId="17E3742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Guide </w:t>
            </w:r>
            <w:r w:rsidRPr="45BA1AAA">
              <w:rPr>
                <w:rFonts w:eastAsia="Times New Roman" w:cs="Times New Roman"/>
                <w:i/>
                <w:iCs/>
                <w:sz w:val="21"/>
                <w:szCs w:val="21"/>
              </w:rPr>
              <w:t>et al.</w:t>
            </w:r>
          </w:p>
        </w:tc>
        <w:tc>
          <w:tcPr>
            <w:tcW w:w="735" w:type="dxa"/>
            <w:noWrap/>
            <w:hideMark/>
          </w:tcPr>
          <w:p w14:paraId="0BEBD171"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2000</w:t>
            </w:r>
          </w:p>
        </w:tc>
        <w:tc>
          <w:tcPr>
            <w:tcW w:w="5205" w:type="dxa"/>
            <w:noWrap/>
            <w:hideMark/>
          </w:tcPr>
          <w:p w14:paraId="70CE844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Supply-chain management for recoverable manufacturing systems </w:t>
            </w:r>
          </w:p>
        </w:tc>
        <w:tc>
          <w:tcPr>
            <w:tcW w:w="1080" w:type="dxa"/>
            <w:noWrap/>
            <w:hideMark/>
          </w:tcPr>
          <w:p w14:paraId="3DB5D31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Interfaces</w:t>
            </w:r>
          </w:p>
        </w:tc>
      </w:tr>
      <w:tr w:rsidR="007E6BDC" w:rsidRPr="007E6BDC" w14:paraId="218D4AA8" w14:textId="77777777" w:rsidTr="45BA1AAA">
        <w:trPr>
          <w:trHeight w:val="300"/>
        </w:trPr>
        <w:tc>
          <w:tcPr>
            <w:tcW w:w="450" w:type="dxa"/>
            <w:noWrap/>
          </w:tcPr>
          <w:p w14:paraId="1BE582D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5</w:t>
            </w:r>
          </w:p>
        </w:tc>
        <w:tc>
          <w:tcPr>
            <w:tcW w:w="1800" w:type="dxa"/>
            <w:noWrap/>
            <w:hideMark/>
          </w:tcPr>
          <w:p w14:paraId="4ED89B90"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Dowlatshahi</w:t>
            </w:r>
          </w:p>
        </w:tc>
        <w:tc>
          <w:tcPr>
            <w:tcW w:w="735" w:type="dxa"/>
            <w:noWrap/>
            <w:hideMark/>
          </w:tcPr>
          <w:p w14:paraId="66D4C504"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2000</w:t>
            </w:r>
          </w:p>
        </w:tc>
        <w:tc>
          <w:tcPr>
            <w:tcW w:w="5205" w:type="dxa"/>
            <w:noWrap/>
            <w:hideMark/>
          </w:tcPr>
          <w:p w14:paraId="0B972544"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Developing a theory of reverse logistics</w:t>
            </w:r>
          </w:p>
        </w:tc>
        <w:tc>
          <w:tcPr>
            <w:tcW w:w="1080" w:type="dxa"/>
            <w:noWrap/>
            <w:hideMark/>
          </w:tcPr>
          <w:p w14:paraId="407D4A04"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Interfaces</w:t>
            </w:r>
          </w:p>
        </w:tc>
      </w:tr>
      <w:tr w:rsidR="007E6BDC" w:rsidRPr="007E6BDC" w14:paraId="72EE8A6A" w14:textId="77777777" w:rsidTr="45BA1AAA">
        <w:trPr>
          <w:trHeight w:val="300"/>
        </w:trPr>
        <w:tc>
          <w:tcPr>
            <w:tcW w:w="450" w:type="dxa"/>
            <w:noWrap/>
          </w:tcPr>
          <w:p w14:paraId="4475C24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6</w:t>
            </w:r>
          </w:p>
        </w:tc>
        <w:tc>
          <w:tcPr>
            <w:tcW w:w="1800" w:type="dxa"/>
            <w:noWrap/>
          </w:tcPr>
          <w:p w14:paraId="74AB274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Fleischmann </w:t>
            </w:r>
            <w:r w:rsidRPr="45BA1AAA">
              <w:rPr>
                <w:rFonts w:eastAsia="Times New Roman" w:cs="Times New Roman"/>
                <w:i/>
                <w:iCs/>
                <w:sz w:val="21"/>
                <w:szCs w:val="21"/>
              </w:rPr>
              <w:t>et al.</w:t>
            </w:r>
          </w:p>
        </w:tc>
        <w:tc>
          <w:tcPr>
            <w:tcW w:w="735" w:type="dxa"/>
            <w:noWrap/>
          </w:tcPr>
          <w:p w14:paraId="650F014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2001</w:t>
            </w:r>
          </w:p>
        </w:tc>
        <w:tc>
          <w:tcPr>
            <w:tcW w:w="5205" w:type="dxa"/>
            <w:noWrap/>
          </w:tcPr>
          <w:p w14:paraId="0BB0A7AF"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The impact of product recovery on logistics network design</w:t>
            </w:r>
          </w:p>
        </w:tc>
        <w:tc>
          <w:tcPr>
            <w:tcW w:w="1080" w:type="dxa"/>
            <w:noWrap/>
          </w:tcPr>
          <w:p w14:paraId="131DA27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POM</w:t>
            </w:r>
          </w:p>
        </w:tc>
      </w:tr>
      <w:tr w:rsidR="007E6BDC" w:rsidRPr="007E6BDC" w14:paraId="6A4F6DA7" w14:textId="77777777" w:rsidTr="45BA1AAA">
        <w:trPr>
          <w:trHeight w:val="300"/>
        </w:trPr>
        <w:tc>
          <w:tcPr>
            <w:tcW w:w="450" w:type="dxa"/>
            <w:noWrap/>
          </w:tcPr>
          <w:p w14:paraId="444106E2"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7</w:t>
            </w:r>
          </w:p>
        </w:tc>
        <w:tc>
          <w:tcPr>
            <w:tcW w:w="1800" w:type="dxa"/>
            <w:noWrap/>
            <w:hideMark/>
          </w:tcPr>
          <w:p w14:paraId="0DB1E80B" w14:textId="643F75DD" w:rsidR="007E6BDC" w:rsidRPr="007E6BDC" w:rsidRDefault="45BA1AAA" w:rsidP="45BA1AAA">
            <w:pPr>
              <w:rPr>
                <w:rFonts w:eastAsia="Times New Roman" w:cs="Times New Roman"/>
                <w:sz w:val="21"/>
                <w:szCs w:val="21"/>
                <w:highlight w:val="yellow"/>
              </w:rPr>
            </w:pPr>
            <w:r w:rsidRPr="45BA1AAA">
              <w:rPr>
                <w:rFonts w:eastAsia="Times New Roman" w:cs="Times New Roman"/>
                <w:sz w:val="21"/>
                <w:szCs w:val="21"/>
              </w:rPr>
              <w:t>Rogers and Tibben-Lembke</w:t>
            </w:r>
          </w:p>
        </w:tc>
        <w:tc>
          <w:tcPr>
            <w:tcW w:w="735" w:type="dxa"/>
            <w:noWrap/>
            <w:hideMark/>
          </w:tcPr>
          <w:p w14:paraId="7D1F9C9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2001</w:t>
            </w:r>
          </w:p>
        </w:tc>
        <w:tc>
          <w:tcPr>
            <w:tcW w:w="5205" w:type="dxa"/>
            <w:noWrap/>
            <w:hideMark/>
          </w:tcPr>
          <w:p w14:paraId="40C7990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An examination of reverse logistics practices</w:t>
            </w:r>
          </w:p>
        </w:tc>
        <w:tc>
          <w:tcPr>
            <w:tcW w:w="1080" w:type="dxa"/>
            <w:noWrap/>
            <w:hideMark/>
          </w:tcPr>
          <w:p w14:paraId="4446C70F"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JBL</w:t>
            </w:r>
          </w:p>
        </w:tc>
      </w:tr>
      <w:tr w:rsidR="007E6BDC" w:rsidRPr="007E6BDC" w14:paraId="3AA3C6C8" w14:textId="77777777" w:rsidTr="45BA1AAA">
        <w:trPr>
          <w:trHeight w:val="300"/>
        </w:trPr>
        <w:tc>
          <w:tcPr>
            <w:tcW w:w="450" w:type="dxa"/>
            <w:noWrap/>
          </w:tcPr>
          <w:p w14:paraId="042E8C6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8</w:t>
            </w:r>
          </w:p>
        </w:tc>
        <w:tc>
          <w:tcPr>
            <w:tcW w:w="1800" w:type="dxa"/>
            <w:noWrap/>
            <w:hideMark/>
          </w:tcPr>
          <w:p w14:paraId="08CCA150"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Rogers </w:t>
            </w:r>
            <w:r w:rsidRPr="45BA1AAA">
              <w:rPr>
                <w:rFonts w:eastAsia="Times New Roman" w:cs="Times New Roman"/>
                <w:i/>
                <w:iCs/>
                <w:sz w:val="21"/>
                <w:szCs w:val="21"/>
              </w:rPr>
              <w:t>et al.</w:t>
            </w:r>
          </w:p>
        </w:tc>
        <w:tc>
          <w:tcPr>
            <w:tcW w:w="735" w:type="dxa"/>
            <w:noWrap/>
            <w:hideMark/>
          </w:tcPr>
          <w:p w14:paraId="2D552A6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2002</w:t>
            </w:r>
          </w:p>
        </w:tc>
        <w:tc>
          <w:tcPr>
            <w:tcW w:w="5205" w:type="dxa"/>
            <w:noWrap/>
            <w:hideMark/>
          </w:tcPr>
          <w:p w14:paraId="37481E3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The demand management process</w:t>
            </w:r>
          </w:p>
        </w:tc>
        <w:tc>
          <w:tcPr>
            <w:tcW w:w="1080" w:type="dxa"/>
            <w:noWrap/>
            <w:hideMark/>
          </w:tcPr>
          <w:p w14:paraId="64BCD0D1"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IJLM</w:t>
            </w:r>
          </w:p>
        </w:tc>
      </w:tr>
      <w:tr w:rsidR="007E6BDC" w:rsidRPr="007E6BDC" w14:paraId="46645EFB" w14:textId="77777777" w:rsidTr="45BA1AAA">
        <w:trPr>
          <w:trHeight w:val="300"/>
        </w:trPr>
        <w:tc>
          <w:tcPr>
            <w:tcW w:w="450" w:type="dxa"/>
            <w:noWrap/>
          </w:tcPr>
          <w:p w14:paraId="380DACD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9</w:t>
            </w:r>
          </w:p>
        </w:tc>
        <w:tc>
          <w:tcPr>
            <w:tcW w:w="1800" w:type="dxa"/>
            <w:noWrap/>
            <w:hideMark/>
          </w:tcPr>
          <w:p w14:paraId="7FAD7BB0" w14:textId="36EFC63D"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Ferrer and </w:t>
            </w:r>
            <w:proofErr w:type="spellStart"/>
            <w:r w:rsidRPr="45BA1AAA">
              <w:rPr>
                <w:rFonts w:eastAsia="Times New Roman" w:cs="Times New Roman"/>
                <w:sz w:val="21"/>
                <w:szCs w:val="21"/>
              </w:rPr>
              <w:t>Ketzenberg</w:t>
            </w:r>
            <w:proofErr w:type="spellEnd"/>
          </w:p>
        </w:tc>
        <w:tc>
          <w:tcPr>
            <w:tcW w:w="735" w:type="dxa"/>
            <w:noWrap/>
            <w:hideMark/>
          </w:tcPr>
          <w:p w14:paraId="3D6F143C"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2004</w:t>
            </w:r>
          </w:p>
        </w:tc>
        <w:tc>
          <w:tcPr>
            <w:tcW w:w="5205" w:type="dxa"/>
            <w:noWrap/>
            <w:hideMark/>
          </w:tcPr>
          <w:p w14:paraId="69682107"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Value of information in remanufacturing complex products</w:t>
            </w:r>
          </w:p>
        </w:tc>
        <w:tc>
          <w:tcPr>
            <w:tcW w:w="1080" w:type="dxa"/>
            <w:noWrap/>
            <w:hideMark/>
          </w:tcPr>
          <w:p w14:paraId="5AC8049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IIET</w:t>
            </w:r>
          </w:p>
        </w:tc>
      </w:tr>
      <w:tr w:rsidR="007E6BDC" w:rsidRPr="007E6BDC" w14:paraId="1F31031C" w14:textId="77777777" w:rsidTr="45BA1AAA">
        <w:trPr>
          <w:trHeight w:val="300"/>
        </w:trPr>
        <w:tc>
          <w:tcPr>
            <w:tcW w:w="450" w:type="dxa"/>
            <w:noWrap/>
          </w:tcPr>
          <w:p w14:paraId="139CAC6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10</w:t>
            </w:r>
          </w:p>
        </w:tc>
        <w:tc>
          <w:tcPr>
            <w:tcW w:w="1800" w:type="dxa"/>
            <w:noWrap/>
          </w:tcPr>
          <w:p w14:paraId="7C8E0656" w14:textId="77777777" w:rsidR="007E6BDC" w:rsidRPr="007E6BDC" w:rsidRDefault="45BA1AAA" w:rsidP="45BA1AAA">
            <w:pPr>
              <w:rPr>
                <w:rFonts w:eastAsia="Times New Roman" w:cs="Times New Roman"/>
                <w:sz w:val="21"/>
                <w:szCs w:val="21"/>
              </w:rPr>
            </w:pPr>
            <w:proofErr w:type="spellStart"/>
            <w:r w:rsidRPr="45BA1AAA">
              <w:rPr>
                <w:rFonts w:eastAsia="Times New Roman" w:cs="Times New Roman"/>
                <w:sz w:val="21"/>
                <w:szCs w:val="21"/>
              </w:rPr>
              <w:t>Ketzenberg</w:t>
            </w:r>
            <w:proofErr w:type="spellEnd"/>
            <w:r w:rsidRPr="45BA1AAA">
              <w:rPr>
                <w:rFonts w:eastAsia="Times New Roman" w:cs="Times New Roman"/>
                <w:sz w:val="21"/>
                <w:szCs w:val="21"/>
              </w:rPr>
              <w:t xml:space="preserve"> </w:t>
            </w:r>
            <w:r w:rsidRPr="45BA1AAA">
              <w:rPr>
                <w:rFonts w:eastAsia="Times New Roman" w:cs="Times New Roman"/>
                <w:i/>
                <w:iCs/>
                <w:sz w:val="21"/>
                <w:szCs w:val="21"/>
              </w:rPr>
              <w:t>et al.</w:t>
            </w:r>
          </w:p>
        </w:tc>
        <w:tc>
          <w:tcPr>
            <w:tcW w:w="735" w:type="dxa"/>
            <w:noWrap/>
          </w:tcPr>
          <w:p w14:paraId="6F96102B"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2006</w:t>
            </w:r>
          </w:p>
        </w:tc>
        <w:tc>
          <w:tcPr>
            <w:tcW w:w="5205" w:type="dxa"/>
            <w:noWrap/>
          </w:tcPr>
          <w:p w14:paraId="6AF7366F"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Value of information in closed loop supply chains</w:t>
            </w:r>
          </w:p>
        </w:tc>
        <w:tc>
          <w:tcPr>
            <w:tcW w:w="1080" w:type="dxa"/>
            <w:noWrap/>
          </w:tcPr>
          <w:p w14:paraId="28F0210F"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POM</w:t>
            </w:r>
          </w:p>
        </w:tc>
      </w:tr>
      <w:tr w:rsidR="007E6BDC" w:rsidRPr="007E6BDC" w14:paraId="116C2DEF" w14:textId="77777777" w:rsidTr="45BA1AAA">
        <w:trPr>
          <w:trHeight w:val="300"/>
        </w:trPr>
        <w:tc>
          <w:tcPr>
            <w:tcW w:w="450" w:type="dxa"/>
            <w:noWrap/>
          </w:tcPr>
          <w:p w14:paraId="365107AA"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11</w:t>
            </w:r>
          </w:p>
        </w:tc>
        <w:tc>
          <w:tcPr>
            <w:tcW w:w="1800" w:type="dxa"/>
            <w:noWrap/>
            <w:hideMark/>
          </w:tcPr>
          <w:p w14:paraId="5D9FCAF7" w14:textId="77777777" w:rsidR="007E6BDC" w:rsidRPr="007E6BDC" w:rsidRDefault="45BA1AAA" w:rsidP="45BA1AAA">
            <w:pPr>
              <w:rPr>
                <w:rFonts w:eastAsia="Times New Roman" w:cs="Times New Roman"/>
                <w:sz w:val="21"/>
                <w:szCs w:val="21"/>
              </w:rPr>
            </w:pPr>
            <w:proofErr w:type="gramStart"/>
            <w:r w:rsidRPr="45BA1AAA">
              <w:rPr>
                <w:rFonts w:eastAsia="Times New Roman" w:cs="Times New Roman"/>
                <w:sz w:val="21"/>
                <w:szCs w:val="21"/>
              </w:rPr>
              <w:t>Stock</w:t>
            </w:r>
            <w:proofErr w:type="gramEnd"/>
            <w:r w:rsidRPr="45BA1AAA">
              <w:rPr>
                <w:rFonts w:eastAsia="Times New Roman" w:cs="Times New Roman"/>
                <w:sz w:val="21"/>
                <w:szCs w:val="21"/>
              </w:rPr>
              <w:t xml:space="preserve"> </w:t>
            </w:r>
            <w:r w:rsidRPr="45BA1AAA">
              <w:rPr>
                <w:rFonts w:eastAsia="Times New Roman" w:cs="Times New Roman"/>
                <w:i/>
                <w:iCs/>
                <w:sz w:val="21"/>
                <w:szCs w:val="21"/>
              </w:rPr>
              <w:t>et al.</w:t>
            </w:r>
          </w:p>
        </w:tc>
        <w:tc>
          <w:tcPr>
            <w:tcW w:w="735" w:type="dxa"/>
            <w:noWrap/>
            <w:hideMark/>
          </w:tcPr>
          <w:p w14:paraId="563A472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2006</w:t>
            </w:r>
          </w:p>
        </w:tc>
        <w:tc>
          <w:tcPr>
            <w:tcW w:w="5205" w:type="dxa"/>
            <w:noWrap/>
            <w:hideMark/>
          </w:tcPr>
          <w:p w14:paraId="14C7E8A7"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Managing product returns for competitive advantage </w:t>
            </w:r>
          </w:p>
        </w:tc>
        <w:tc>
          <w:tcPr>
            <w:tcW w:w="1080" w:type="dxa"/>
            <w:noWrap/>
            <w:hideMark/>
          </w:tcPr>
          <w:p w14:paraId="5435077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MITSMR</w:t>
            </w:r>
          </w:p>
        </w:tc>
      </w:tr>
      <w:tr w:rsidR="007E6BDC" w:rsidRPr="007E6BDC" w14:paraId="72180B2E" w14:textId="77777777" w:rsidTr="45BA1AAA">
        <w:trPr>
          <w:trHeight w:val="300"/>
        </w:trPr>
        <w:tc>
          <w:tcPr>
            <w:tcW w:w="450" w:type="dxa"/>
            <w:noWrap/>
          </w:tcPr>
          <w:p w14:paraId="7E2AEB2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12</w:t>
            </w:r>
          </w:p>
        </w:tc>
        <w:tc>
          <w:tcPr>
            <w:tcW w:w="1800" w:type="dxa"/>
            <w:noWrap/>
            <w:hideMark/>
          </w:tcPr>
          <w:p w14:paraId="4F8C6CB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Srivastava</w:t>
            </w:r>
          </w:p>
        </w:tc>
        <w:tc>
          <w:tcPr>
            <w:tcW w:w="735" w:type="dxa"/>
            <w:noWrap/>
            <w:hideMark/>
          </w:tcPr>
          <w:p w14:paraId="5933AD2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2007</w:t>
            </w:r>
          </w:p>
        </w:tc>
        <w:tc>
          <w:tcPr>
            <w:tcW w:w="5205" w:type="dxa"/>
            <w:noWrap/>
            <w:hideMark/>
          </w:tcPr>
          <w:p w14:paraId="2E878B7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Green supply-chain management: A state-of-</w:t>
            </w:r>
            <w:r w:rsidR="50B5A393">
              <w:br/>
            </w:r>
            <w:r w:rsidRPr="45BA1AAA">
              <w:rPr>
                <w:rFonts w:eastAsia="Times New Roman" w:cs="Times New Roman"/>
                <w:sz w:val="21"/>
                <w:szCs w:val="21"/>
              </w:rPr>
              <w:t>the-art literature review</w:t>
            </w:r>
          </w:p>
        </w:tc>
        <w:tc>
          <w:tcPr>
            <w:tcW w:w="1080" w:type="dxa"/>
            <w:noWrap/>
            <w:hideMark/>
          </w:tcPr>
          <w:p w14:paraId="20FF02B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IJMR</w:t>
            </w:r>
          </w:p>
        </w:tc>
      </w:tr>
      <w:tr w:rsidR="007E6BDC" w:rsidRPr="007E6BDC" w14:paraId="6CF631CC" w14:textId="77777777" w:rsidTr="45BA1AAA">
        <w:trPr>
          <w:trHeight w:val="300"/>
        </w:trPr>
        <w:tc>
          <w:tcPr>
            <w:tcW w:w="450" w:type="dxa"/>
            <w:noWrap/>
          </w:tcPr>
          <w:p w14:paraId="1F71E8B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13</w:t>
            </w:r>
          </w:p>
        </w:tc>
        <w:tc>
          <w:tcPr>
            <w:tcW w:w="1800" w:type="dxa"/>
            <w:noWrap/>
            <w:hideMark/>
          </w:tcPr>
          <w:p w14:paraId="6FF9517A"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Rubio </w:t>
            </w:r>
            <w:r w:rsidRPr="45BA1AAA">
              <w:rPr>
                <w:rFonts w:eastAsia="Times New Roman" w:cs="Times New Roman"/>
                <w:i/>
                <w:iCs/>
                <w:sz w:val="21"/>
                <w:szCs w:val="21"/>
              </w:rPr>
              <w:t>et al.</w:t>
            </w:r>
          </w:p>
        </w:tc>
        <w:tc>
          <w:tcPr>
            <w:tcW w:w="735" w:type="dxa"/>
            <w:noWrap/>
            <w:hideMark/>
          </w:tcPr>
          <w:p w14:paraId="4AB79A7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2008</w:t>
            </w:r>
          </w:p>
        </w:tc>
        <w:tc>
          <w:tcPr>
            <w:tcW w:w="5205" w:type="dxa"/>
            <w:noWrap/>
            <w:hideMark/>
          </w:tcPr>
          <w:p w14:paraId="00ADF631"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Characteristics of the research on reverse logistics (1995–2005)</w:t>
            </w:r>
          </w:p>
        </w:tc>
        <w:tc>
          <w:tcPr>
            <w:tcW w:w="1080" w:type="dxa"/>
            <w:noWrap/>
            <w:hideMark/>
          </w:tcPr>
          <w:p w14:paraId="2CCA6E4C"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IJPR</w:t>
            </w:r>
          </w:p>
        </w:tc>
      </w:tr>
      <w:tr w:rsidR="007E6BDC" w:rsidRPr="007E6BDC" w14:paraId="114664DA" w14:textId="77777777" w:rsidTr="45BA1AAA">
        <w:trPr>
          <w:trHeight w:val="300"/>
        </w:trPr>
        <w:tc>
          <w:tcPr>
            <w:tcW w:w="450" w:type="dxa"/>
            <w:noWrap/>
          </w:tcPr>
          <w:p w14:paraId="3BE162CC"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14</w:t>
            </w:r>
          </w:p>
        </w:tc>
        <w:tc>
          <w:tcPr>
            <w:tcW w:w="1800" w:type="dxa"/>
            <w:noWrap/>
            <w:hideMark/>
          </w:tcPr>
          <w:p w14:paraId="5097FBC2"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Srivastava</w:t>
            </w:r>
          </w:p>
        </w:tc>
        <w:tc>
          <w:tcPr>
            <w:tcW w:w="735" w:type="dxa"/>
            <w:noWrap/>
            <w:hideMark/>
          </w:tcPr>
          <w:p w14:paraId="71A21E8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2008</w:t>
            </w:r>
          </w:p>
        </w:tc>
        <w:tc>
          <w:tcPr>
            <w:tcW w:w="5205" w:type="dxa"/>
            <w:noWrap/>
            <w:hideMark/>
          </w:tcPr>
          <w:p w14:paraId="737A5E8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Network design for reverse logistics</w:t>
            </w:r>
          </w:p>
        </w:tc>
        <w:tc>
          <w:tcPr>
            <w:tcW w:w="1080" w:type="dxa"/>
            <w:noWrap/>
            <w:hideMark/>
          </w:tcPr>
          <w:p w14:paraId="388995D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Omega</w:t>
            </w:r>
          </w:p>
        </w:tc>
      </w:tr>
      <w:tr w:rsidR="007E6BDC" w:rsidRPr="007E6BDC" w14:paraId="68CB689E" w14:textId="77777777" w:rsidTr="45BA1AAA">
        <w:trPr>
          <w:trHeight w:val="300"/>
        </w:trPr>
        <w:tc>
          <w:tcPr>
            <w:tcW w:w="450" w:type="dxa"/>
            <w:noWrap/>
          </w:tcPr>
          <w:p w14:paraId="5497A974"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15</w:t>
            </w:r>
          </w:p>
        </w:tc>
        <w:tc>
          <w:tcPr>
            <w:tcW w:w="1800" w:type="dxa"/>
            <w:noWrap/>
            <w:hideMark/>
          </w:tcPr>
          <w:p w14:paraId="594CB210" w14:textId="602AF6A4" w:rsidR="007E6BDC" w:rsidRPr="007E6BDC" w:rsidRDefault="45BA1AAA" w:rsidP="45BA1AAA">
            <w:pPr>
              <w:rPr>
                <w:rFonts w:eastAsia="Times New Roman" w:cs="Times New Roman"/>
                <w:sz w:val="21"/>
                <w:szCs w:val="21"/>
              </w:rPr>
            </w:pPr>
            <w:r w:rsidRPr="45BA1AAA">
              <w:rPr>
                <w:rFonts w:eastAsia="Times New Roman" w:cs="Times New Roman"/>
                <w:sz w:val="21"/>
                <w:szCs w:val="21"/>
              </w:rPr>
              <w:t>Pokharel and Mutha</w:t>
            </w:r>
          </w:p>
        </w:tc>
        <w:tc>
          <w:tcPr>
            <w:tcW w:w="735" w:type="dxa"/>
            <w:noWrap/>
            <w:hideMark/>
          </w:tcPr>
          <w:p w14:paraId="6E57F15E"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2009</w:t>
            </w:r>
          </w:p>
        </w:tc>
        <w:tc>
          <w:tcPr>
            <w:tcW w:w="5205" w:type="dxa"/>
            <w:noWrap/>
            <w:hideMark/>
          </w:tcPr>
          <w:p w14:paraId="3ED3900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Perspectives in reverse logistics: A review</w:t>
            </w:r>
          </w:p>
        </w:tc>
        <w:tc>
          <w:tcPr>
            <w:tcW w:w="1080" w:type="dxa"/>
            <w:noWrap/>
            <w:hideMark/>
          </w:tcPr>
          <w:p w14:paraId="5548E6CF"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RCR</w:t>
            </w:r>
          </w:p>
        </w:tc>
      </w:tr>
      <w:tr w:rsidR="007E6BDC" w:rsidRPr="007E6BDC" w14:paraId="5EF8EF00" w14:textId="77777777" w:rsidTr="45BA1AAA">
        <w:trPr>
          <w:trHeight w:val="300"/>
        </w:trPr>
        <w:tc>
          <w:tcPr>
            <w:tcW w:w="450" w:type="dxa"/>
            <w:noWrap/>
          </w:tcPr>
          <w:p w14:paraId="5E7951EF"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16</w:t>
            </w:r>
          </w:p>
        </w:tc>
        <w:tc>
          <w:tcPr>
            <w:tcW w:w="1800" w:type="dxa"/>
            <w:noWrap/>
            <w:hideMark/>
          </w:tcPr>
          <w:p w14:paraId="6F49242C" w14:textId="4FC4007C"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Guide and Van </w:t>
            </w:r>
            <w:proofErr w:type="spellStart"/>
            <w:r w:rsidRPr="45BA1AAA">
              <w:rPr>
                <w:rFonts w:eastAsia="Times New Roman" w:cs="Times New Roman"/>
                <w:sz w:val="21"/>
                <w:szCs w:val="21"/>
              </w:rPr>
              <w:t>Wassenhove</w:t>
            </w:r>
            <w:proofErr w:type="spellEnd"/>
          </w:p>
        </w:tc>
        <w:tc>
          <w:tcPr>
            <w:tcW w:w="735" w:type="dxa"/>
            <w:noWrap/>
            <w:hideMark/>
          </w:tcPr>
          <w:p w14:paraId="63FDB0D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2009</w:t>
            </w:r>
          </w:p>
        </w:tc>
        <w:tc>
          <w:tcPr>
            <w:tcW w:w="5205" w:type="dxa"/>
            <w:noWrap/>
            <w:hideMark/>
          </w:tcPr>
          <w:p w14:paraId="1675B72B"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The evolution of closed-loop supply chain research</w:t>
            </w:r>
          </w:p>
        </w:tc>
        <w:tc>
          <w:tcPr>
            <w:tcW w:w="1080" w:type="dxa"/>
            <w:noWrap/>
            <w:hideMark/>
          </w:tcPr>
          <w:p w14:paraId="3D00B3A7"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OR</w:t>
            </w:r>
          </w:p>
        </w:tc>
      </w:tr>
      <w:tr w:rsidR="007E6BDC" w:rsidRPr="007E6BDC" w14:paraId="2452CBB0" w14:textId="77777777" w:rsidTr="45BA1AAA">
        <w:trPr>
          <w:trHeight w:val="300"/>
        </w:trPr>
        <w:tc>
          <w:tcPr>
            <w:tcW w:w="450" w:type="dxa"/>
            <w:noWrap/>
          </w:tcPr>
          <w:p w14:paraId="0EF5AAF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17</w:t>
            </w:r>
          </w:p>
        </w:tc>
        <w:tc>
          <w:tcPr>
            <w:tcW w:w="1800" w:type="dxa"/>
            <w:noWrap/>
            <w:hideMark/>
          </w:tcPr>
          <w:p w14:paraId="01ACA904" w14:textId="06B14890" w:rsidR="007E6BDC" w:rsidRPr="007E6BDC" w:rsidRDefault="45BA1AAA" w:rsidP="45BA1AAA">
            <w:pPr>
              <w:rPr>
                <w:rFonts w:eastAsia="Times New Roman" w:cs="Times New Roman"/>
                <w:sz w:val="21"/>
                <w:szCs w:val="21"/>
              </w:rPr>
            </w:pPr>
            <w:r w:rsidRPr="45BA1AAA">
              <w:rPr>
                <w:rFonts w:eastAsia="Times New Roman" w:cs="Times New Roman"/>
                <w:sz w:val="21"/>
                <w:szCs w:val="21"/>
              </w:rPr>
              <w:t>Stock and Mulki</w:t>
            </w:r>
          </w:p>
        </w:tc>
        <w:tc>
          <w:tcPr>
            <w:tcW w:w="735" w:type="dxa"/>
            <w:noWrap/>
            <w:hideMark/>
          </w:tcPr>
          <w:p w14:paraId="57DCA56A"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2009</w:t>
            </w:r>
          </w:p>
        </w:tc>
        <w:tc>
          <w:tcPr>
            <w:tcW w:w="5205" w:type="dxa"/>
            <w:noWrap/>
            <w:hideMark/>
          </w:tcPr>
          <w:p w14:paraId="46C2BEBC"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Product returns processing: An examination of practices of manufacturers, wholesalers/distributors, and retailers</w:t>
            </w:r>
          </w:p>
        </w:tc>
        <w:tc>
          <w:tcPr>
            <w:tcW w:w="1080" w:type="dxa"/>
            <w:noWrap/>
            <w:hideMark/>
          </w:tcPr>
          <w:p w14:paraId="381BFA01"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JBL</w:t>
            </w:r>
          </w:p>
        </w:tc>
      </w:tr>
      <w:tr w:rsidR="0064608D" w:rsidRPr="007E6BDC" w14:paraId="1D332441" w14:textId="77777777" w:rsidTr="45BA1AAA">
        <w:trPr>
          <w:trHeight w:val="300"/>
        </w:trPr>
        <w:tc>
          <w:tcPr>
            <w:tcW w:w="450" w:type="dxa"/>
            <w:noWrap/>
          </w:tcPr>
          <w:p w14:paraId="0F9077C1" w14:textId="21F52D29" w:rsidR="0064608D" w:rsidRPr="007E6BDC" w:rsidRDefault="45BA1AAA" w:rsidP="45BA1AAA">
            <w:pPr>
              <w:rPr>
                <w:rFonts w:eastAsia="Times New Roman" w:cs="Times New Roman"/>
                <w:sz w:val="21"/>
                <w:szCs w:val="21"/>
              </w:rPr>
            </w:pPr>
            <w:r w:rsidRPr="45BA1AAA">
              <w:rPr>
                <w:rFonts w:eastAsia="Times New Roman" w:cs="Times New Roman"/>
                <w:sz w:val="21"/>
                <w:szCs w:val="21"/>
              </w:rPr>
              <w:t>18</w:t>
            </w:r>
          </w:p>
        </w:tc>
        <w:tc>
          <w:tcPr>
            <w:tcW w:w="1800" w:type="dxa"/>
            <w:noWrap/>
          </w:tcPr>
          <w:p w14:paraId="344EE9E0" w14:textId="16112A22" w:rsidR="0064608D" w:rsidRPr="007E6BDC" w:rsidRDefault="45BA1AAA" w:rsidP="45BA1AAA">
            <w:pPr>
              <w:rPr>
                <w:rFonts w:eastAsia="Times New Roman" w:cs="Times New Roman"/>
                <w:sz w:val="21"/>
                <w:szCs w:val="21"/>
              </w:rPr>
            </w:pPr>
            <w:r w:rsidRPr="45BA1AAA">
              <w:rPr>
                <w:rFonts w:eastAsia="Times New Roman" w:cs="Times New Roman"/>
                <w:sz w:val="21"/>
                <w:szCs w:val="21"/>
              </w:rPr>
              <w:t xml:space="preserve">Bernon </w:t>
            </w:r>
            <w:r w:rsidRPr="45BA1AAA">
              <w:rPr>
                <w:rFonts w:eastAsia="Times New Roman" w:cs="Times New Roman"/>
                <w:i/>
                <w:iCs/>
                <w:sz w:val="21"/>
                <w:szCs w:val="21"/>
              </w:rPr>
              <w:t>et al.</w:t>
            </w:r>
          </w:p>
        </w:tc>
        <w:tc>
          <w:tcPr>
            <w:tcW w:w="735" w:type="dxa"/>
            <w:noWrap/>
          </w:tcPr>
          <w:p w14:paraId="526F0A25" w14:textId="491C9962" w:rsidR="0064608D" w:rsidRPr="007E6BDC" w:rsidRDefault="45BA1AAA" w:rsidP="45BA1AAA">
            <w:pPr>
              <w:rPr>
                <w:rFonts w:eastAsia="Times New Roman" w:cs="Times New Roman"/>
                <w:sz w:val="21"/>
                <w:szCs w:val="21"/>
              </w:rPr>
            </w:pPr>
            <w:r w:rsidRPr="45BA1AAA">
              <w:rPr>
                <w:rFonts w:eastAsia="Times New Roman" w:cs="Times New Roman"/>
                <w:sz w:val="21"/>
                <w:szCs w:val="21"/>
              </w:rPr>
              <w:t>2011</w:t>
            </w:r>
          </w:p>
        </w:tc>
        <w:tc>
          <w:tcPr>
            <w:tcW w:w="5205" w:type="dxa"/>
            <w:noWrap/>
          </w:tcPr>
          <w:p w14:paraId="08E50A22" w14:textId="4C5AB478" w:rsidR="0064608D" w:rsidRPr="00A3182C" w:rsidRDefault="45BA1AAA" w:rsidP="45BA1AAA">
            <w:pPr>
              <w:rPr>
                <w:rFonts w:eastAsia="Times New Roman" w:cs="Times New Roman"/>
                <w:sz w:val="21"/>
                <w:szCs w:val="21"/>
              </w:rPr>
            </w:pPr>
            <w:r w:rsidRPr="45BA1AAA">
              <w:rPr>
                <w:rFonts w:eastAsia="Times New Roman" w:cs="Times New Roman"/>
                <w:sz w:val="21"/>
                <w:szCs w:val="21"/>
              </w:rPr>
              <w:t>Retail reverse logistics: a call and grounding framework for</w:t>
            </w:r>
            <w:r w:rsidR="50B5A393">
              <w:br/>
            </w:r>
            <w:r w:rsidRPr="45BA1AAA">
              <w:rPr>
                <w:rFonts w:eastAsia="Times New Roman" w:cs="Times New Roman"/>
                <w:sz w:val="21"/>
                <w:szCs w:val="21"/>
              </w:rPr>
              <w:t>research</w:t>
            </w:r>
          </w:p>
        </w:tc>
        <w:tc>
          <w:tcPr>
            <w:tcW w:w="1080" w:type="dxa"/>
            <w:noWrap/>
          </w:tcPr>
          <w:p w14:paraId="55C261EA" w14:textId="6F1A60B2" w:rsidR="0064608D" w:rsidRPr="007E6BDC" w:rsidRDefault="45BA1AAA" w:rsidP="45BA1AAA">
            <w:pPr>
              <w:rPr>
                <w:rFonts w:eastAsia="Times New Roman" w:cs="Times New Roman"/>
                <w:sz w:val="21"/>
                <w:szCs w:val="21"/>
              </w:rPr>
            </w:pPr>
            <w:r w:rsidRPr="45BA1AAA">
              <w:rPr>
                <w:rFonts w:eastAsia="Times New Roman" w:cs="Times New Roman"/>
                <w:sz w:val="21"/>
                <w:szCs w:val="21"/>
              </w:rPr>
              <w:t>IJPDLM</w:t>
            </w:r>
          </w:p>
        </w:tc>
      </w:tr>
      <w:tr w:rsidR="007E6BDC" w:rsidRPr="007E6BDC" w14:paraId="53AA81E3" w14:textId="77777777" w:rsidTr="45BA1AAA">
        <w:trPr>
          <w:trHeight w:val="300"/>
        </w:trPr>
        <w:tc>
          <w:tcPr>
            <w:tcW w:w="450" w:type="dxa"/>
            <w:noWrap/>
          </w:tcPr>
          <w:p w14:paraId="175CD1D1" w14:textId="7CBA1384" w:rsidR="007E6BDC" w:rsidRPr="007E6BDC" w:rsidRDefault="45BA1AAA" w:rsidP="45BA1AAA">
            <w:pPr>
              <w:rPr>
                <w:rFonts w:eastAsia="Times New Roman" w:cs="Times New Roman"/>
                <w:sz w:val="21"/>
                <w:szCs w:val="21"/>
              </w:rPr>
            </w:pPr>
            <w:r w:rsidRPr="45BA1AAA">
              <w:rPr>
                <w:rFonts w:eastAsia="Times New Roman" w:cs="Times New Roman"/>
                <w:sz w:val="21"/>
                <w:szCs w:val="21"/>
              </w:rPr>
              <w:t>19</w:t>
            </w:r>
          </w:p>
        </w:tc>
        <w:tc>
          <w:tcPr>
            <w:tcW w:w="1800" w:type="dxa"/>
            <w:noWrap/>
            <w:hideMark/>
          </w:tcPr>
          <w:p w14:paraId="5EE9FF3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Hazen </w:t>
            </w:r>
            <w:r w:rsidRPr="45BA1AAA">
              <w:rPr>
                <w:rFonts w:eastAsia="Times New Roman" w:cs="Times New Roman"/>
                <w:i/>
                <w:iCs/>
                <w:sz w:val="21"/>
                <w:szCs w:val="21"/>
              </w:rPr>
              <w:t>et al.</w:t>
            </w:r>
          </w:p>
        </w:tc>
        <w:tc>
          <w:tcPr>
            <w:tcW w:w="735" w:type="dxa"/>
            <w:noWrap/>
            <w:hideMark/>
          </w:tcPr>
          <w:p w14:paraId="51F0B4F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2011</w:t>
            </w:r>
          </w:p>
        </w:tc>
        <w:tc>
          <w:tcPr>
            <w:tcW w:w="5205" w:type="dxa"/>
            <w:noWrap/>
            <w:hideMark/>
          </w:tcPr>
          <w:p w14:paraId="1A5BA60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Diffusion of green supply chain management: examining perceived quality of green reverse logistics</w:t>
            </w:r>
          </w:p>
        </w:tc>
        <w:tc>
          <w:tcPr>
            <w:tcW w:w="1080" w:type="dxa"/>
            <w:noWrap/>
            <w:hideMark/>
          </w:tcPr>
          <w:p w14:paraId="48FE024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IJLM</w:t>
            </w:r>
          </w:p>
        </w:tc>
      </w:tr>
      <w:tr w:rsidR="007E6BDC" w:rsidRPr="007E6BDC" w14:paraId="1923F023" w14:textId="77777777" w:rsidTr="45BA1AAA">
        <w:trPr>
          <w:trHeight w:val="300"/>
        </w:trPr>
        <w:tc>
          <w:tcPr>
            <w:tcW w:w="450" w:type="dxa"/>
            <w:noWrap/>
          </w:tcPr>
          <w:p w14:paraId="4F45B35C" w14:textId="2A2E7F17" w:rsidR="007E6BDC" w:rsidRPr="007E6BDC" w:rsidRDefault="45BA1AAA" w:rsidP="45BA1AAA">
            <w:pPr>
              <w:rPr>
                <w:rFonts w:eastAsia="Times New Roman" w:cs="Times New Roman"/>
                <w:sz w:val="21"/>
                <w:szCs w:val="21"/>
              </w:rPr>
            </w:pPr>
            <w:r w:rsidRPr="45BA1AAA">
              <w:rPr>
                <w:rFonts w:eastAsia="Times New Roman" w:cs="Times New Roman"/>
                <w:sz w:val="21"/>
                <w:szCs w:val="21"/>
              </w:rPr>
              <w:t>20</w:t>
            </w:r>
          </w:p>
        </w:tc>
        <w:tc>
          <w:tcPr>
            <w:tcW w:w="1800" w:type="dxa"/>
            <w:noWrap/>
          </w:tcPr>
          <w:p w14:paraId="3FFEBEB7"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Mollenkopf </w:t>
            </w:r>
            <w:r w:rsidRPr="45BA1AAA">
              <w:rPr>
                <w:rFonts w:eastAsia="Times New Roman" w:cs="Times New Roman"/>
                <w:i/>
                <w:iCs/>
                <w:sz w:val="21"/>
                <w:szCs w:val="21"/>
              </w:rPr>
              <w:t>et al.</w:t>
            </w:r>
          </w:p>
        </w:tc>
        <w:tc>
          <w:tcPr>
            <w:tcW w:w="735" w:type="dxa"/>
            <w:noWrap/>
          </w:tcPr>
          <w:p w14:paraId="2AE75AB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2011</w:t>
            </w:r>
          </w:p>
        </w:tc>
        <w:tc>
          <w:tcPr>
            <w:tcW w:w="5205" w:type="dxa"/>
            <w:noWrap/>
          </w:tcPr>
          <w:p w14:paraId="088F9EA2"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Creating value through returns management: Exploring the marketing-operations interface</w:t>
            </w:r>
          </w:p>
        </w:tc>
        <w:tc>
          <w:tcPr>
            <w:tcW w:w="1080" w:type="dxa"/>
            <w:noWrap/>
          </w:tcPr>
          <w:p w14:paraId="08C56E4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JOM</w:t>
            </w:r>
          </w:p>
        </w:tc>
      </w:tr>
      <w:tr w:rsidR="007E6BDC" w:rsidRPr="007E6BDC" w14:paraId="10850DE3" w14:textId="77777777" w:rsidTr="45BA1AAA">
        <w:trPr>
          <w:trHeight w:val="300"/>
        </w:trPr>
        <w:tc>
          <w:tcPr>
            <w:tcW w:w="450" w:type="dxa"/>
            <w:noWrap/>
          </w:tcPr>
          <w:p w14:paraId="12C0227E" w14:textId="74C245DC" w:rsidR="007E6BDC" w:rsidRPr="007E6BDC" w:rsidRDefault="45BA1AAA" w:rsidP="45BA1AAA">
            <w:pPr>
              <w:rPr>
                <w:rFonts w:eastAsia="Times New Roman" w:cs="Times New Roman"/>
                <w:sz w:val="21"/>
                <w:szCs w:val="21"/>
              </w:rPr>
            </w:pPr>
            <w:r w:rsidRPr="45BA1AAA">
              <w:rPr>
                <w:rFonts w:eastAsia="Times New Roman" w:cs="Times New Roman"/>
                <w:sz w:val="21"/>
                <w:szCs w:val="21"/>
              </w:rPr>
              <w:t>21</w:t>
            </w:r>
          </w:p>
        </w:tc>
        <w:tc>
          <w:tcPr>
            <w:tcW w:w="1800" w:type="dxa"/>
            <w:noWrap/>
          </w:tcPr>
          <w:p w14:paraId="6FF802F4"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Griffis </w:t>
            </w:r>
            <w:r w:rsidRPr="45BA1AAA">
              <w:rPr>
                <w:rFonts w:eastAsia="Times New Roman" w:cs="Times New Roman"/>
                <w:i/>
                <w:iCs/>
                <w:sz w:val="21"/>
                <w:szCs w:val="21"/>
              </w:rPr>
              <w:t>et al.</w:t>
            </w:r>
          </w:p>
        </w:tc>
        <w:tc>
          <w:tcPr>
            <w:tcW w:w="735" w:type="dxa"/>
            <w:noWrap/>
          </w:tcPr>
          <w:p w14:paraId="189639E9"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2012</w:t>
            </w:r>
          </w:p>
        </w:tc>
        <w:tc>
          <w:tcPr>
            <w:tcW w:w="5205" w:type="dxa"/>
            <w:noWrap/>
          </w:tcPr>
          <w:p w14:paraId="56386F71" w14:textId="77777777" w:rsidR="007E6BDC" w:rsidRPr="007E6BDC" w:rsidRDefault="45BA1AAA" w:rsidP="45BA1AAA">
            <w:pPr>
              <w:rPr>
                <w:rFonts w:eastAsia="Times New Roman" w:cs="Times New Roman"/>
                <w:sz w:val="21"/>
                <w:szCs w:val="21"/>
              </w:rPr>
            </w:pPr>
            <w:proofErr w:type="gramStart"/>
            <w:r w:rsidRPr="45BA1AAA">
              <w:rPr>
                <w:rFonts w:eastAsia="Times New Roman" w:cs="Times New Roman"/>
                <w:sz w:val="21"/>
                <w:szCs w:val="21"/>
              </w:rPr>
              <w:t>The customer</w:t>
            </w:r>
            <w:proofErr w:type="gramEnd"/>
            <w:r w:rsidRPr="45BA1AAA">
              <w:rPr>
                <w:rFonts w:eastAsia="Times New Roman" w:cs="Times New Roman"/>
                <w:sz w:val="21"/>
                <w:szCs w:val="21"/>
              </w:rPr>
              <w:t xml:space="preserve"> consequences of returns in online retailing: An empirical analysis</w:t>
            </w:r>
          </w:p>
        </w:tc>
        <w:tc>
          <w:tcPr>
            <w:tcW w:w="1080" w:type="dxa"/>
            <w:noWrap/>
          </w:tcPr>
          <w:p w14:paraId="4E182D0C"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JOM</w:t>
            </w:r>
          </w:p>
        </w:tc>
      </w:tr>
      <w:tr w:rsidR="007E6BDC" w:rsidRPr="007E6BDC" w14:paraId="4D8B82A6" w14:textId="77777777" w:rsidTr="45BA1AAA">
        <w:trPr>
          <w:trHeight w:val="387"/>
        </w:trPr>
        <w:tc>
          <w:tcPr>
            <w:tcW w:w="450" w:type="dxa"/>
            <w:noWrap/>
          </w:tcPr>
          <w:p w14:paraId="5B727FDA" w14:textId="5C57E2FD" w:rsidR="007E6BDC" w:rsidRPr="007E6BDC" w:rsidRDefault="45BA1AAA" w:rsidP="45BA1AAA">
            <w:pPr>
              <w:rPr>
                <w:rFonts w:eastAsia="Times New Roman" w:cs="Times New Roman"/>
                <w:sz w:val="21"/>
                <w:szCs w:val="21"/>
              </w:rPr>
            </w:pPr>
            <w:r w:rsidRPr="45BA1AAA">
              <w:rPr>
                <w:rFonts w:eastAsia="Times New Roman" w:cs="Times New Roman"/>
                <w:sz w:val="21"/>
                <w:szCs w:val="21"/>
              </w:rPr>
              <w:t>22</w:t>
            </w:r>
          </w:p>
        </w:tc>
        <w:tc>
          <w:tcPr>
            <w:tcW w:w="1800" w:type="dxa"/>
            <w:noWrap/>
            <w:hideMark/>
          </w:tcPr>
          <w:p w14:paraId="529FA57C"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Huscroft </w:t>
            </w:r>
            <w:r w:rsidRPr="45BA1AAA">
              <w:rPr>
                <w:rFonts w:eastAsia="Times New Roman" w:cs="Times New Roman"/>
                <w:i/>
                <w:iCs/>
                <w:sz w:val="21"/>
                <w:szCs w:val="21"/>
              </w:rPr>
              <w:t>et al.</w:t>
            </w:r>
          </w:p>
        </w:tc>
        <w:tc>
          <w:tcPr>
            <w:tcW w:w="735" w:type="dxa"/>
            <w:noWrap/>
            <w:hideMark/>
          </w:tcPr>
          <w:p w14:paraId="519C775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2013</w:t>
            </w:r>
          </w:p>
        </w:tc>
        <w:tc>
          <w:tcPr>
            <w:tcW w:w="5205" w:type="dxa"/>
            <w:noWrap/>
            <w:hideMark/>
          </w:tcPr>
          <w:p w14:paraId="7A9B10A8"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Reverse logistics: past research, current management issues, and future directions</w:t>
            </w:r>
          </w:p>
        </w:tc>
        <w:tc>
          <w:tcPr>
            <w:tcW w:w="1080" w:type="dxa"/>
            <w:noWrap/>
            <w:hideMark/>
          </w:tcPr>
          <w:p w14:paraId="29DAE4E2"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IJLM</w:t>
            </w:r>
          </w:p>
        </w:tc>
      </w:tr>
      <w:tr w:rsidR="007E6BDC" w:rsidRPr="007E6BDC" w14:paraId="33E229B9" w14:textId="77777777" w:rsidTr="45BA1AAA">
        <w:trPr>
          <w:trHeight w:val="315"/>
        </w:trPr>
        <w:tc>
          <w:tcPr>
            <w:tcW w:w="450" w:type="dxa"/>
            <w:noWrap/>
          </w:tcPr>
          <w:p w14:paraId="7C1FFE41" w14:textId="47C89B24" w:rsidR="007E6BDC" w:rsidRPr="007E6BDC" w:rsidRDefault="45BA1AAA" w:rsidP="45BA1AAA">
            <w:pPr>
              <w:rPr>
                <w:rFonts w:eastAsia="Times New Roman" w:cs="Times New Roman"/>
                <w:sz w:val="21"/>
                <w:szCs w:val="21"/>
              </w:rPr>
            </w:pPr>
            <w:r w:rsidRPr="45BA1AAA">
              <w:rPr>
                <w:rFonts w:eastAsia="Times New Roman" w:cs="Times New Roman"/>
                <w:sz w:val="21"/>
                <w:szCs w:val="21"/>
              </w:rPr>
              <w:t>23</w:t>
            </w:r>
          </w:p>
        </w:tc>
        <w:tc>
          <w:tcPr>
            <w:tcW w:w="1800" w:type="dxa"/>
            <w:noWrap/>
          </w:tcPr>
          <w:p w14:paraId="726A0FA7"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Bernon </w:t>
            </w:r>
            <w:r w:rsidRPr="45BA1AAA">
              <w:rPr>
                <w:rFonts w:eastAsia="Times New Roman" w:cs="Times New Roman"/>
                <w:i/>
                <w:iCs/>
                <w:sz w:val="21"/>
                <w:szCs w:val="21"/>
              </w:rPr>
              <w:t>et al.</w:t>
            </w:r>
          </w:p>
        </w:tc>
        <w:tc>
          <w:tcPr>
            <w:tcW w:w="735" w:type="dxa"/>
            <w:noWrap/>
          </w:tcPr>
          <w:p w14:paraId="69E7663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2016</w:t>
            </w:r>
          </w:p>
        </w:tc>
        <w:tc>
          <w:tcPr>
            <w:tcW w:w="5205" w:type="dxa"/>
            <w:noWrap/>
          </w:tcPr>
          <w:p w14:paraId="6D4A13A4"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Online retail returns management: Integration within an omni-channel distribution context</w:t>
            </w:r>
          </w:p>
        </w:tc>
        <w:tc>
          <w:tcPr>
            <w:tcW w:w="1080" w:type="dxa"/>
            <w:noWrap/>
          </w:tcPr>
          <w:p w14:paraId="4DE0607B"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IJPDLM</w:t>
            </w:r>
          </w:p>
        </w:tc>
      </w:tr>
      <w:tr w:rsidR="0064608D" w:rsidRPr="007E6BDC" w14:paraId="6767E381" w14:textId="77777777" w:rsidTr="45BA1AAA">
        <w:trPr>
          <w:trHeight w:val="315"/>
        </w:trPr>
        <w:tc>
          <w:tcPr>
            <w:tcW w:w="450" w:type="dxa"/>
            <w:noWrap/>
          </w:tcPr>
          <w:p w14:paraId="2BFA4CA8" w14:textId="74156170" w:rsidR="0064608D" w:rsidRPr="007E6BDC" w:rsidRDefault="45BA1AAA" w:rsidP="45BA1AAA">
            <w:pPr>
              <w:rPr>
                <w:rFonts w:eastAsia="Times New Roman" w:cs="Times New Roman"/>
                <w:sz w:val="21"/>
                <w:szCs w:val="21"/>
              </w:rPr>
            </w:pPr>
            <w:r w:rsidRPr="45BA1AAA">
              <w:rPr>
                <w:rFonts w:eastAsia="Times New Roman" w:cs="Times New Roman"/>
                <w:sz w:val="21"/>
                <w:szCs w:val="21"/>
              </w:rPr>
              <w:t>24</w:t>
            </w:r>
          </w:p>
        </w:tc>
        <w:tc>
          <w:tcPr>
            <w:tcW w:w="1800" w:type="dxa"/>
            <w:noWrap/>
          </w:tcPr>
          <w:p w14:paraId="3C5B8204" w14:textId="446B672E" w:rsidR="0064608D" w:rsidRPr="007E6BDC" w:rsidRDefault="45BA1AAA" w:rsidP="45BA1AAA">
            <w:pPr>
              <w:rPr>
                <w:rFonts w:eastAsia="Times New Roman" w:cs="Times New Roman"/>
                <w:sz w:val="21"/>
                <w:szCs w:val="21"/>
              </w:rPr>
            </w:pPr>
            <w:r w:rsidRPr="45BA1AAA">
              <w:rPr>
                <w:rFonts w:eastAsia="Times New Roman" w:cs="Times New Roman"/>
                <w:sz w:val="21"/>
                <w:szCs w:val="21"/>
              </w:rPr>
              <w:t xml:space="preserve">De Leeuw </w:t>
            </w:r>
            <w:r w:rsidRPr="45BA1AAA">
              <w:rPr>
                <w:rFonts w:eastAsia="Times New Roman" w:cs="Times New Roman"/>
                <w:i/>
                <w:iCs/>
                <w:sz w:val="21"/>
                <w:szCs w:val="21"/>
              </w:rPr>
              <w:t>et al.</w:t>
            </w:r>
          </w:p>
        </w:tc>
        <w:tc>
          <w:tcPr>
            <w:tcW w:w="735" w:type="dxa"/>
            <w:noWrap/>
          </w:tcPr>
          <w:p w14:paraId="1D979F65" w14:textId="23E010D9" w:rsidR="0064608D" w:rsidRPr="007E6BDC" w:rsidRDefault="45BA1AAA" w:rsidP="45BA1AAA">
            <w:pPr>
              <w:rPr>
                <w:rFonts w:eastAsia="Times New Roman" w:cs="Times New Roman"/>
                <w:sz w:val="21"/>
                <w:szCs w:val="21"/>
              </w:rPr>
            </w:pPr>
            <w:r w:rsidRPr="45BA1AAA">
              <w:rPr>
                <w:rFonts w:eastAsia="Times New Roman" w:cs="Times New Roman"/>
                <w:sz w:val="21"/>
                <w:szCs w:val="21"/>
              </w:rPr>
              <w:t>2016</w:t>
            </w:r>
          </w:p>
        </w:tc>
        <w:tc>
          <w:tcPr>
            <w:tcW w:w="5205" w:type="dxa"/>
            <w:noWrap/>
          </w:tcPr>
          <w:p w14:paraId="5CCAAFDE" w14:textId="7CE1C9E9" w:rsidR="0064608D" w:rsidRPr="00A3182C" w:rsidRDefault="45BA1AAA" w:rsidP="45BA1AAA">
            <w:pPr>
              <w:rPr>
                <w:rFonts w:eastAsia="Times New Roman" w:cs="Times New Roman"/>
                <w:sz w:val="21"/>
                <w:szCs w:val="21"/>
              </w:rPr>
            </w:pPr>
            <w:r w:rsidRPr="45BA1AAA">
              <w:rPr>
                <w:rFonts w:eastAsia="Times New Roman" w:cs="Times New Roman"/>
                <w:sz w:val="21"/>
                <w:szCs w:val="21"/>
              </w:rPr>
              <w:t>Trade-offs in managing commercial consumer returns for online apparel retail</w:t>
            </w:r>
          </w:p>
        </w:tc>
        <w:tc>
          <w:tcPr>
            <w:tcW w:w="1080" w:type="dxa"/>
            <w:noWrap/>
          </w:tcPr>
          <w:p w14:paraId="66C9D11B" w14:textId="5ECA714D" w:rsidR="0064608D" w:rsidRPr="007E6BDC" w:rsidRDefault="45BA1AAA" w:rsidP="45BA1AAA">
            <w:pPr>
              <w:rPr>
                <w:rFonts w:eastAsia="Times New Roman" w:cs="Times New Roman"/>
                <w:sz w:val="21"/>
                <w:szCs w:val="21"/>
              </w:rPr>
            </w:pPr>
            <w:r w:rsidRPr="45BA1AAA">
              <w:rPr>
                <w:rFonts w:eastAsia="Times New Roman" w:cs="Times New Roman"/>
                <w:sz w:val="21"/>
                <w:szCs w:val="21"/>
              </w:rPr>
              <w:t>IJOPM</w:t>
            </w:r>
          </w:p>
        </w:tc>
      </w:tr>
      <w:tr w:rsidR="007E6BDC" w:rsidRPr="007E6BDC" w14:paraId="04C2BFAD" w14:textId="77777777" w:rsidTr="45BA1AAA">
        <w:trPr>
          <w:trHeight w:val="315"/>
        </w:trPr>
        <w:tc>
          <w:tcPr>
            <w:tcW w:w="450" w:type="dxa"/>
            <w:noWrap/>
          </w:tcPr>
          <w:p w14:paraId="06676C49" w14:textId="2EF15F6E" w:rsidR="007E6BDC" w:rsidRPr="007E6BDC" w:rsidRDefault="45BA1AAA" w:rsidP="45BA1AAA">
            <w:pPr>
              <w:rPr>
                <w:rFonts w:eastAsia="Times New Roman" w:cs="Times New Roman"/>
                <w:sz w:val="21"/>
                <w:szCs w:val="21"/>
              </w:rPr>
            </w:pPr>
            <w:r w:rsidRPr="45BA1AAA">
              <w:rPr>
                <w:rFonts w:eastAsia="Times New Roman" w:cs="Times New Roman"/>
                <w:sz w:val="21"/>
                <w:szCs w:val="21"/>
              </w:rPr>
              <w:t>25</w:t>
            </w:r>
          </w:p>
        </w:tc>
        <w:tc>
          <w:tcPr>
            <w:tcW w:w="1800" w:type="dxa"/>
            <w:noWrap/>
          </w:tcPr>
          <w:p w14:paraId="48B1EA5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Chen </w:t>
            </w:r>
            <w:r w:rsidRPr="45BA1AAA">
              <w:rPr>
                <w:rFonts w:eastAsia="Times New Roman" w:cs="Times New Roman"/>
                <w:i/>
                <w:iCs/>
                <w:sz w:val="21"/>
                <w:szCs w:val="21"/>
              </w:rPr>
              <w:t>et al.</w:t>
            </w:r>
          </w:p>
        </w:tc>
        <w:tc>
          <w:tcPr>
            <w:tcW w:w="735" w:type="dxa"/>
            <w:noWrap/>
          </w:tcPr>
          <w:p w14:paraId="6C77B97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2017</w:t>
            </w:r>
          </w:p>
        </w:tc>
        <w:tc>
          <w:tcPr>
            <w:tcW w:w="5205" w:type="dxa"/>
            <w:noWrap/>
          </w:tcPr>
          <w:p w14:paraId="4812C400"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Measuring returns management orientation</w:t>
            </w:r>
          </w:p>
        </w:tc>
        <w:tc>
          <w:tcPr>
            <w:tcW w:w="1080" w:type="dxa"/>
            <w:noWrap/>
          </w:tcPr>
          <w:p w14:paraId="12F60FA4"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IJLM</w:t>
            </w:r>
          </w:p>
        </w:tc>
      </w:tr>
      <w:tr w:rsidR="007E6BDC" w:rsidRPr="007E6BDC" w14:paraId="3A5CDF33" w14:textId="77777777" w:rsidTr="45BA1AAA">
        <w:trPr>
          <w:trHeight w:val="315"/>
        </w:trPr>
        <w:tc>
          <w:tcPr>
            <w:tcW w:w="450" w:type="dxa"/>
            <w:noWrap/>
          </w:tcPr>
          <w:p w14:paraId="3E40130F" w14:textId="1F64B3B0" w:rsidR="007E6BDC" w:rsidRPr="007E6BDC" w:rsidRDefault="45BA1AAA" w:rsidP="45BA1AAA">
            <w:pPr>
              <w:rPr>
                <w:rFonts w:eastAsia="Times New Roman" w:cs="Times New Roman"/>
                <w:sz w:val="21"/>
                <w:szCs w:val="21"/>
              </w:rPr>
            </w:pPr>
            <w:r w:rsidRPr="45BA1AAA">
              <w:rPr>
                <w:rFonts w:eastAsia="Times New Roman" w:cs="Times New Roman"/>
                <w:sz w:val="21"/>
                <w:szCs w:val="21"/>
              </w:rPr>
              <w:t>26</w:t>
            </w:r>
          </w:p>
        </w:tc>
        <w:tc>
          <w:tcPr>
            <w:tcW w:w="1800" w:type="dxa"/>
            <w:noWrap/>
          </w:tcPr>
          <w:p w14:paraId="3B27FDAB" w14:textId="1F47AF1B" w:rsidR="007E6BDC" w:rsidRPr="007E6BDC" w:rsidRDefault="45BA1AAA" w:rsidP="45BA1AAA">
            <w:pPr>
              <w:rPr>
                <w:rFonts w:eastAsia="Times New Roman" w:cs="Times New Roman"/>
                <w:sz w:val="21"/>
                <w:szCs w:val="21"/>
              </w:rPr>
            </w:pPr>
            <w:proofErr w:type="spellStart"/>
            <w:r w:rsidRPr="45BA1AAA">
              <w:rPr>
                <w:rFonts w:eastAsia="Times New Roman" w:cs="Times New Roman"/>
                <w:sz w:val="21"/>
                <w:szCs w:val="21"/>
              </w:rPr>
              <w:t>Dapiran</w:t>
            </w:r>
            <w:proofErr w:type="spellEnd"/>
            <w:r w:rsidRPr="45BA1AAA">
              <w:rPr>
                <w:rFonts w:eastAsia="Times New Roman" w:cs="Times New Roman"/>
                <w:sz w:val="21"/>
                <w:szCs w:val="21"/>
              </w:rPr>
              <w:t xml:space="preserve"> and Kam</w:t>
            </w:r>
          </w:p>
        </w:tc>
        <w:tc>
          <w:tcPr>
            <w:tcW w:w="735" w:type="dxa"/>
            <w:noWrap/>
          </w:tcPr>
          <w:p w14:paraId="083B4D1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2017</w:t>
            </w:r>
          </w:p>
        </w:tc>
        <w:tc>
          <w:tcPr>
            <w:tcW w:w="5205" w:type="dxa"/>
            <w:noWrap/>
          </w:tcPr>
          <w:p w14:paraId="6608EECD"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Value creation and appropriation in product returns management</w:t>
            </w:r>
          </w:p>
        </w:tc>
        <w:tc>
          <w:tcPr>
            <w:tcW w:w="1080" w:type="dxa"/>
            <w:noWrap/>
          </w:tcPr>
          <w:p w14:paraId="7FBE15F2"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IJLM</w:t>
            </w:r>
          </w:p>
        </w:tc>
      </w:tr>
      <w:tr w:rsidR="007E6BDC" w:rsidRPr="007E6BDC" w14:paraId="4E3C7BF9" w14:textId="77777777" w:rsidTr="45BA1AAA">
        <w:trPr>
          <w:trHeight w:val="315"/>
        </w:trPr>
        <w:tc>
          <w:tcPr>
            <w:tcW w:w="450" w:type="dxa"/>
            <w:noWrap/>
          </w:tcPr>
          <w:p w14:paraId="17EB6BCA" w14:textId="7790B1F9" w:rsidR="007E6BDC" w:rsidRPr="007E6BDC" w:rsidRDefault="45BA1AAA" w:rsidP="45BA1AAA">
            <w:pPr>
              <w:rPr>
                <w:rFonts w:eastAsia="Times New Roman" w:cs="Times New Roman"/>
                <w:sz w:val="21"/>
                <w:szCs w:val="21"/>
              </w:rPr>
            </w:pPr>
            <w:r w:rsidRPr="45BA1AAA">
              <w:rPr>
                <w:rFonts w:eastAsia="Times New Roman" w:cs="Times New Roman"/>
                <w:sz w:val="21"/>
                <w:szCs w:val="21"/>
              </w:rPr>
              <w:lastRenderedPageBreak/>
              <w:t>27</w:t>
            </w:r>
          </w:p>
        </w:tc>
        <w:tc>
          <w:tcPr>
            <w:tcW w:w="1800" w:type="dxa"/>
            <w:noWrap/>
          </w:tcPr>
          <w:p w14:paraId="3D92EA11"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Hjort </w:t>
            </w:r>
            <w:r w:rsidRPr="45BA1AAA">
              <w:rPr>
                <w:rFonts w:eastAsia="Times New Roman" w:cs="Times New Roman"/>
                <w:i/>
                <w:iCs/>
                <w:sz w:val="21"/>
                <w:szCs w:val="21"/>
              </w:rPr>
              <w:t>et al.</w:t>
            </w:r>
          </w:p>
        </w:tc>
        <w:tc>
          <w:tcPr>
            <w:tcW w:w="735" w:type="dxa"/>
            <w:noWrap/>
          </w:tcPr>
          <w:p w14:paraId="482A652B"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2019</w:t>
            </w:r>
          </w:p>
        </w:tc>
        <w:tc>
          <w:tcPr>
            <w:tcW w:w="5205" w:type="dxa"/>
            <w:noWrap/>
          </w:tcPr>
          <w:p w14:paraId="1D77F80B"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Typology of practices for managing consumer returns in internet retailing</w:t>
            </w:r>
          </w:p>
        </w:tc>
        <w:tc>
          <w:tcPr>
            <w:tcW w:w="1080" w:type="dxa"/>
            <w:noWrap/>
          </w:tcPr>
          <w:p w14:paraId="1E73742C"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IJPDLM</w:t>
            </w:r>
          </w:p>
        </w:tc>
      </w:tr>
      <w:tr w:rsidR="007E6BDC" w:rsidRPr="007E6BDC" w14:paraId="0D366DD7" w14:textId="77777777" w:rsidTr="45BA1AAA">
        <w:trPr>
          <w:trHeight w:val="315"/>
        </w:trPr>
        <w:tc>
          <w:tcPr>
            <w:tcW w:w="450" w:type="dxa"/>
            <w:noWrap/>
          </w:tcPr>
          <w:p w14:paraId="016CDDF2" w14:textId="5947823B" w:rsidR="007E6BDC" w:rsidRPr="007E6BDC" w:rsidRDefault="45BA1AAA" w:rsidP="45BA1AAA">
            <w:pPr>
              <w:rPr>
                <w:rFonts w:eastAsia="Times New Roman" w:cs="Times New Roman"/>
                <w:sz w:val="21"/>
                <w:szCs w:val="21"/>
              </w:rPr>
            </w:pPr>
            <w:r w:rsidRPr="45BA1AAA">
              <w:rPr>
                <w:rFonts w:eastAsia="Times New Roman" w:cs="Times New Roman"/>
                <w:sz w:val="21"/>
                <w:szCs w:val="21"/>
              </w:rPr>
              <w:t>28</w:t>
            </w:r>
          </w:p>
        </w:tc>
        <w:tc>
          <w:tcPr>
            <w:tcW w:w="1800" w:type="dxa"/>
            <w:noWrap/>
          </w:tcPr>
          <w:p w14:paraId="488B424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 xml:space="preserve">Russo </w:t>
            </w:r>
            <w:r w:rsidRPr="45BA1AAA">
              <w:rPr>
                <w:rFonts w:eastAsia="Times New Roman" w:cs="Times New Roman"/>
                <w:i/>
                <w:iCs/>
                <w:sz w:val="21"/>
                <w:szCs w:val="21"/>
              </w:rPr>
              <w:t>et al.</w:t>
            </w:r>
          </w:p>
        </w:tc>
        <w:tc>
          <w:tcPr>
            <w:tcW w:w="735" w:type="dxa"/>
            <w:noWrap/>
          </w:tcPr>
          <w:p w14:paraId="2179EAC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2019</w:t>
            </w:r>
          </w:p>
        </w:tc>
        <w:tc>
          <w:tcPr>
            <w:tcW w:w="5205" w:type="dxa"/>
            <w:noWrap/>
          </w:tcPr>
          <w:p w14:paraId="5D30521E"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A roadmap for applying qualitative comparative analysis in supply chain research: The reverse supply chain case</w:t>
            </w:r>
          </w:p>
        </w:tc>
        <w:tc>
          <w:tcPr>
            <w:tcW w:w="1080" w:type="dxa"/>
            <w:noWrap/>
          </w:tcPr>
          <w:p w14:paraId="21CB3ED6"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IJPDLM</w:t>
            </w:r>
          </w:p>
        </w:tc>
      </w:tr>
      <w:tr w:rsidR="007E6BDC" w:rsidRPr="007E6BDC" w14:paraId="6A14F859" w14:textId="77777777" w:rsidTr="45BA1AAA">
        <w:trPr>
          <w:trHeight w:val="315"/>
        </w:trPr>
        <w:tc>
          <w:tcPr>
            <w:tcW w:w="450" w:type="dxa"/>
            <w:noWrap/>
          </w:tcPr>
          <w:p w14:paraId="7C207944" w14:textId="0CE498B1" w:rsidR="007E6BDC" w:rsidRPr="007E6BDC" w:rsidRDefault="45BA1AAA" w:rsidP="45BA1AAA">
            <w:pPr>
              <w:rPr>
                <w:rFonts w:eastAsia="Times New Roman" w:cs="Times New Roman"/>
                <w:sz w:val="21"/>
                <w:szCs w:val="21"/>
              </w:rPr>
            </w:pPr>
            <w:r w:rsidRPr="45BA1AAA">
              <w:rPr>
                <w:rFonts w:eastAsia="Times New Roman" w:cs="Times New Roman"/>
                <w:sz w:val="21"/>
                <w:szCs w:val="21"/>
              </w:rPr>
              <w:t>29</w:t>
            </w:r>
          </w:p>
        </w:tc>
        <w:tc>
          <w:tcPr>
            <w:tcW w:w="1800" w:type="dxa"/>
            <w:noWrap/>
          </w:tcPr>
          <w:p w14:paraId="04D90D55" w14:textId="685BE503" w:rsidR="007E6BDC" w:rsidRPr="007E6BDC" w:rsidRDefault="45BA1AAA" w:rsidP="45BA1AAA">
            <w:pPr>
              <w:rPr>
                <w:rFonts w:eastAsia="Times New Roman" w:cs="Times New Roman"/>
                <w:sz w:val="21"/>
                <w:szCs w:val="21"/>
              </w:rPr>
            </w:pPr>
            <w:r w:rsidRPr="45BA1AAA">
              <w:rPr>
                <w:rFonts w:eastAsia="Times New Roman" w:cs="Times New Roman"/>
                <w:sz w:val="21"/>
                <w:szCs w:val="21"/>
              </w:rPr>
              <w:t>Lechner and Reimann</w:t>
            </w:r>
          </w:p>
        </w:tc>
        <w:tc>
          <w:tcPr>
            <w:tcW w:w="735" w:type="dxa"/>
            <w:noWrap/>
          </w:tcPr>
          <w:p w14:paraId="15E1317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2020</w:t>
            </w:r>
          </w:p>
        </w:tc>
        <w:tc>
          <w:tcPr>
            <w:tcW w:w="5205" w:type="dxa"/>
            <w:noWrap/>
          </w:tcPr>
          <w:p w14:paraId="7B32CBC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Integrated decision-making in reverse logistics: An optimization of interacting acquisition, grading and disposition processes</w:t>
            </w:r>
          </w:p>
        </w:tc>
        <w:tc>
          <w:tcPr>
            <w:tcW w:w="1080" w:type="dxa"/>
            <w:noWrap/>
          </w:tcPr>
          <w:p w14:paraId="66BFE083"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IJPR</w:t>
            </w:r>
          </w:p>
        </w:tc>
      </w:tr>
      <w:tr w:rsidR="007E6BDC" w:rsidRPr="007E6BDC" w14:paraId="3795919C" w14:textId="77777777" w:rsidTr="45BA1AAA">
        <w:trPr>
          <w:trHeight w:val="315"/>
        </w:trPr>
        <w:tc>
          <w:tcPr>
            <w:tcW w:w="450" w:type="dxa"/>
            <w:noWrap/>
          </w:tcPr>
          <w:p w14:paraId="41886AB7" w14:textId="26327D7E" w:rsidR="007E6BDC" w:rsidRPr="007E6BDC" w:rsidRDefault="45BA1AAA" w:rsidP="45BA1AAA">
            <w:pPr>
              <w:rPr>
                <w:rFonts w:eastAsia="Times New Roman" w:cs="Times New Roman"/>
                <w:sz w:val="21"/>
                <w:szCs w:val="21"/>
              </w:rPr>
            </w:pPr>
            <w:r w:rsidRPr="45BA1AAA">
              <w:rPr>
                <w:rFonts w:eastAsia="Times New Roman" w:cs="Times New Roman"/>
                <w:sz w:val="21"/>
                <w:szCs w:val="21"/>
              </w:rPr>
              <w:t>30</w:t>
            </w:r>
          </w:p>
        </w:tc>
        <w:tc>
          <w:tcPr>
            <w:tcW w:w="1800" w:type="dxa"/>
            <w:noWrap/>
          </w:tcPr>
          <w:p w14:paraId="2972B60A" w14:textId="77777777" w:rsidR="007E6BDC" w:rsidRPr="007E6BDC" w:rsidRDefault="45BA1AAA" w:rsidP="45BA1AAA">
            <w:pPr>
              <w:rPr>
                <w:rFonts w:eastAsia="Times New Roman" w:cs="Times New Roman"/>
                <w:sz w:val="21"/>
                <w:szCs w:val="21"/>
              </w:rPr>
            </w:pPr>
            <w:proofErr w:type="spellStart"/>
            <w:r w:rsidRPr="45BA1AAA">
              <w:rPr>
                <w:rFonts w:eastAsia="Times New Roman" w:cs="Times New Roman"/>
                <w:sz w:val="21"/>
                <w:szCs w:val="21"/>
              </w:rPr>
              <w:t>Ambilkar</w:t>
            </w:r>
            <w:proofErr w:type="spellEnd"/>
            <w:r w:rsidRPr="45BA1AAA">
              <w:rPr>
                <w:rFonts w:eastAsia="Times New Roman" w:cs="Times New Roman"/>
                <w:sz w:val="21"/>
                <w:szCs w:val="21"/>
              </w:rPr>
              <w:t xml:space="preserve"> </w:t>
            </w:r>
            <w:r w:rsidRPr="45BA1AAA">
              <w:rPr>
                <w:rFonts w:eastAsia="Times New Roman" w:cs="Times New Roman"/>
                <w:i/>
                <w:iCs/>
                <w:sz w:val="21"/>
                <w:szCs w:val="21"/>
              </w:rPr>
              <w:t>et al.</w:t>
            </w:r>
          </w:p>
        </w:tc>
        <w:tc>
          <w:tcPr>
            <w:tcW w:w="735" w:type="dxa"/>
            <w:noWrap/>
          </w:tcPr>
          <w:p w14:paraId="30BE6305"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2022</w:t>
            </w:r>
          </w:p>
        </w:tc>
        <w:tc>
          <w:tcPr>
            <w:tcW w:w="5205" w:type="dxa"/>
            <w:noWrap/>
          </w:tcPr>
          <w:p w14:paraId="12E971F0"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Product returns management: A comprehensive review and future research agenda</w:t>
            </w:r>
          </w:p>
        </w:tc>
        <w:tc>
          <w:tcPr>
            <w:tcW w:w="1080" w:type="dxa"/>
            <w:noWrap/>
          </w:tcPr>
          <w:p w14:paraId="20C4C3BB" w14:textId="77777777" w:rsidR="007E6BDC" w:rsidRPr="007E6BDC" w:rsidRDefault="45BA1AAA" w:rsidP="45BA1AAA">
            <w:pPr>
              <w:rPr>
                <w:rFonts w:eastAsia="Times New Roman" w:cs="Times New Roman"/>
                <w:sz w:val="21"/>
                <w:szCs w:val="21"/>
              </w:rPr>
            </w:pPr>
            <w:r w:rsidRPr="45BA1AAA">
              <w:rPr>
                <w:rFonts w:eastAsia="Times New Roman" w:cs="Times New Roman"/>
                <w:sz w:val="21"/>
                <w:szCs w:val="21"/>
              </w:rPr>
              <w:t>IJPR</w:t>
            </w:r>
          </w:p>
        </w:tc>
      </w:tr>
      <w:tr w:rsidR="0064608D" w:rsidRPr="007E6BDC" w14:paraId="1ECEFEE6" w14:textId="77777777" w:rsidTr="45BA1AAA">
        <w:trPr>
          <w:trHeight w:val="315"/>
        </w:trPr>
        <w:tc>
          <w:tcPr>
            <w:tcW w:w="450" w:type="dxa"/>
            <w:noWrap/>
          </w:tcPr>
          <w:p w14:paraId="604A84F0" w14:textId="72B8943F" w:rsidR="0064608D" w:rsidRPr="007E6BDC" w:rsidRDefault="45BA1AAA" w:rsidP="45BA1AAA">
            <w:pPr>
              <w:rPr>
                <w:rFonts w:eastAsia="Times New Roman" w:cs="Times New Roman"/>
                <w:sz w:val="21"/>
                <w:szCs w:val="21"/>
              </w:rPr>
            </w:pPr>
            <w:r w:rsidRPr="45BA1AAA">
              <w:rPr>
                <w:rFonts w:eastAsia="Times New Roman" w:cs="Times New Roman"/>
                <w:sz w:val="21"/>
                <w:szCs w:val="21"/>
              </w:rPr>
              <w:t>31</w:t>
            </w:r>
          </w:p>
        </w:tc>
        <w:tc>
          <w:tcPr>
            <w:tcW w:w="1800" w:type="dxa"/>
            <w:noWrap/>
          </w:tcPr>
          <w:p w14:paraId="25DACD0C" w14:textId="3B5BAE92" w:rsidR="0064608D" w:rsidRPr="007E6BDC" w:rsidRDefault="45BA1AAA" w:rsidP="45BA1AAA">
            <w:pPr>
              <w:rPr>
                <w:rFonts w:eastAsia="Times New Roman" w:cs="Times New Roman"/>
                <w:sz w:val="21"/>
                <w:szCs w:val="21"/>
              </w:rPr>
            </w:pPr>
            <w:r w:rsidRPr="45BA1AAA">
              <w:rPr>
                <w:rFonts w:eastAsia="Times New Roman" w:cs="Times New Roman"/>
                <w:sz w:val="21"/>
                <w:szCs w:val="21"/>
              </w:rPr>
              <w:t xml:space="preserve">Marriott </w:t>
            </w:r>
            <w:r w:rsidRPr="45BA1AAA">
              <w:rPr>
                <w:rFonts w:eastAsia="Times New Roman" w:cs="Times New Roman"/>
                <w:i/>
                <w:iCs/>
                <w:sz w:val="21"/>
                <w:szCs w:val="21"/>
              </w:rPr>
              <w:t>et al.</w:t>
            </w:r>
          </w:p>
        </w:tc>
        <w:tc>
          <w:tcPr>
            <w:tcW w:w="735" w:type="dxa"/>
            <w:noWrap/>
          </w:tcPr>
          <w:p w14:paraId="55F90160" w14:textId="060C9EFD" w:rsidR="0064608D" w:rsidRPr="007E6BDC" w:rsidRDefault="45BA1AAA" w:rsidP="45BA1AAA">
            <w:pPr>
              <w:rPr>
                <w:rFonts w:eastAsia="Times New Roman" w:cs="Times New Roman"/>
                <w:sz w:val="21"/>
                <w:szCs w:val="21"/>
              </w:rPr>
            </w:pPr>
            <w:r w:rsidRPr="45BA1AAA">
              <w:rPr>
                <w:rFonts w:eastAsia="Times New Roman" w:cs="Times New Roman"/>
                <w:sz w:val="21"/>
                <w:szCs w:val="21"/>
              </w:rPr>
              <w:t>2025</w:t>
            </w:r>
          </w:p>
        </w:tc>
        <w:tc>
          <w:tcPr>
            <w:tcW w:w="5205" w:type="dxa"/>
            <w:noWrap/>
          </w:tcPr>
          <w:p w14:paraId="4CB6ACAC" w14:textId="7E7B1F37" w:rsidR="0064608D" w:rsidRPr="00A3182C" w:rsidRDefault="45BA1AAA" w:rsidP="45BA1AAA">
            <w:pPr>
              <w:rPr>
                <w:rFonts w:eastAsia="Times New Roman" w:cs="Times New Roman"/>
                <w:sz w:val="21"/>
                <w:szCs w:val="21"/>
              </w:rPr>
            </w:pPr>
            <w:r w:rsidRPr="45BA1AAA">
              <w:rPr>
                <w:rFonts w:eastAsia="Times New Roman" w:cs="Times New Roman"/>
                <w:sz w:val="21"/>
                <w:szCs w:val="21"/>
              </w:rPr>
              <w:t>The billion-pound question in fashion E-commerce: Investigating the anatomy of returns</w:t>
            </w:r>
          </w:p>
        </w:tc>
        <w:tc>
          <w:tcPr>
            <w:tcW w:w="1080" w:type="dxa"/>
            <w:noWrap/>
          </w:tcPr>
          <w:p w14:paraId="170B1270" w14:textId="799D1A8F" w:rsidR="0064608D" w:rsidRPr="007E6BDC" w:rsidRDefault="45BA1AAA" w:rsidP="45BA1AAA">
            <w:pPr>
              <w:rPr>
                <w:rFonts w:eastAsia="Times New Roman" w:cs="Times New Roman"/>
                <w:sz w:val="21"/>
                <w:szCs w:val="21"/>
              </w:rPr>
            </w:pPr>
            <w:r w:rsidRPr="45BA1AAA">
              <w:rPr>
                <w:rFonts w:eastAsia="Times New Roman" w:cs="Times New Roman"/>
                <w:sz w:val="21"/>
                <w:szCs w:val="21"/>
              </w:rPr>
              <w:t>TRE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tblGrid>
      <w:tr w:rsidR="00154E61" w:rsidRPr="005028D8" w14:paraId="2D7726B6" w14:textId="77777777" w:rsidTr="45BA1AAA">
        <w:trPr>
          <w:trHeight w:val="300"/>
        </w:trPr>
        <w:tc>
          <w:tcPr>
            <w:tcW w:w="9085" w:type="dxa"/>
            <w:tcBorders>
              <w:top w:val="single" w:sz="4" w:space="0" w:color="auto"/>
              <w:bottom w:val="single" w:sz="4" w:space="0" w:color="auto"/>
            </w:tcBorders>
          </w:tcPr>
          <w:p w14:paraId="56845329" w14:textId="77777777" w:rsidR="00154E61" w:rsidRPr="005028D8" w:rsidRDefault="45BA1AAA" w:rsidP="45BA1AAA">
            <w:pPr>
              <w:spacing w:line="276" w:lineRule="auto"/>
              <w:rPr>
                <w:color w:val="000000"/>
              </w:rPr>
            </w:pPr>
            <w:r w:rsidRPr="45BA1AAA">
              <w:rPr>
                <w:b/>
                <w:bCs/>
                <w:sz w:val="22"/>
                <w:szCs w:val="22"/>
              </w:rPr>
              <w:t>Source(s):</w:t>
            </w:r>
            <w:r w:rsidRPr="45BA1AAA">
              <w:rPr>
                <w:sz w:val="22"/>
                <w:szCs w:val="22"/>
              </w:rPr>
              <w:t xml:space="preserve"> Table created by authors</w:t>
            </w:r>
          </w:p>
        </w:tc>
      </w:tr>
    </w:tbl>
    <w:p w14:paraId="7FFFDBBE" w14:textId="49638EA7" w:rsidR="007E6BDC" w:rsidRPr="007E6BDC" w:rsidRDefault="007E6BDC" w:rsidP="007E6BDC">
      <w:pPr>
        <w:contextualSpacing/>
        <w:jc w:val="both"/>
        <w:rPr>
          <w:rFonts w:ascii="Times New Roman" w:hAnsi="Times New Roman" w:cs="Times New Roman"/>
          <w:sz w:val="21"/>
          <w:szCs w:val="21"/>
        </w:rPr>
      </w:pPr>
      <w:r w:rsidRPr="007E6BDC">
        <w:rPr>
          <w:rFonts w:ascii="Times New Roman" w:hAnsi="Times New Roman" w:cs="Times New Roman"/>
          <w:b/>
          <w:bCs/>
          <w:i/>
          <w:iCs/>
          <w:sz w:val="21"/>
          <w:szCs w:val="21"/>
        </w:rPr>
        <w:t>Note(s):</w:t>
      </w:r>
      <w:r w:rsidRPr="007E6BDC">
        <w:rPr>
          <w:rFonts w:ascii="Times New Roman" w:hAnsi="Times New Roman" w:cs="Times New Roman"/>
          <w:sz w:val="21"/>
          <w:szCs w:val="21"/>
        </w:rPr>
        <w:t xml:space="preserve"> Journal full titles: </w:t>
      </w:r>
      <w:r w:rsidRPr="007E6BDC">
        <w:rPr>
          <w:rFonts w:ascii="Times New Roman" w:hAnsi="Times New Roman" w:cs="Times New Roman"/>
          <w:i/>
          <w:sz w:val="21"/>
          <w:szCs w:val="21"/>
        </w:rPr>
        <w:t xml:space="preserve">California Management Review </w:t>
      </w:r>
      <w:r w:rsidRPr="007E6BDC">
        <w:rPr>
          <w:rFonts w:ascii="Times New Roman" w:hAnsi="Times New Roman" w:cs="Times New Roman"/>
          <w:iCs/>
          <w:sz w:val="21"/>
          <w:szCs w:val="21"/>
        </w:rPr>
        <w:t>(CMR)</w:t>
      </w:r>
      <w:r w:rsidRPr="007E6BDC">
        <w:rPr>
          <w:rFonts w:ascii="Times New Roman" w:hAnsi="Times New Roman" w:cs="Times New Roman"/>
          <w:sz w:val="21"/>
          <w:szCs w:val="21"/>
        </w:rPr>
        <w:t xml:space="preserve">; </w:t>
      </w:r>
      <w:r w:rsidRPr="007E6BDC">
        <w:rPr>
          <w:rFonts w:ascii="Times New Roman" w:hAnsi="Times New Roman" w:cs="Times New Roman"/>
          <w:i/>
          <w:sz w:val="21"/>
          <w:szCs w:val="21"/>
        </w:rPr>
        <w:t xml:space="preserve">IIE Transactions </w:t>
      </w:r>
      <w:r w:rsidRPr="007E6BDC">
        <w:rPr>
          <w:rFonts w:ascii="Times New Roman" w:hAnsi="Times New Roman" w:cs="Times New Roman"/>
          <w:iCs/>
          <w:sz w:val="21"/>
          <w:szCs w:val="21"/>
        </w:rPr>
        <w:t>(IIET);</w:t>
      </w:r>
      <w:r w:rsidRPr="007E6BDC">
        <w:rPr>
          <w:rFonts w:ascii="Times New Roman" w:hAnsi="Times New Roman" w:cs="Times New Roman"/>
          <w:sz w:val="21"/>
          <w:szCs w:val="21"/>
        </w:rPr>
        <w:t xml:space="preserve"> </w:t>
      </w:r>
      <w:r w:rsidRPr="007E6BDC">
        <w:rPr>
          <w:rFonts w:ascii="Times New Roman" w:hAnsi="Times New Roman" w:cs="Times New Roman"/>
          <w:i/>
          <w:sz w:val="21"/>
          <w:szCs w:val="21"/>
        </w:rPr>
        <w:t xml:space="preserve">International Journal of Logistics Management </w:t>
      </w:r>
      <w:r w:rsidRPr="007E6BDC">
        <w:rPr>
          <w:rFonts w:ascii="Times New Roman" w:hAnsi="Times New Roman" w:cs="Times New Roman"/>
          <w:iCs/>
          <w:sz w:val="21"/>
          <w:szCs w:val="21"/>
        </w:rPr>
        <w:t>(IJLM);</w:t>
      </w:r>
      <w:r w:rsidRPr="007E6BDC">
        <w:rPr>
          <w:rFonts w:ascii="Times New Roman" w:hAnsi="Times New Roman" w:cs="Times New Roman"/>
          <w:sz w:val="21"/>
          <w:szCs w:val="21"/>
        </w:rPr>
        <w:t xml:space="preserve"> </w:t>
      </w:r>
      <w:r w:rsidRPr="007E6BDC">
        <w:rPr>
          <w:rFonts w:ascii="Times New Roman" w:hAnsi="Times New Roman" w:cs="Times New Roman"/>
          <w:i/>
          <w:sz w:val="21"/>
          <w:szCs w:val="21"/>
        </w:rPr>
        <w:t xml:space="preserve">International Journal of Management Reviews </w:t>
      </w:r>
      <w:r w:rsidRPr="007E6BDC">
        <w:rPr>
          <w:rFonts w:ascii="Times New Roman" w:hAnsi="Times New Roman" w:cs="Times New Roman"/>
          <w:iCs/>
          <w:sz w:val="21"/>
          <w:szCs w:val="21"/>
        </w:rPr>
        <w:t>(IJMR);</w:t>
      </w:r>
      <w:r w:rsidRPr="007E6BDC">
        <w:rPr>
          <w:rFonts w:ascii="Times New Roman" w:hAnsi="Times New Roman" w:cs="Times New Roman"/>
          <w:sz w:val="21"/>
          <w:szCs w:val="21"/>
        </w:rPr>
        <w:t xml:space="preserve"> </w:t>
      </w:r>
      <w:r w:rsidR="0064608D" w:rsidRPr="00A3182C">
        <w:rPr>
          <w:rFonts w:ascii="Times New Roman" w:hAnsi="Times New Roman" w:cs="Times New Roman"/>
          <w:i/>
          <w:sz w:val="21"/>
          <w:szCs w:val="21"/>
        </w:rPr>
        <w:t>International Journal of Operations and Production Management</w:t>
      </w:r>
      <w:r w:rsidR="0064608D">
        <w:rPr>
          <w:rFonts w:ascii="Times New Roman" w:hAnsi="Times New Roman" w:cs="Times New Roman"/>
          <w:sz w:val="21"/>
          <w:szCs w:val="21"/>
        </w:rPr>
        <w:t xml:space="preserve"> (IJOPM); </w:t>
      </w:r>
      <w:r w:rsidRPr="007E6BDC">
        <w:rPr>
          <w:rFonts w:ascii="Times New Roman" w:hAnsi="Times New Roman" w:cs="Times New Roman"/>
          <w:i/>
          <w:iCs/>
          <w:sz w:val="21"/>
          <w:szCs w:val="21"/>
        </w:rPr>
        <w:t xml:space="preserve">International Journal of Physical Distribution &amp; Logistics Management </w:t>
      </w:r>
      <w:r w:rsidRPr="007E6BDC">
        <w:rPr>
          <w:rFonts w:ascii="Times New Roman" w:hAnsi="Times New Roman" w:cs="Times New Roman"/>
          <w:sz w:val="21"/>
          <w:szCs w:val="21"/>
        </w:rPr>
        <w:t xml:space="preserve">(IJPDLM); </w:t>
      </w:r>
      <w:r w:rsidRPr="007E6BDC">
        <w:rPr>
          <w:rFonts w:ascii="Times New Roman" w:hAnsi="Times New Roman" w:cs="Times New Roman"/>
          <w:i/>
          <w:iCs/>
          <w:sz w:val="21"/>
          <w:szCs w:val="21"/>
        </w:rPr>
        <w:t>International Journal of Production Management</w:t>
      </w:r>
      <w:r w:rsidRPr="007E6BDC">
        <w:rPr>
          <w:rFonts w:ascii="Times New Roman" w:hAnsi="Times New Roman" w:cs="Times New Roman"/>
          <w:sz w:val="21"/>
          <w:szCs w:val="21"/>
        </w:rPr>
        <w:t xml:space="preserve"> (IJPR); </w:t>
      </w:r>
      <w:r w:rsidRPr="007E6BDC">
        <w:rPr>
          <w:rFonts w:ascii="Times New Roman" w:hAnsi="Times New Roman" w:cs="Times New Roman"/>
          <w:i/>
          <w:sz w:val="21"/>
          <w:szCs w:val="21"/>
        </w:rPr>
        <w:t xml:space="preserve">Journal of Business Logistics </w:t>
      </w:r>
      <w:r w:rsidRPr="007E6BDC">
        <w:rPr>
          <w:rFonts w:ascii="Times New Roman" w:hAnsi="Times New Roman" w:cs="Times New Roman"/>
          <w:iCs/>
          <w:sz w:val="21"/>
          <w:szCs w:val="21"/>
        </w:rPr>
        <w:t>(JBL);</w:t>
      </w:r>
      <w:r w:rsidRPr="007E6BDC">
        <w:rPr>
          <w:rFonts w:ascii="Times New Roman" w:hAnsi="Times New Roman" w:cs="Times New Roman"/>
          <w:sz w:val="21"/>
          <w:szCs w:val="21"/>
        </w:rPr>
        <w:t xml:space="preserve"> </w:t>
      </w:r>
      <w:r w:rsidRPr="007E6BDC">
        <w:rPr>
          <w:rFonts w:ascii="Times New Roman" w:hAnsi="Times New Roman" w:cs="Times New Roman"/>
          <w:i/>
          <w:sz w:val="21"/>
          <w:szCs w:val="21"/>
        </w:rPr>
        <w:t xml:space="preserve">Journal of Operations Management </w:t>
      </w:r>
      <w:r w:rsidRPr="007E6BDC">
        <w:rPr>
          <w:rFonts w:ascii="Times New Roman" w:hAnsi="Times New Roman" w:cs="Times New Roman"/>
          <w:iCs/>
          <w:sz w:val="21"/>
          <w:szCs w:val="21"/>
        </w:rPr>
        <w:t>(JOM);</w:t>
      </w:r>
      <w:r w:rsidRPr="007E6BDC">
        <w:rPr>
          <w:rFonts w:ascii="Times New Roman" w:hAnsi="Times New Roman" w:cs="Times New Roman"/>
          <w:sz w:val="21"/>
          <w:szCs w:val="21"/>
        </w:rPr>
        <w:t xml:space="preserve"> </w:t>
      </w:r>
      <w:r w:rsidRPr="007E6BDC">
        <w:rPr>
          <w:rFonts w:ascii="Times New Roman" w:hAnsi="Times New Roman" w:cs="Times New Roman"/>
          <w:i/>
          <w:sz w:val="21"/>
          <w:szCs w:val="21"/>
        </w:rPr>
        <w:t>MIT Sloan Management Review</w:t>
      </w:r>
      <w:r w:rsidRPr="007E6BDC">
        <w:rPr>
          <w:rFonts w:ascii="Times New Roman" w:hAnsi="Times New Roman" w:cs="Times New Roman"/>
          <w:sz w:val="21"/>
          <w:szCs w:val="21"/>
        </w:rPr>
        <w:t xml:space="preserve"> (MITSMR); </w:t>
      </w:r>
      <w:r w:rsidRPr="007E6BDC">
        <w:rPr>
          <w:rFonts w:ascii="Times New Roman" w:hAnsi="Times New Roman" w:cs="Times New Roman"/>
          <w:i/>
          <w:sz w:val="21"/>
          <w:szCs w:val="21"/>
        </w:rPr>
        <w:t xml:space="preserve">Operations Research </w:t>
      </w:r>
      <w:r w:rsidRPr="007E6BDC">
        <w:rPr>
          <w:rFonts w:ascii="Times New Roman" w:hAnsi="Times New Roman" w:cs="Times New Roman"/>
          <w:iCs/>
          <w:sz w:val="21"/>
          <w:szCs w:val="21"/>
        </w:rPr>
        <w:t>(OR);</w:t>
      </w:r>
      <w:r w:rsidRPr="007E6BDC">
        <w:rPr>
          <w:rFonts w:ascii="Times New Roman" w:hAnsi="Times New Roman" w:cs="Times New Roman"/>
          <w:sz w:val="21"/>
          <w:szCs w:val="21"/>
        </w:rPr>
        <w:t xml:space="preserve"> </w:t>
      </w:r>
      <w:r w:rsidRPr="007E6BDC">
        <w:rPr>
          <w:rFonts w:ascii="Times New Roman" w:hAnsi="Times New Roman" w:cs="Times New Roman"/>
          <w:i/>
          <w:sz w:val="21"/>
          <w:szCs w:val="21"/>
        </w:rPr>
        <w:t>Production and Operations Management</w:t>
      </w:r>
      <w:r w:rsidRPr="007E6BDC">
        <w:rPr>
          <w:rFonts w:ascii="Times New Roman" w:hAnsi="Times New Roman" w:cs="Times New Roman"/>
          <w:sz w:val="21"/>
          <w:szCs w:val="21"/>
        </w:rPr>
        <w:t xml:space="preserve"> (POM); </w:t>
      </w:r>
      <w:r w:rsidRPr="007E6BDC">
        <w:rPr>
          <w:rFonts w:ascii="Times New Roman" w:hAnsi="Times New Roman" w:cs="Times New Roman"/>
          <w:i/>
          <w:sz w:val="21"/>
          <w:szCs w:val="21"/>
        </w:rPr>
        <w:t>Resources, Conservation, and Recycling</w:t>
      </w:r>
      <w:r w:rsidRPr="007E6BDC">
        <w:rPr>
          <w:rFonts w:ascii="Times New Roman" w:hAnsi="Times New Roman" w:cs="Times New Roman"/>
          <w:sz w:val="21"/>
          <w:szCs w:val="21"/>
        </w:rPr>
        <w:t xml:space="preserve"> (RCR</w:t>
      </w:r>
      <w:r w:rsidRPr="00A3182C">
        <w:rPr>
          <w:rFonts w:ascii="Times New Roman" w:hAnsi="Times New Roman" w:cs="Times New Roman"/>
          <w:i/>
          <w:iCs/>
          <w:sz w:val="21"/>
          <w:szCs w:val="21"/>
        </w:rPr>
        <w:t>)</w:t>
      </w:r>
      <w:r w:rsidR="0064608D" w:rsidRPr="00A3182C">
        <w:rPr>
          <w:rFonts w:ascii="Times New Roman" w:hAnsi="Times New Roman" w:cs="Times New Roman"/>
          <w:i/>
          <w:iCs/>
          <w:sz w:val="21"/>
          <w:szCs w:val="21"/>
        </w:rPr>
        <w:t>;</w:t>
      </w:r>
      <w:r w:rsidR="0064608D">
        <w:rPr>
          <w:rFonts w:ascii="Times New Roman" w:hAnsi="Times New Roman" w:cs="Times New Roman"/>
          <w:i/>
          <w:iCs/>
          <w:sz w:val="21"/>
          <w:szCs w:val="21"/>
        </w:rPr>
        <w:t xml:space="preserve"> </w:t>
      </w:r>
      <w:r w:rsidR="0064608D" w:rsidRPr="00A3182C">
        <w:rPr>
          <w:rFonts w:ascii="Times New Roman" w:hAnsi="Times New Roman" w:cs="Times New Roman"/>
          <w:i/>
          <w:iCs/>
          <w:sz w:val="21"/>
          <w:szCs w:val="21"/>
        </w:rPr>
        <w:t>Transportation Research Part E: The Logistics and Transportation Review (TRE)</w:t>
      </w:r>
      <w:r w:rsidRPr="00A3182C">
        <w:rPr>
          <w:rFonts w:ascii="Times New Roman" w:hAnsi="Times New Roman" w:cs="Times New Roman"/>
          <w:i/>
          <w:iCs/>
          <w:sz w:val="21"/>
          <w:szCs w:val="21"/>
        </w:rPr>
        <w:t>.</w:t>
      </w:r>
    </w:p>
    <w:p w14:paraId="7B439723" w14:textId="77777777" w:rsidR="007E6BDC" w:rsidRDefault="007E6BDC" w:rsidP="00240696">
      <w:pPr>
        <w:spacing w:after="240"/>
        <w:rPr>
          <w:rFonts w:ascii="Times New Roman" w:hAnsi="Times New Roman" w:cs="Times New Roman"/>
          <w:bCs/>
        </w:rPr>
      </w:pPr>
    </w:p>
    <w:p w14:paraId="1435768E" w14:textId="77777777" w:rsidR="00B84DA8" w:rsidRDefault="00B84DA8" w:rsidP="00240696">
      <w:pPr>
        <w:spacing w:after="240"/>
        <w:rPr>
          <w:rFonts w:ascii="Times New Roman" w:hAnsi="Times New Roman" w:cs="Times New Roman"/>
          <w:bCs/>
        </w:rPr>
      </w:pPr>
    </w:p>
    <w:p w14:paraId="4EC23280" w14:textId="666424D1" w:rsidR="00DA10CA" w:rsidRDefault="00DA10CA">
      <w:pPr>
        <w:rPr>
          <w:rFonts w:ascii="Times New Roman" w:hAnsi="Times New Roman" w:cs="Times New Roman"/>
          <w:bCs/>
        </w:rPr>
      </w:pPr>
      <w:r>
        <w:rPr>
          <w:rFonts w:ascii="Times New Roman" w:hAnsi="Times New Roman" w:cs="Times New Roman"/>
          <w:bCs/>
        </w:rPr>
        <w:br w:type="page"/>
      </w:r>
    </w:p>
    <w:p w14:paraId="521B4C9A" w14:textId="75445EBC" w:rsidR="007C6C31" w:rsidRDefault="007C6C31" w:rsidP="007C6C31">
      <w:pPr>
        <w:rPr>
          <w:rFonts w:ascii="Times New Roman" w:hAnsi="Times New Roman" w:cs="Times New Roman"/>
          <w:bCs/>
        </w:rPr>
      </w:pPr>
      <w:r w:rsidRPr="00A3182C">
        <w:rPr>
          <w:rFonts w:ascii="Times New Roman" w:hAnsi="Times New Roman" w:cs="Times New Roman"/>
          <w:b/>
        </w:rPr>
        <w:lastRenderedPageBreak/>
        <w:t>Table B</w:t>
      </w:r>
      <w:r w:rsidRPr="00A3182C">
        <w:rPr>
          <w:rFonts w:ascii="Times New Roman" w:hAnsi="Times New Roman" w:cs="Times New Roman"/>
          <w:bCs/>
        </w:rPr>
        <w:t xml:space="preserve">. Returns management dimension classification of extant literature. </w:t>
      </w:r>
    </w:p>
    <w:p w14:paraId="34953529" w14:textId="77777777" w:rsidR="007C6C31" w:rsidRPr="00A3182C" w:rsidRDefault="007C6C31" w:rsidP="007C6C31">
      <w:pPr>
        <w:rPr>
          <w:rFonts w:ascii="Times New Roman" w:hAnsi="Times New Roman" w:cs="Times New Roman"/>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260"/>
      </w:tblGrid>
      <w:tr w:rsidR="007C6C31" w:rsidRPr="005028D8" w14:paraId="09591AEA" w14:textId="77777777" w:rsidTr="45BA1AAA">
        <w:trPr>
          <w:trHeight w:val="360"/>
          <w:jc w:val="center"/>
        </w:trPr>
        <w:tc>
          <w:tcPr>
            <w:tcW w:w="3600" w:type="dxa"/>
            <w:tcBorders>
              <w:top w:val="single" w:sz="4" w:space="0" w:color="auto"/>
              <w:bottom w:val="single" w:sz="4" w:space="0" w:color="auto"/>
            </w:tcBorders>
          </w:tcPr>
          <w:p w14:paraId="7C5694A5" w14:textId="77777777" w:rsidR="007C6C31" w:rsidRPr="00F620AD" w:rsidRDefault="45BA1AAA" w:rsidP="45BA1AAA">
            <w:pPr>
              <w:rPr>
                <w:rFonts w:eastAsia="Times New Roman" w:cs="Times New Roman"/>
                <w:b/>
                <w:bCs/>
                <w:sz w:val="21"/>
                <w:szCs w:val="21"/>
              </w:rPr>
            </w:pPr>
            <w:r w:rsidRPr="45BA1AAA">
              <w:rPr>
                <w:rFonts w:eastAsia="Times New Roman" w:cs="Times New Roman"/>
                <w:b/>
                <w:bCs/>
                <w:sz w:val="21"/>
                <w:szCs w:val="21"/>
              </w:rPr>
              <w:t>Returns management areas</w:t>
            </w:r>
          </w:p>
        </w:tc>
        <w:tc>
          <w:tcPr>
            <w:tcW w:w="1260" w:type="dxa"/>
            <w:tcBorders>
              <w:top w:val="single" w:sz="4" w:space="0" w:color="auto"/>
              <w:bottom w:val="single" w:sz="4" w:space="0" w:color="auto"/>
            </w:tcBorders>
          </w:tcPr>
          <w:p w14:paraId="209182F1" w14:textId="6A5946B2" w:rsidR="007C6C31" w:rsidRPr="00F620AD" w:rsidRDefault="45BA1AAA" w:rsidP="45BA1AAA">
            <w:pPr>
              <w:rPr>
                <w:rFonts w:eastAsia="Times New Roman" w:cs="Times New Roman"/>
                <w:b/>
                <w:bCs/>
                <w:sz w:val="21"/>
                <w:szCs w:val="21"/>
              </w:rPr>
            </w:pPr>
            <w:r w:rsidRPr="45BA1AAA">
              <w:rPr>
                <w:rFonts w:eastAsia="Times New Roman" w:cs="Times New Roman"/>
                <w:b/>
                <w:bCs/>
                <w:sz w:val="21"/>
                <w:szCs w:val="21"/>
              </w:rPr>
              <w:t>Frequency</w:t>
            </w:r>
          </w:p>
        </w:tc>
      </w:tr>
      <w:tr w:rsidR="007C6C31" w:rsidRPr="005028D8" w14:paraId="3B7F55B9" w14:textId="77777777" w:rsidTr="45BA1AAA">
        <w:trPr>
          <w:trHeight w:val="360"/>
          <w:jc w:val="center"/>
        </w:trPr>
        <w:tc>
          <w:tcPr>
            <w:tcW w:w="3600" w:type="dxa"/>
            <w:tcBorders>
              <w:top w:val="single" w:sz="4" w:space="0" w:color="auto"/>
            </w:tcBorders>
          </w:tcPr>
          <w:p w14:paraId="3A6A41CC"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Processing</w:t>
            </w:r>
          </w:p>
        </w:tc>
        <w:tc>
          <w:tcPr>
            <w:tcW w:w="1260" w:type="dxa"/>
            <w:tcBorders>
              <w:top w:val="single" w:sz="4" w:space="0" w:color="auto"/>
            </w:tcBorders>
          </w:tcPr>
          <w:p w14:paraId="196B1131"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52</w:t>
            </w:r>
          </w:p>
        </w:tc>
      </w:tr>
      <w:tr w:rsidR="007C6C31" w:rsidRPr="005028D8" w14:paraId="2A4CECAD" w14:textId="77777777" w:rsidTr="45BA1AAA">
        <w:trPr>
          <w:trHeight w:val="360"/>
          <w:jc w:val="center"/>
        </w:trPr>
        <w:tc>
          <w:tcPr>
            <w:tcW w:w="3600" w:type="dxa"/>
          </w:tcPr>
          <w:p w14:paraId="1F087AA4"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Asset recovery</w:t>
            </w:r>
          </w:p>
        </w:tc>
        <w:tc>
          <w:tcPr>
            <w:tcW w:w="1260" w:type="dxa"/>
          </w:tcPr>
          <w:p w14:paraId="2355B6A7"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29</w:t>
            </w:r>
          </w:p>
        </w:tc>
      </w:tr>
      <w:tr w:rsidR="007C6C31" w:rsidRPr="005028D8" w14:paraId="1CB733E2" w14:textId="77777777" w:rsidTr="45BA1AAA">
        <w:trPr>
          <w:trHeight w:val="360"/>
          <w:jc w:val="center"/>
        </w:trPr>
        <w:tc>
          <w:tcPr>
            <w:tcW w:w="3600" w:type="dxa"/>
          </w:tcPr>
          <w:p w14:paraId="642071AD"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Network design</w:t>
            </w:r>
          </w:p>
        </w:tc>
        <w:tc>
          <w:tcPr>
            <w:tcW w:w="1260" w:type="dxa"/>
          </w:tcPr>
          <w:p w14:paraId="4BB5E8F7"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23</w:t>
            </w:r>
          </w:p>
        </w:tc>
      </w:tr>
      <w:tr w:rsidR="007C6C31" w:rsidRPr="005028D8" w14:paraId="4060DE2E" w14:textId="77777777" w:rsidTr="45BA1AAA">
        <w:trPr>
          <w:trHeight w:val="360"/>
          <w:jc w:val="center"/>
        </w:trPr>
        <w:tc>
          <w:tcPr>
            <w:tcW w:w="3600" w:type="dxa"/>
          </w:tcPr>
          <w:p w14:paraId="3B4E2B03"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 xml:space="preserve">Customer interface </w:t>
            </w:r>
          </w:p>
        </w:tc>
        <w:tc>
          <w:tcPr>
            <w:tcW w:w="1260" w:type="dxa"/>
          </w:tcPr>
          <w:p w14:paraId="40D4D7A0"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20</w:t>
            </w:r>
          </w:p>
        </w:tc>
      </w:tr>
      <w:tr w:rsidR="007C6C31" w:rsidRPr="005028D8" w14:paraId="7991B100" w14:textId="77777777" w:rsidTr="45BA1AAA">
        <w:trPr>
          <w:trHeight w:val="360"/>
          <w:jc w:val="center"/>
        </w:trPr>
        <w:tc>
          <w:tcPr>
            <w:tcW w:w="3600" w:type="dxa"/>
          </w:tcPr>
          <w:p w14:paraId="5F38685F"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Information systems support</w:t>
            </w:r>
          </w:p>
        </w:tc>
        <w:tc>
          <w:tcPr>
            <w:tcW w:w="1260" w:type="dxa"/>
          </w:tcPr>
          <w:p w14:paraId="1208E04D" w14:textId="77777777" w:rsidR="007C6C31" w:rsidRPr="005028D8" w:rsidRDefault="45BA1AAA" w:rsidP="45BA1AAA">
            <w:pPr>
              <w:rPr>
                <w:rFonts w:eastAsia="Times New Roman" w:cs="Times New Roman"/>
                <w:sz w:val="21"/>
                <w:szCs w:val="21"/>
              </w:rPr>
            </w:pPr>
            <w:r w:rsidRPr="45BA1AAA">
              <w:rPr>
                <w:rFonts w:eastAsia="Times New Roman" w:cs="Times New Roman"/>
                <w:color w:val="000000" w:themeColor="text1"/>
                <w:sz w:val="21"/>
                <w:szCs w:val="21"/>
              </w:rPr>
              <w:t>15</w:t>
            </w:r>
          </w:p>
        </w:tc>
      </w:tr>
      <w:tr w:rsidR="007C6C31" w:rsidRPr="005028D8" w14:paraId="7FA0CBA3" w14:textId="77777777" w:rsidTr="45BA1AAA">
        <w:trPr>
          <w:trHeight w:val="395"/>
          <w:jc w:val="center"/>
        </w:trPr>
        <w:tc>
          <w:tcPr>
            <w:tcW w:w="3600" w:type="dxa"/>
            <w:tcBorders>
              <w:bottom w:val="single" w:sz="4" w:space="0" w:color="auto"/>
            </w:tcBorders>
          </w:tcPr>
          <w:p w14:paraId="654054B1"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Cannot be classified</w:t>
            </w:r>
          </w:p>
        </w:tc>
        <w:tc>
          <w:tcPr>
            <w:tcW w:w="1260" w:type="dxa"/>
            <w:tcBorders>
              <w:bottom w:val="single" w:sz="4" w:space="0" w:color="auto"/>
            </w:tcBorders>
          </w:tcPr>
          <w:p w14:paraId="6FFE08B4" w14:textId="77777777" w:rsidR="007C6C31" w:rsidRPr="005028D8" w:rsidRDefault="45BA1AAA" w:rsidP="45BA1AAA">
            <w:pPr>
              <w:rPr>
                <w:rFonts w:eastAsia="Times New Roman" w:cs="Times New Roman"/>
                <w:sz w:val="21"/>
                <w:szCs w:val="21"/>
              </w:rPr>
            </w:pPr>
            <w:r w:rsidRPr="45BA1AAA">
              <w:rPr>
                <w:rFonts w:eastAsia="Times New Roman" w:cs="Times New Roman"/>
                <w:color w:val="000000" w:themeColor="text1"/>
                <w:sz w:val="21"/>
                <w:szCs w:val="21"/>
              </w:rPr>
              <w:t>13</w:t>
            </w:r>
          </w:p>
        </w:tc>
      </w:tr>
      <w:tr w:rsidR="007C6C31" w:rsidRPr="005028D8" w14:paraId="2B104BD0" w14:textId="77777777" w:rsidTr="45BA1AAA">
        <w:trPr>
          <w:trHeight w:val="360"/>
          <w:jc w:val="center"/>
        </w:trPr>
        <w:tc>
          <w:tcPr>
            <w:tcW w:w="3600" w:type="dxa"/>
            <w:tcBorders>
              <w:top w:val="single" w:sz="4" w:space="0" w:color="auto"/>
              <w:bottom w:val="single" w:sz="4" w:space="0" w:color="auto"/>
            </w:tcBorders>
          </w:tcPr>
          <w:p w14:paraId="56B11BEF" w14:textId="77777777" w:rsidR="007C6C31" w:rsidRPr="005028D8" w:rsidRDefault="45BA1AAA" w:rsidP="45BA1AAA">
            <w:pPr>
              <w:rPr>
                <w:rFonts w:eastAsia="Times New Roman" w:cs="Times New Roman"/>
                <w:sz w:val="21"/>
                <w:szCs w:val="21"/>
              </w:rPr>
            </w:pPr>
            <w:r w:rsidRPr="45BA1AAA">
              <w:rPr>
                <w:rFonts w:eastAsia="Times New Roman" w:cs="Times New Roman"/>
                <w:sz w:val="21"/>
                <w:szCs w:val="21"/>
              </w:rPr>
              <w:t xml:space="preserve">Total </w:t>
            </w:r>
          </w:p>
        </w:tc>
        <w:tc>
          <w:tcPr>
            <w:tcW w:w="1260" w:type="dxa"/>
            <w:tcBorders>
              <w:top w:val="single" w:sz="4" w:space="0" w:color="auto"/>
              <w:bottom w:val="single" w:sz="4" w:space="0" w:color="auto"/>
            </w:tcBorders>
          </w:tcPr>
          <w:p w14:paraId="63897311" w14:textId="77777777" w:rsidR="007C6C31" w:rsidRPr="005028D8" w:rsidRDefault="45BA1AAA" w:rsidP="45BA1AAA">
            <w:pPr>
              <w:rPr>
                <w:rFonts w:eastAsia="Times New Roman" w:cs="Times New Roman"/>
                <w:sz w:val="21"/>
                <w:szCs w:val="21"/>
              </w:rPr>
            </w:pPr>
            <w:r w:rsidRPr="45BA1AAA">
              <w:rPr>
                <w:rFonts w:eastAsia="Times New Roman" w:cs="Times New Roman"/>
                <w:color w:val="000000" w:themeColor="text1"/>
                <w:sz w:val="21"/>
                <w:szCs w:val="21"/>
              </w:rPr>
              <w:t>152</w:t>
            </w:r>
          </w:p>
        </w:tc>
      </w:tr>
    </w:tbl>
    <w:p w14:paraId="2B392EF9" w14:textId="4189EC6C" w:rsidR="007C6C31" w:rsidRPr="005028D8" w:rsidRDefault="50B5A393" w:rsidP="50B5A393">
      <w:pPr>
        <w:contextualSpacing/>
        <w:jc w:val="both"/>
        <w:rPr>
          <w:rFonts w:cs="Times New Roman"/>
        </w:rPr>
      </w:pPr>
      <w:r w:rsidRPr="50B5A393">
        <w:rPr>
          <w:rFonts w:ascii="Times New Roman" w:hAnsi="Times New Roman" w:cs="Times New Roman"/>
          <w:b/>
          <w:bCs/>
          <w:sz w:val="22"/>
          <w:szCs w:val="22"/>
        </w:rPr>
        <w:t>Source(s):</w:t>
      </w:r>
      <w:r w:rsidRPr="50B5A393">
        <w:rPr>
          <w:rFonts w:ascii="Times New Roman" w:hAnsi="Times New Roman" w:cs="Times New Roman"/>
          <w:sz w:val="22"/>
          <w:szCs w:val="22"/>
        </w:rPr>
        <w:t xml:space="preserve"> Table created by authors</w:t>
      </w:r>
    </w:p>
    <w:p w14:paraId="4BCBDA14" w14:textId="77777777" w:rsidR="007C6C31" w:rsidRDefault="007C6C31" w:rsidP="007C6C31">
      <w:pPr>
        <w:contextualSpacing/>
        <w:jc w:val="both"/>
        <w:rPr>
          <w:rFonts w:cs="Times New Roman"/>
        </w:rPr>
      </w:pPr>
    </w:p>
    <w:p w14:paraId="74CAFC4C" w14:textId="77777777" w:rsidR="00DA10CA" w:rsidRDefault="00DA10CA" w:rsidP="007C6C31">
      <w:pPr>
        <w:contextualSpacing/>
        <w:jc w:val="both"/>
        <w:rPr>
          <w:rFonts w:cs="Times New Roman"/>
        </w:rPr>
      </w:pPr>
    </w:p>
    <w:p w14:paraId="64D19C86" w14:textId="77777777" w:rsidR="00DA10CA" w:rsidRDefault="00DA10CA" w:rsidP="007C6C31">
      <w:pPr>
        <w:contextualSpacing/>
        <w:jc w:val="both"/>
        <w:rPr>
          <w:rFonts w:cs="Times New Roman"/>
        </w:rPr>
      </w:pPr>
    </w:p>
    <w:p w14:paraId="4667C80F" w14:textId="77777777" w:rsidR="00DA10CA" w:rsidRDefault="00DA10CA" w:rsidP="007C6C31">
      <w:pPr>
        <w:contextualSpacing/>
        <w:jc w:val="both"/>
        <w:rPr>
          <w:rFonts w:cs="Times New Roman"/>
        </w:rPr>
      </w:pPr>
    </w:p>
    <w:p w14:paraId="5D1DFE26" w14:textId="77777777" w:rsidR="00DA10CA" w:rsidRDefault="00DA10CA" w:rsidP="007C6C31">
      <w:pPr>
        <w:contextualSpacing/>
        <w:jc w:val="both"/>
        <w:rPr>
          <w:rFonts w:cs="Times New Roman"/>
        </w:rPr>
      </w:pPr>
    </w:p>
    <w:p w14:paraId="77B2B4C9" w14:textId="77777777" w:rsidR="00DA10CA" w:rsidRPr="005028D8" w:rsidRDefault="00DA10CA" w:rsidP="007C6C31">
      <w:pPr>
        <w:contextualSpacing/>
        <w:jc w:val="both"/>
        <w:rPr>
          <w:rFonts w:cs="Times New Roman"/>
        </w:rPr>
      </w:pPr>
    </w:p>
    <w:p w14:paraId="5910F085" w14:textId="67175CDD" w:rsidR="00240696" w:rsidRPr="007E6BDC" w:rsidRDefault="50B5A393" w:rsidP="00240696">
      <w:pPr>
        <w:spacing w:after="240"/>
        <w:rPr>
          <w:rFonts w:ascii="Times New Roman" w:hAnsi="Times New Roman" w:cs="Times New Roman"/>
        </w:rPr>
      </w:pPr>
      <w:r w:rsidRPr="50B5A393">
        <w:rPr>
          <w:rFonts w:ascii="Times New Roman" w:hAnsi="Times New Roman" w:cs="Times New Roman"/>
          <w:b/>
          <w:bCs/>
        </w:rPr>
        <w:t>Table C.</w:t>
      </w:r>
      <w:r w:rsidRPr="50B5A393">
        <w:rPr>
          <w:rFonts w:ascii="Times New Roman" w:hAnsi="Times New Roman" w:cs="Times New Roman"/>
        </w:rPr>
        <w:t xml:space="preserve"> Study 1 semi-structured interview participant profile.</w:t>
      </w:r>
    </w:p>
    <w:tbl>
      <w:tblPr>
        <w:tblW w:w="8190" w:type="dxa"/>
        <w:jc w:val="center"/>
        <w:tblLayout w:type="fixed"/>
        <w:tblLook w:val="04A0" w:firstRow="1" w:lastRow="0" w:firstColumn="1" w:lastColumn="0" w:noHBand="0" w:noVBand="1"/>
      </w:tblPr>
      <w:tblGrid>
        <w:gridCol w:w="1215"/>
        <w:gridCol w:w="2130"/>
        <w:gridCol w:w="3495"/>
        <w:gridCol w:w="1350"/>
      </w:tblGrid>
      <w:tr w:rsidR="00240696" w:rsidRPr="00A3182C" w14:paraId="5B13D85B" w14:textId="77777777" w:rsidTr="45BA1AAA">
        <w:trPr>
          <w:trHeight w:val="465"/>
          <w:jc w:val="center"/>
        </w:trPr>
        <w:tc>
          <w:tcPr>
            <w:tcW w:w="1215" w:type="dxa"/>
            <w:tcBorders>
              <w:top w:val="single" w:sz="4" w:space="0" w:color="auto"/>
              <w:bottom w:val="single" w:sz="4" w:space="0" w:color="auto"/>
            </w:tcBorders>
            <w:vAlign w:val="center"/>
            <w:hideMark/>
          </w:tcPr>
          <w:p w14:paraId="79E80E55" w14:textId="77777777" w:rsidR="00240696" w:rsidRPr="00A3182C" w:rsidRDefault="00240696" w:rsidP="00A3182C">
            <w:pPr>
              <w:tabs>
                <w:tab w:val="center" w:pos="4320"/>
                <w:tab w:val="right" w:pos="8640"/>
              </w:tabs>
              <w:jc w:val="center"/>
              <w:rPr>
                <w:rFonts w:ascii="Times New Roman" w:eastAsia="Calibri" w:hAnsi="Times New Roman" w:cs="Times New Roman"/>
                <w:b/>
                <w:sz w:val="21"/>
                <w:szCs w:val="21"/>
              </w:rPr>
            </w:pPr>
            <w:r w:rsidRPr="00A3182C">
              <w:rPr>
                <w:rFonts w:ascii="Times New Roman" w:eastAsia="Calibri" w:hAnsi="Times New Roman" w:cs="Times New Roman"/>
                <w:b/>
                <w:sz w:val="21"/>
                <w:szCs w:val="21"/>
              </w:rPr>
              <w:t>Interview</w:t>
            </w:r>
          </w:p>
        </w:tc>
        <w:tc>
          <w:tcPr>
            <w:tcW w:w="2130" w:type="dxa"/>
            <w:tcBorders>
              <w:top w:val="single" w:sz="4" w:space="0" w:color="auto"/>
              <w:bottom w:val="single" w:sz="4" w:space="0" w:color="auto"/>
            </w:tcBorders>
            <w:vAlign w:val="center"/>
            <w:hideMark/>
          </w:tcPr>
          <w:p w14:paraId="567AC1EC" w14:textId="77777777" w:rsidR="00240696" w:rsidRPr="00A3182C" w:rsidRDefault="00240696" w:rsidP="00BD2DBA">
            <w:pPr>
              <w:tabs>
                <w:tab w:val="center" w:pos="4320"/>
                <w:tab w:val="right" w:pos="8640"/>
              </w:tabs>
              <w:rPr>
                <w:rFonts w:ascii="Times New Roman" w:eastAsia="Calibri" w:hAnsi="Times New Roman" w:cs="Times New Roman"/>
                <w:b/>
                <w:sz w:val="21"/>
                <w:szCs w:val="21"/>
              </w:rPr>
            </w:pPr>
            <w:r w:rsidRPr="00A3182C">
              <w:rPr>
                <w:rFonts w:ascii="Times New Roman" w:eastAsia="Calibri" w:hAnsi="Times New Roman" w:cs="Times New Roman"/>
                <w:b/>
                <w:sz w:val="21"/>
                <w:szCs w:val="21"/>
              </w:rPr>
              <w:t>Industry</w:t>
            </w:r>
          </w:p>
        </w:tc>
        <w:tc>
          <w:tcPr>
            <w:tcW w:w="3495" w:type="dxa"/>
            <w:tcBorders>
              <w:top w:val="single" w:sz="4" w:space="0" w:color="auto"/>
              <w:bottom w:val="single" w:sz="4" w:space="0" w:color="auto"/>
            </w:tcBorders>
            <w:vAlign w:val="center"/>
            <w:hideMark/>
          </w:tcPr>
          <w:p w14:paraId="3E6E5C11" w14:textId="77777777" w:rsidR="00240696" w:rsidRPr="00A3182C" w:rsidRDefault="00240696" w:rsidP="00BD2DBA">
            <w:pPr>
              <w:tabs>
                <w:tab w:val="center" w:pos="4320"/>
                <w:tab w:val="right" w:pos="8640"/>
              </w:tabs>
              <w:rPr>
                <w:rFonts w:ascii="Times New Roman" w:eastAsia="Calibri" w:hAnsi="Times New Roman" w:cs="Times New Roman"/>
                <w:b/>
                <w:sz w:val="21"/>
                <w:szCs w:val="21"/>
              </w:rPr>
            </w:pPr>
            <w:r w:rsidRPr="00A3182C">
              <w:rPr>
                <w:rFonts w:ascii="Times New Roman" w:eastAsia="Calibri" w:hAnsi="Times New Roman" w:cs="Times New Roman"/>
                <w:b/>
                <w:sz w:val="21"/>
                <w:szCs w:val="21"/>
              </w:rPr>
              <w:t>Position</w:t>
            </w:r>
          </w:p>
        </w:tc>
        <w:tc>
          <w:tcPr>
            <w:tcW w:w="1350" w:type="dxa"/>
            <w:tcBorders>
              <w:top w:val="single" w:sz="4" w:space="0" w:color="auto"/>
              <w:bottom w:val="single" w:sz="4" w:space="0" w:color="auto"/>
            </w:tcBorders>
            <w:vAlign w:val="center"/>
            <w:hideMark/>
          </w:tcPr>
          <w:p w14:paraId="2ACED025" w14:textId="2C6EFC8F" w:rsidR="00240696" w:rsidRPr="00A3182C" w:rsidRDefault="00240696" w:rsidP="00A3182C">
            <w:pPr>
              <w:tabs>
                <w:tab w:val="center" w:pos="4320"/>
                <w:tab w:val="right" w:pos="8640"/>
              </w:tabs>
              <w:jc w:val="center"/>
              <w:rPr>
                <w:rFonts w:ascii="Times New Roman" w:eastAsia="Calibri" w:hAnsi="Times New Roman" w:cs="Times New Roman"/>
                <w:b/>
                <w:sz w:val="21"/>
                <w:szCs w:val="21"/>
              </w:rPr>
            </w:pPr>
            <w:r w:rsidRPr="00A3182C">
              <w:rPr>
                <w:rFonts w:ascii="Times New Roman" w:eastAsia="Calibri" w:hAnsi="Times New Roman" w:cs="Times New Roman"/>
                <w:b/>
                <w:sz w:val="21"/>
                <w:szCs w:val="21"/>
              </w:rPr>
              <w:t>Years of Experience</w:t>
            </w:r>
          </w:p>
        </w:tc>
      </w:tr>
      <w:tr w:rsidR="00240696" w:rsidRPr="00240696" w14:paraId="2BB606C7" w14:textId="77777777" w:rsidTr="45BA1AAA">
        <w:trPr>
          <w:trHeight w:val="20"/>
          <w:jc w:val="center"/>
        </w:trPr>
        <w:tc>
          <w:tcPr>
            <w:tcW w:w="1215" w:type="dxa"/>
            <w:tcBorders>
              <w:top w:val="single" w:sz="4" w:space="0" w:color="auto"/>
            </w:tcBorders>
          </w:tcPr>
          <w:p w14:paraId="23600EC0"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1</w:t>
            </w:r>
          </w:p>
        </w:tc>
        <w:tc>
          <w:tcPr>
            <w:tcW w:w="2130" w:type="dxa"/>
            <w:tcBorders>
              <w:top w:val="single" w:sz="4" w:space="0" w:color="auto"/>
            </w:tcBorders>
          </w:tcPr>
          <w:p w14:paraId="3722A09C"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 xml:space="preserve">Manufacturing </w:t>
            </w:r>
          </w:p>
        </w:tc>
        <w:tc>
          <w:tcPr>
            <w:tcW w:w="3495" w:type="dxa"/>
            <w:tcBorders>
              <w:top w:val="single" w:sz="4" w:space="0" w:color="auto"/>
            </w:tcBorders>
          </w:tcPr>
          <w:p w14:paraId="467857BD"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General Manager</w:t>
            </w:r>
          </w:p>
        </w:tc>
        <w:tc>
          <w:tcPr>
            <w:tcW w:w="1350" w:type="dxa"/>
            <w:tcBorders>
              <w:top w:val="single" w:sz="4" w:space="0" w:color="auto"/>
            </w:tcBorders>
          </w:tcPr>
          <w:p w14:paraId="11CACA0D"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11</w:t>
            </w:r>
          </w:p>
        </w:tc>
      </w:tr>
      <w:tr w:rsidR="00240696" w:rsidRPr="00240696" w14:paraId="2AB794F4" w14:textId="77777777" w:rsidTr="45BA1AAA">
        <w:trPr>
          <w:trHeight w:val="20"/>
          <w:jc w:val="center"/>
        </w:trPr>
        <w:tc>
          <w:tcPr>
            <w:tcW w:w="1215" w:type="dxa"/>
          </w:tcPr>
          <w:p w14:paraId="012EC0A9"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2</w:t>
            </w:r>
          </w:p>
        </w:tc>
        <w:tc>
          <w:tcPr>
            <w:tcW w:w="2130" w:type="dxa"/>
          </w:tcPr>
          <w:p w14:paraId="79A1C7FE"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Manufacturing</w:t>
            </w:r>
          </w:p>
        </w:tc>
        <w:tc>
          <w:tcPr>
            <w:tcW w:w="3495" w:type="dxa"/>
          </w:tcPr>
          <w:p w14:paraId="4E8248BF"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Senior Director of Supply Chain Operations</w:t>
            </w:r>
          </w:p>
        </w:tc>
        <w:tc>
          <w:tcPr>
            <w:tcW w:w="1350" w:type="dxa"/>
          </w:tcPr>
          <w:p w14:paraId="772D94EF"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15</w:t>
            </w:r>
          </w:p>
        </w:tc>
      </w:tr>
      <w:tr w:rsidR="00240696" w:rsidRPr="00240696" w14:paraId="115F7C52" w14:textId="77777777" w:rsidTr="45BA1AAA">
        <w:trPr>
          <w:trHeight w:val="20"/>
          <w:jc w:val="center"/>
        </w:trPr>
        <w:tc>
          <w:tcPr>
            <w:tcW w:w="1215" w:type="dxa"/>
          </w:tcPr>
          <w:p w14:paraId="5FDA1F7E"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3</w:t>
            </w:r>
          </w:p>
        </w:tc>
        <w:tc>
          <w:tcPr>
            <w:tcW w:w="2130" w:type="dxa"/>
          </w:tcPr>
          <w:p w14:paraId="4DF71038"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Manufacturing</w:t>
            </w:r>
          </w:p>
        </w:tc>
        <w:tc>
          <w:tcPr>
            <w:tcW w:w="3495" w:type="dxa"/>
          </w:tcPr>
          <w:p w14:paraId="1A362051"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Reverse Logistics Manager</w:t>
            </w:r>
          </w:p>
        </w:tc>
        <w:tc>
          <w:tcPr>
            <w:tcW w:w="1350" w:type="dxa"/>
          </w:tcPr>
          <w:p w14:paraId="29829373"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8</w:t>
            </w:r>
          </w:p>
        </w:tc>
      </w:tr>
      <w:tr w:rsidR="00240696" w:rsidRPr="00240696" w14:paraId="42114FA7" w14:textId="77777777" w:rsidTr="45BA1AAA">
        <w:trPr>
          <w:trHeight w:val="20"/>
          <w:jc w:val="center"/>
        </w:trPr>
        <w:tc>
          <w:tcPr>
            <w:tcW w:w="1215" w:type="dxa"/>
          </w:tcPr>
          <w:p w14:paraId="17310B97"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4</w:t>
            </w:r>
          </w:p>
        </w:tc>
        <w:tc>
          <w:tcPr>
            <w:tcW w:w="2130" w:type="dxa"/>
          </w:tcPr>
          <w:p w14:paraId="4F96635E"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Retail</w:t>
            </w:r>
          </w:p>
        </w:tc>
        <w:tc>
          <w:tcPr>
            <w:tcW w:w="3495" w:type="dxa"/>
          </w:tcPr>
          <w:p w14:paraId="576ED9E0"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Reverse Logistics Manager</w:t>
            </w:r>
          </w:p>
        </w:tc>
        <w:tc>
          <w:tcPr>
            <w:tcW w:w="1350" w:type="dxa"/>
          </w:tcPr>
          <w:p w14:paraId="52A94037"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15</w:t>
            </w:r>
          </w:p>
        </w:tc>
      </w:tr>
      <w:tr w:rsidR="00240696" w:rsidRPr="00240696" w14:paraId="7319FDC4" w14:textId="77777777" w:rsidTr="45BA1AAA">
        <w:trPr>
          <w:trHeight w:val="20"/>
          <w:jc w:val="center"/>
        </w:trPr>
        <w:tc>
          <w:tcPr>
            <w:tcW w:w="1215" w:type="dxa"/>
          </w:tcPr>
          <w:p w14:paraId="2D29930F"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5</w:t>
            </w:r>
          </w:p>
        </w:tc>
        <w:tc>
          <w:tcPr>
            <w:tcW w:w="2130" w:type="dxa"/>
          </w:tcPr>
          <w:p w14:paraId="2EFB74AD"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Retail</w:t>
            </w:r>
          </w:p>
        </w:tc>
        <w:tc>
          <w:tcPr>
            <w:tcW w:w="3495" w:type="dxa"/>
          </w:tcPr>
          <w:p w14:paraId="7FB7DC99"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Senior Director of Supply Chain</w:t>
            </w:r>
          </w:p>
        </w:tc>
        <w:tc>
          <w:tcPr>
            <w:tcW w:w="1350" w:type="dxa"/>
          </w:tcPr>
          <w:p w14:paraId="4B96CBEC"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12</w:t>
            </w:r>
          </w:p>
        </w:tc>
      </w:tr>
      <w:tr w:rsidR="00240696" w:rsidRPr="00240696" w14:paraId="1554E685" w14:textId="77777777" w:rsidTr="45BA1AAA">
        <w:trPr>
          <w:trHeight w:val="20"/>
          <w:jc w:val="center"/>
        </w:trPr>
        <w:tc>
          <w:tcPr>
            <w:tcW w:w="1215" w:type="dxa"/>
          </w:tcPr>
          <w:p w14:paraId="47292AA9"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6</w:t>
            </w:r>
          </w:p>
        </w:tc>
        <w:tc>
          <w:tcPr>
            <w:tcW w:w="2130" w:type="dxa"/>
          </w:tcPr>
          <w:p w14:paraId="115662F3"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Wholesale</w:t>
            </w:r>
          </w:p>
        </w:tc>
        <w:tc>
          <w:tcPr>
            <w:tcW w:w="3495" w:type="dxa"/>
          </w:tcPr>
          <w:p w14:paraId="3A1EB7AE"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General Manager</w:t>
            </w:r>
          </w:p>
        </w:tc>
        <w:tc>
          <w:tcPr>
            <w:tcW w:w="1350" w:type="dxa"/>
          </w:tcPr>
          <w:p w14:paraId="477958EA"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32</w:t>
            </w:r>
          </w:p>
        </w:tc>
      </w:tr>
      <w:tr w:rsidR="00240696" w:rsidRPr="00240696" w14:paraId="7426F618" w14:textId="77777777" w:rsidTr="45BA1AAA">
        <w:trPr>
          <w:trHeight w:val="20"/>
          <w:jc w:val="center"/>
        </w:trPr>
        <w:tc>
          <w:tcPr>
            <w:tcW w:w="1215" w:type="dxa"/>
          </w:tcPr>
          <w:p w14:paraId="751C4A2A"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7</w:t>
            </w:r>
          </w:p>
        </w:tc>
        <w:tc>
          <w:tcPr>
            <w:tcW w:w="2130" w:type="dxa"/>
          </w:tcPr>
          <w:p w14:paraId="595622E5"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Wholesale/Distributor</w:t>
            </w:r>
          </w:p>
        </w:tc>
        <w:tc>
          <w:tcPr>
            <w:tcW w:w="3495" w:type="dxa"/>
          </w:tcPr>
          <w:p w14:paraId="58858BEC"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President and CEO</w:t>
            </w:r>
          </w:p>
        </w:tc>
        <w:tc>
          <w:tcPr>
            <w:tcW w:w="1350" w:type="dxa"/>
          </w:tcPr>
          <w:p w14:paraId="1655C9AF"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9</w:t>
            </w:r>
          </w:p>
        </w:tc>
      </w:tr>
      <w:tr w:rsidR="00240696" w:rsidRPr="00240696" w14:paraId="1693B3FE" w14:textId="77777777" w:rsidTr="45BA1AAA">
        <w:trPr>
          <w:trHeight w:val="20"/>
          <w:jc w:val="center"/>
        </w:trPr>
        <w:tc>
          <w:tcPr>
            <w:tcW w:w="1215" w:type="dxa"/>
          </w:tcPr>
          <w:p w14:paraId="15BBE76A"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8</w:t>
            </w:r>
          </w:p>
        </w:tc>
        <w:tc>
          <w:tcPr>
            <w:tcW w:w="2130" w:type="dxa"/>
          </w:tcPr>
          <w:p w14:paraId="64A9882D"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Telecommunication</w:t>
            </w:r>
          </w:p>
        </w:tc>
        <w:tc>
          <w:tcPr>
            <w:tcW w:w="3495" w:type="dxa"/>
          </w:tcPr>
          <w:p w14:paraId="56DA08CD"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Senior Manager of Reverse Logistics</w:t>
            </w:r>
          </w:p>
        </w:tc>
        <w:tc>
          <w:tcPr>
            <w:tcW w:w="1350" w:type="dxa"/>
          </w:tcPr>
          <w:p w14:paraId="0590943E"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8</w:t>
            </w:r>
          </w:p>
        </w:tc>
      </w:tr>
      <w:tr w:rsidR="00240696" w:rsidRPr="00240696" w14:paraId="3FEBAF80" w14:textId="77777777" w:rsidTr="45BA1AAA">
        <w:trPr>
          <w:trHeight w:val="20"/>
          <w:jc w:val="center"/>
        </w:trPr>
        <w:tc>
          <w:tcPr>
            <w:tcW w:w="1215" w:type="dxa"/>
          </w:tcPr>
          <w:p w14:paraId="3B6CC3DB"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9</w:t>
            </w:r>
          </w:p>
        </w:tc>
        <w:tc>
          <w:tcPr>
            <w:tcW w:w="2130" w:type="dxa"/>
          </w:tcPr>
          <w:p w14:paraId="56A28552"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Solution Provider</w:t>
            </w:r>
          </w:p>
        </w:tc>
        <w:tc>
          <w:tcPr>
            <w:tcW w:w="3495" w:type="dxa"/>
          </w:tcPr>
          <w:p w14:paraId="33E16FAF"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Chief Technology Officer</w:t>
            </w:r>
          </w:p>
        </w:tc>
        <w:tc>
          <w:tcPr>
            <w:tcW w:w="1350" w:type="dxa"/>
          </w:tcPr>
          <w:p w14:paraId="6A865EB1"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31</w:t>
            </w:r>
          </w:p>
        </w:tc>
      </w:tr>
      <w:tr w:rsidR="00240696" w:rsidRPr="00240696" w14:paraId="6DE1D8C3" w14:textId="77777777" w:rsidTr="45BA1AAA">
        <w:trPr>
          <w:trHeight w:val="20"/>
          <w:jc w:val="center"/>
        </w:trPr>
        <w:tc>
          <w:tcPr>
            <w:tcW w:w="1215" w:type="dxa"/>
            <w:tcBorders>
              <w:bottom w:val="single" w:sz="4" w:space="0" w:color="auto"/>
            </w:tcBorders>
          </w:tcPr>
          <w:p w14:paraId="4FB89D5D" w14:textId="77777777" w:rsidR="00240696" w:rsidRPr="00240696" w:rsidRDefault="00240696" w:rsidP="00A3182C">
            <w:pPr>
              <w:tabs>
                <w:tab w:val="center" w:pos="4320"/>
                <w:tab w:val="right" w:pos="8640"/>
              </w:tabs>
              <w:contextualSpacing/>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10</w:t>
            </w:r>
          </w:p>
        </w:tc>
        <w:tc>
          <w:tcPr>
            <w:tcW w:w="2130" w:type="dxa"/>
            <w:tcBorders>
              <w:bottom w:val="single" w:sz="4" w:space="0" w:color="auto"/>
            </w:tcBorders>
          </w:tcPr>
          <w:p w14:paraId="7879C6C8" w14:textId="77777777" w:rsidR="00240696" w:rsidRPr="00240696" w:rsidRDefault="00240696" w:rsidP="00BD2DBA">
            <w:pPr>
              <w:tabs>
                <w:tab w:val="center" w:pos="4320"/>
                <w:tab w:val="right" w:pos="8640"/>
              </w:tabs>
              <w:contextualSpacing/>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Solution Provider</w:t>
            </w:r>
          </w:p>
        </w:tc>
        <w:tc>
          <w:tcPr>
            <w:tcW w:w="3495" w:type="dxa"/>
            <w:tcBorders>
              <w:bottom w:val="single" w:sz="4" w:space="0" w:color="auto"/>
            </w:tcBorders>
          </w:tcPr>
          <w:p w14:paraId="72CBEA3A" w14:textId="77777777" w:rsidR="00240696" w:rsidRPr="00240696" w:rsidRDefault="00240696" w:rsidP="00BD2DBA">
            <w:pPr>
              <w:tabs>
                <w:tab w:val="center" w:pos="4320"/>
                <w:tab w:val="right" w:pos="8640"/>
              </w:tabs>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CEO</w:t>
            </w:r>
          </w:p>
        </w:tc>
        <w:tc>
          <w:tcPr>
            <w:tcW w:w="1350" w:type="dxa"/>
            <w:tcBorders>
              <w:bottom w:val="single" w:sz="4" w:space="0" w:color="auto"/>
            </w:tcBorders>
          </w:tcPr>
          <w:p w14:paraId="13E5B1C7" w14:textId="77777777" w:rsidR="00240696" w:rsidRPr="00240696" w:rsidRDefault="00240696" w:rsidP="00A3182C">
            <w:pPr>
              <w:tabs>
                <w:tab w:val="center" w:pos="4320"/>
                <w:tab w:val="right" w:pos="8640"/>
              </w:tabs>
              <w:jc w:val="center"/>
              <w:rPr>
                <w:rFonts w:ascii="Times New Roman" w:eastAsia="Calibri" w:hAnsi="Times New Roman" w:cs="Times New Roman"/>
                <w:bCs/>
                <w:sz w:val="21"/>
                <w:szCs w:val="21"/>
              </w:rPr>
            </w:pPr>
            <w:r w:rsidRPr="00240696">
              <w:rPr>
                <w:rFonts w:ascii="Times New Roman" w:eastAsia="Calibri" w:hAnsi="Times New Roman" w:cs="Times New Roman"/>
                <w:bCs/>
                <w:sz w:val="21"/>
                <w:szCs w:val="21"/>
              </w:rPr>
              <w:t>24</w:t>
            </w:r>
          </w:p>
        </w:tc>
      </w:tr>
    </w:tbl>
    <w:p w14:paraId="0C4596E5" w14:textId="26653AD3" w:rsidR="00240696" w:rsidRPr="00240696" w:rsidRDefault="50B5A393" w:rsidP="50B5A393">
      <w:pPr>
        <w:spacing w:before="240"/>
        <w:contextualSpacing/>
        <w:rPr>
          <w:rFonts w:ascii="Times New Roman" w:hAnsi="Times New Roman" w:cs="Times New Roman"/>
        </w:rPr>
      </w:pPr>
      <w:r w:rsidRPr="50B5A393">
        <w:rPr>
          <w:rFonts w:ascii="Times New Roman" w:hAnsi="Times New Roman" w:cs="Times New Roman"/>
          <w:b/>
          <w:bCs/>
          <w:sz w:val="22"/>
          <w:szCs w:val="22"/>
        </w:rPr>
        <w:t>Source(s):</w:t>
      </w:r>
      <w:r w:rsidRPr="50B5A393">
        <w:rPr>
          <w:rFonts w:ascii="Times New Roman" w:hAnsi="Times New Roman" w:cs="Times New Roman"/>
          <w:sz w:val="22"/>
          <w:szCs w:val="22"/>
        </w:rPr>
        <w:t xml:space="preserve"> Table created by authors</w:t>
      </w:r>
    </w:p>
    <w:p w14:paraId="01D2B4C8" w14:textId="64BA91F3" w:rsidR="00D1010D" w:rsidRPr="00240696" w:rsidRDefault="00D1010D" w:rsidP="00240696">
      <w:pPr>
        <w:rPr>
          <w:rFonts w:ascii="Times New Roman" w:hAnsi="Times New Roman" w:cs="Times New Roman"/>
        </w:rPr>
      </w:pPr>
    </w:p>
    <w:p w14:paraId="3B02A61B" w14:textId="77777777" w:rsidR="00DF43A6" w:rsidRDefault="00DF43A6">
      <w:pPr>
        <w:rPr>
          <w:rFonts w:ascii="Times New Roman" w:hAnsi="Times New Roman" w:cs="Times New Roman"/>
          <w:b/>
          <w:bCs/>
        </w:rPr>
      </w:pPr>
      <w:r>
        <w:rPr>
          <w:rFonts w:ascii="Times New Roman" w:hAnsi="Times New Roman" w:cs="Times New Roman"/>
          <w:b/>
          <w:bCs/>
        </w:rPr>
        <w:br w:type="page"/>
      </w:r>
    </w:p>
    <w:p w14:paraId="313D8418" w14:textId="4B5B0F16" w:rsidR="00DF43A6" w:rsidRPr="00DF43A6" w:rsidRDefault="45BA1AAA" w:rsidP="5B44A326">
      <w:pPr>
        <w:spacing w:after="160" w:line="257" w:lineRule="auto"/>
        <w:rPr>
          <w:rFonts w:ascii="Times New Roman" w:eastAsia="Times New Roman" w:hAnsi="Times New Roman" w:cs="Times New Roman"/>
          <w:lang w:val="en-GB"/>
        </w:rPr>
      </w:pPr>
      <w:r w:rsidRPr="45BA1AAA">
        <w:rPr>
          <w:rFonts w:ascii="Times New Roman" w:hAnsi="Times New Roman" w:cs="Times New Roman"/>
          <w:b/>
          <w:bCs/>
        </w:rPr>
        <w:lastRenderedPageBreak/>
        <w:t xml:space="preserve">Table D. </w:t>
      </w:r>
      <w:r w:rsidRPr="45BA1AAA">
        <w:rPr>
          <w:rFonts w:ascii="Times New Roman" w:eastAsia="Times New Roman" w:hAnsi="Times New Roman" w:cs="Times New Roman"/>
          <w:lang w:val="en-GB"/>
        </w:rPr>
        <w:t>Returns management capability construct validity indicators</w:t>
      </w:r>
    </w:p>
    <w:tbl>
      <w:tblPr>
        <w:tblStyle w:val="TableGrid"/>
        <w:tblW w:w="9274" w:type="dxa"/>
        <w:tblLook w:val="01E0" w:firstRow="1" w:lastRow="1" w:firstColumn="1" w:lastColumn="1" w:noHBand="0" w:noVBand="0"/>
      </w:tblPr>
      <w:tblGrid>
        <w:gridCol w:w="4695"/>
        <w:gridCol w:w="840"/>
        <w:gridCol w:w="799"/>
        <w:gridCol w:w="646"/>
        <w:gridCol w:w="967"/>
        <w:gridCol w:w="659"/>
        <w:gridCol w:w="668"/>
      </w:tblGrid>
      <w:tr w:rsidR="5B44A326" w14:paraId="15DADA29" w14:textId="77777777" w:rsidTr="45BA1AAA">
        <w:trPr>
          <w:trHeight w:val="15"/>
        </w:trPr>
        <w:tc>
          <w:tcPr>
            <w:tcW w:w="4695" w:type="dxa"/>
            <w:tcBorders>
              <w:top w:val="single" w:sz="8" w:space="0" w:color="auto"/>
              <w:left w:val="nil"/>
              <w:bottom w:val="single" w:sz="8" w:space="0" w:color="auto"/>
              <w:right w:val="nil"/>
            </w:tcBorders>
            <w:tcMar>
              <w:left w:w="108" w:type="dxa"/>
              <w:right w:w="108" w:type="dxa"/>
            </w:tcMar>
            <w:vAlign w:val="center"/>
          </w:tcPr>
          <w:p w14:paraId="64289214" w14:textId="011D15EB" w:rsidR="5B44A326" w:rsidRDefault="45BA1AAA" w:rsidP="45BA1AAA">
            <w:pPr>
              <w:rPr>
                <w:lang w:val="en-GB"/>
              </w:rPr>
            </w:pPr>
            <w:r w:rsidRPr="45BA1AAA">
              <w:rPr>
                <w:lang w:val="en-GB"/>
              </w:rPr>
              <w:t xml:space="preserve"> </w:t>
            </w:r>
          </w:p>
        </w:tc>
        <w:tc>
          <w:tcPr>
            <w:tcW w:w="840" w:type="dxa"/>
            <w:tcBorders>
              <w:top w:val="single" w:sz="8" w:space="0" w:color="auto"/>
              <w:left w:val="nil"/>
              <w:bottom w:val="single" w:sz="8" w:space="0" w:color="auto"/>
              <w:right w:val="nil"/>
            </w:tcBorders>
            <w:tcMar>
              <w:left w:w="108" w:type="dxa"/>
              <w:right w:w="108" w:type="dxa"/>
            </w:tcMar>
            <w:vAlign w:val="center"/>
          </w:tcPr>
          <w:p w14:paraId="4DA8B4A7" w14:textId="781F2B30" w:rsidR="5B44A326" w:rsidRDefault="45BA1AAA" w:rsidP="45BA1AAA">
            <w:pPr>
              <w:jc w:val="center"/>
              <w:rPr>
                <w:sz w:val="21"/>
                <w:szCs w:val="21"/>
                <w:lang w:val="en-GB"/>
              </w:rPr>
            </w:pPr>
            <w:r w:rsidRPr="45BA1AAA">
              <w:rPr>
                <w:sz w:val="21"/>
                <w:szCs w:val="21"/>
                <w:lang w:val="en-GB"/>
              </w:rPr>
              <w:t>CI</w:t>
            </w:r>
          </w:p>
        </w:tc>
        <w:tc>
          <w:tcPr>
            <w:tcW w:w="799" w:type="dxa"/>
            <w:tcBorders>
              <w:top w:val="single" w:sz="8" w:space="0" w:color="auto"/>
              <w:left w:val="nil"/>
              <w:bottom w:val="single" w:sz="8" w:space="0" w:color="auto"/>
              <w:right w:val="nil"/>
            </w:tcBorders>
            <w:tcMar>
              <w:left w:w="108" w:type="dxa"/>
              <w:right w:w="108" w:type="dxa"/>
            </w:tcMar>
            <w:vAlign w:val="center"/>
          </w:tcPr>
          <w:p w14:paraId="75E87FD7" w14:textId="22DE6C01" w:rsidR="5B44A326" w:rsidRDefault="45BA1AAA" w:rsidP="45BA1AAA">
            <w:pPr>
              <w:jc w:val="center"/>
              <w:rPr>
                <w:sz w:val="21"/>
                <w:szCs w:val="21"/>
                <w:lang w:val="en-GB"/>
              </w:rPr>
            </w:pPr>
            <w:r w:rsidRPr="45BA1AAA">
              <w:rPr>
                <w:sz w:val="21"/>
                <w:szCs w:val="21"/>
                <w:lang w:val="en-GB"/>
              </w:rPr>
              <w:t>IC</w:t>
            </w:r>
          </w:p>
        </w:tc>
        <w:tc>
          <w:tcPr>
            <w:tcW w:w="646" w:type="dxa"/>
            <w:tcBorders>
              <w:top w:val="single" w:sz="8" w:space="0" w:color="auto"/>
              <w:left w:val="nil"/>
              <w:bottom w:val="single" w:sz="8" w:space="0" w:color="auto"/>
              <w:right w:val="nil"/>
            </w:tcBorders>
            <w:tcMar>
              <w:left w:w="108" w:type="dxa"/>
              <w:right w:w="108" w:type="dxa"/>
            </w:tcMar>
            <w:vAlign w:val="center"/>
          </w:tcPr>
          <w:p w14:paraId="5866B8F3" w14:textId="147C02F2" w:rsidR="5B44A326" w:rsidRDefault="45BA1AAA" w:rsidP="45BA1AAA">
            <w:pPr>
              <w:jc w:val="center"/>
              <w:rPr>
                <w:sz w:val="21"/>
                <w:szCs w:val="21"/>
                <w:lang w:val="en-GB"/>
              </w:rPr>
            </w:pPr>
            <w:r w:rsidRPr="45BA1AAA">
              <w:rPr>
                <w:sz w:val="21"/>
                <w:szCs w:val="21"/>
                <w:lang w:val="en-GB"/>
              </w:rPr>
              <w:t>PC</w:t>
            </w:r>
          </w:p>
        </w:tc>
        <w:tc>
          <w:tcPr>
            <w:tcW w:w="967" w:type="dxa"/>
            <w:tcBorders>
              <w:top w:val="single" w:sz="8" w:space="0" w:color="auto"/>
              <w:left w:val="nil"/>
              <w:bottom w:val="single" w:sz="8" w:space="0" w:color="auto"/>
              <w:right w:val="nil"/>
            </w:tcBorders>
            <w:tcMar>
              <w:left w:w="108" w:type="dxa"/>
              <w:right w:w="108" w:type="dxa"/>
            </w:tcMar>
            <w:vAlign w:val="center"/>
          </w:tcPr>
          <w:p w14:paraId="30B64B8E" w14:textId="413CB162" w:rsidR="5B44A326" w:rsidRDefault="45BA1AAA" w:rsidP="45BA1AAA">
            <w:pPr>
              <w:jc w:val="center"/>
              <w:rPr>
                <w:sz w:val="21"/>
                <w:szCs w:val="21"/>
                <w:lang w:val="en-GB"/>
              </w:rPr>
            </w:pPr>
            <w:r w:rsidRPr="45BA1AAA">
              <w:rPr>
                <w:sz w:val="21"/>
                <w:szCs w:val="21"/>
                <w:lang w:val="en-GB"/>
              </w:rPr>
              <w:t>AR</w:t>
            </w:r>
          </w:p>
        </w:tc>
        <w:tc>
          <w:tcPr>
            <w:tcW w:w="659" w:type="dxa"/>
            <w:tcBorders>
              <w:top w:val="single" w:sz="8" w:space="0" w:color="auto"/>
              <w:left w:val="nil"/>
              <w:bottom w:val="single" w:sz="8" w:space="0" w:color="auto"/>
              <w:right w:val="nil"/>
            </w:tcBorders>
            <w:tcMar>
              <w:left w:w="108" w:type="dxa"/>
              <w:right w:w="108" w:type="dxa"/>
            </w:tcMar>
            <w:vAlign w:val="center"/>
          </w:tcPr>
          <w:p w14:paraId="6C5DE8D4" w14:textId="5AA348BE" w:rsidR="5B44A326" w:rsidRDefault="45BA1AAA" w:rsidP="45BA1AAA">
            <w:pPr>
              <w:jc w:val="center"/>
              <w:rPr>
                <w:sz w:val="21"/>
                <w:szCs w:val="21"/>
                <w:lang w:val="en-GB"/>
              </w:rPr>
            </w:pPr>
            <w:r w:rsidRPr="45BA1AAA">
              <w:rPr>
                <w:sz w:val="21"/>
                <w:szCs w:val="21"/>
                <w:lang w:val="en-GB"/>
              </w:rPr>
              <w:t>ND</w:t>
            </w:r>
          </w:p>
        </w:tc>
        <w:tc>
          <w:tcPr>
            <w:tcW w:w="668" w:type="dxa"/>
            <w:tcBorders>
              <w:top w:val="single" w:sz="8" w:space="0" w:color="auto"/>
              <w:left w:val="nil"/>
              <w:bottom w:val="single" w:sz="8" w:space="0" w:color="auto"/>
              <w:right w:val="nil"/>
            </w:tcBorders>
            <w:tcMar>
              <w:left w:w="108" w:type="dxa"/>
              <w:right w:w="108" w:type="dxa"/>
            </w:tcMar>
          </w:tcPr>
          <w:p w14:paraId="4AC5A51C" w14:textId="5CEFFFE0" w:rsidR="5B44A326" w:rsidRDefault="45BA1AAA" w:rsidP="45BA1AAA">
            <w:pPr>
              <w:jc w:val="center"/>
              <w:rPr>
                <w:sz w:val="21"/>
                <w:szCs w:val="21"/>
                <w:lang w:val="en-GB"/>
              </w:rPr>
            </w:pPr>
            <w:r w:rsidRPr="45BA1AAA">
              <w:rPr>
                <w:sz w:val="21"/>
                <w:szCs w:val="21"/>
                <w:lang w:val="en-GB"/>
              </w:rPr>
              <w:t>Perf</w:t>
            </w:r>
          </w:p>
        </w:tc>
      </w:tr>
      <w:tr w:rsidR="5B44A326" w14:paraId="33906191" w14:textId="77777777" w:rsidTr="45BA1AAA">
        <w:trPr>
          <w:trHeight w:val="15"/>
        </w:trPr>
        <w:tc>
          <w:tcPr>
            <w:tcW w:w="4695" w:type="dxa"/>
            <w:tcBorders>
              <w:top w:val="single" w:sz="8" w:space="0" w:color="auto"/>
              <w:left w:val="nil"/>
              <w:bottom w:val="single" w:sz="8" w:space="0" w:color="auto"/>
              <w:right w:val="nil"/>
            </w:tcBorders>
            <w:tcMar>
              <w:left w:w="108" w:type="dxa"/>
              <w:right w:w="108" w:type="dxa"/>
            </w:tcMar>
            <w:vAlign w:val="center"/>
          </w:tcPr>
          <w:p w14:paraId="6B59665B" w14:textId="2BB952DC" w:rsidR="5B44A326" w:rsidRDefault="45BA1AAA" w:rsidP="45BA1AAA">
            <w:pPr>
              <w:rPr>
                <w:sz w:val="21"/>
                <w:szCs w:val="21"/>
                <w:lang w:val="en-GB"/>
              </w:rPr>
            </w:pPr>
            <w:r w:rsidRPr="45BA1AAA">
              <w:rPr>
                <w:sz w:val="21"/>
                <w:szCs w:val="21"/>
                <w:lang w:val="en-GB"/>
              </w:rPr>
              <w:t>Avg. Variance Extracted (AVE)</w:t>
            </w:r>
          </w:p>
        </w:tc>
        <w:tc>
          <w:tcPr>
            <w:tcW w:w="840" w:type="dxa"/>
            <w:tcBorders>
              <w:top w:val="single" w:sz="8" w:space="0" w:color="auto"/>
              <w:left w:val="nil"/>
              <w:bottom w:val="single" w:sz="8" w:space="0" w:color="auto"/>
              <w:right w:val="nil"/>
            </w:tcBorders>
            <w:tcMar>
              <w:left w:w="108" w:type="dxa"/>
              <w:right w:w="108" w:type="dxa"/>
            </w:tcMar>
            <w:vAlign w:val="center"/>
          </w:tcPr>
          <w:p w14:paraId="2CAEE67B" w14:textId="2807B7B1" w:rsidR="5B44A326" w:rsidRDefault="45BA1AAA" w:rsidP="45BA1AAA">
            <w:pPr>
              <w:jc w:val="center"/>
              <w:rPr>
                <w:sz w:val="21"/>
                <w:szCs w:val="21"/>
                <w:lang w:val="en-GB"/>
              </w:rPr>
            </w:pPr>
            <w:r w:rsidRPr="45BA1AAA">
              <w:rPr>
                <w:sz w:val="21"/>
                <w:szCs w:val="21"/>
                <w:lang w:val="en-GB"/>
              </w:rPr>
              <w:t>.74</w:t>
            </w:r>
          </w:p>
        </w:tc>
        <w:tc>
          <w:tcPr>
            <w:tcW w:w="799" w:type="dxa"/>
            <w:tcBorders>
              <w:top w:val="single" w:sz="8" w:space="0" w:color="auto"/>
              <w:left w:val="nil"/>
              <w:bottom w:val="single" w:sz="8" w:space="0" w:color="auto"/>
              <w:right w:val="nil"/>
            </w:tcBorders>
            <w:tcMar>
              <w:left w:w="108" w:type="dxa"/>
              <w:right w:w="108" w:type="dxa"/>
            </w:tcMar>
            <w:vAlign w:val="center"/>
          </w:tcPr>
          <w:p w14:paraId="270564F3" w14:textId="1AFDCA91" w:rsidR="5B44A326" w:rsidRDefault="45BA1AAA" w:rsidP="45BA1AAA">
            <w:pPr>
              <w:jc w:val="center"/>
              <w:rPr>
                <w:sz w:val="21"/>
                <w:szCs w:val="21"/>
                <w:lang w:val="en-GB"/>
              </w:rPr>
            </w:pPr>
            <w:r w:rsidRPr="45BA1AAA">
              <w:rPr>
                <w:sz w:val="21"/>
                <w:szCs w:val="21"/>
                <w:lang w:val="en-GB"/>
              </w:rPr>
              <w:t>.74</w:t>
            </w:r>
          </w:p>
        </w:tc>
        <w:tc>
          <w:tcPr>
            <w:tcW w:w="646" w:type="dxa"/>
            <w:tcBorders>
              <w:top w:val="single" w:sz="8" w:space="0" w:color="auto"/>
              <w:left w:val="nil"/>
              <w:bottom w:val="single" w:sz="8" w:space="0" w:color="auto"/>
              <w:right w:val="nil"/>
            </w:tcBorders>
            <w:tcMar>
              <w:left w:w="108" w:type="dxa"/>
              <w:right w:w="108" w:type="dxa"/>
            </w:tcMar>
            <w:vAlign w:val="center"/>
          </w:tcPr>
          <w:p w14:paraId="3EB9C1A1" w14:textId="02159DA6" w:rsidR="5B44A326" w:rsidRDefault="45BA1AAA" w:rsidP="45BA1AAA">
            <w:pPr>
              <w:jc w:val="center"/>
              <w:rPr>
                <w:sz w:val="21"/>
                <w:szCs w:val="21"/>
                <w:lang w:val="en-GB"/>
              </w:rPr>
            </w:pPr>
            <w:r w:rsidRPr="45BA1AAA">
              <w:rPr>
                <w:sz w:val="21"/>
                <w:szCs w:val="21"/>
                <w:lang w:val="en-GB"/>
              </w:rPr>
              <w:t>.73</w:t>
            </w:r>
          </w:p>
        </w:tc>
        <w:tc>
          <w:tcPr>
            <w:tcW w:w="967" w:type="dxa"/>
            <w:tcBorders>
              <w:top w:val="single" w:sz="8" w:space="0" w:color="auto"/>
              <w:left w:val="nil"/>
              <w:bottom w:val="single" w:sz="8" w:space="0" w:color="auto"/>
              <w:right w:val="nil"/>
            </w:tcBorders>
            <w:tcMar>
              <w:left w:w="108" w:type="dxa"/>
              <w:right w:w="108" w:type="dxa"/>
            </w:tcMar>
            <w:vAlign w:val="center"/>
          </w:tcPr>
          <w:p w14:paraId="2E3C5EA9" w14:textId="3F162594" w:rsidR="5B44A326" w:rsidRDefault="45BA1AAA" w:rsidP="45BA1AAA">
            <w:pPr>
              <w:jc w:val="center"/>
              <w:rPr>
                <w:sz w:val="21"/>
                <w:szCs w:val="21"/>
                <w:lang w:val="en-GB"/>
              </w:rPr>
            </w:pPr>
            <w:r w:rsidRPr="45BA1AAA">
              <w:rPr>
                <w:sz w:val="21"/>
                <w:szCs w:val="21"/>
                <w:lang w:val="en-GB"/>
              </w:rPr>
              <w:t>.55</w:t>
            </w:r>
          </w:p>
        </w:tc>
        <w:tc>
          <w:tcPr>
            <w:tcW w:w="659" w:type="dxa"/>
            <w:tcBorders>
              <w:top w:val="single" w:sz="8" w:space="0" w:color="auto"/>
              <w:left w:val="nil"/>
              <w:bottom w:val="single" w:sz="8" w:space="0" w:color="auto"/>
              <w:right w:val="nil"/>
            </w:tcBorders>
            <w:tcMar>
              <w:left w:w="108" w:type="dxa"/>
              <w:right w:w="108" w:type="dxa"/>
            </w:tcMar>
            <w:vAlign w:val="center"/>
          </w:tcPr>
          <w:p w14:paraId="6E179AB2" w14:textId="64C67A2C" w:rsidR="5B44A326" w:rsidRDefault="45BA1AAA" w:rsidP="45BA1AAA">
            <w:pPr>
              <w:jc w:val="center"/>
              <w:rPr>
                <w:sz w:val="21"/>
                <w:szCs w:val="21"/>
                <w:lang w:val="en-GB"/>
              </w:rPr>
            </w:pPr>
            <w:r w:rsidRPr="45BA1AAA">
              <w:rPr>
                <w:sz w:val="21"/>
                <w:szCs w:val="21"/>
                <w:lang w:val="en-GB"/>
              </w:rPr>
              <w:t>.79</w:t>
            </w:r>
          </w:p>
        </w:tc>
        <w:tc>
          <w:tcPr>
            <w:tcW w:w="668" w:type="dxa"/>
            <w:tcBorders>
              <w:top w:val="single" w:sz="8" w:space="0" w:color="auto"/>
              <w:left w:val="nil"/>
              <w:bottom w:val="single" w:sz="8" w:space="0" w:color="auto"/>
              <w:right w:val="nil"/>
            </w:tcBorders>
            <w:tcMar>
              <w:left w:w="108" w:type="dxa"/>
              <w:right w:w="108" w:type="dxa"/>
            </w:tcMar>
            <w:vAlign w:val="center"/>
          </w:tcPr>
          <w:p w14:paraId="139BE4E9" w14:textId="0F3A4D80" w:rsidR="5B44A326" w:rsidRDefault="45BA1AAA" w:rsidP="45BA1AAA">
            <w:pPr>
              <w:jc w:val="center"/>
              <w:rPr>
                <w:sz w:val="21"/>
                <w:szCs w:val="21"/>
                <w:lang w:val="en-GB"/>
              </w:rPr>
            </w:pPr>
            <w:r w:rsidRPr="45BA1AAA">
              <w:rPr>
                <w:sz w:val="21"/>
                <w:szCs w:val="21"/>
                <w:lang w:val="en-GB"/>
              </w:rPr>
              <w:t>.80</w:t>
            </w:r>
          </w:p>
        </w:tc>
      </w:tr>
      <w:tr w:rsidR="5B44A326" w14:paraId="46AB9D2E" w14:textId="77777777" w:rsidTr="45BA1AAA">
        <w:trPr>
          <w:trHeight w:val="15"/>
        </w:trPr>
        <w:tc>
          <w:tcPr>
            <w:tcW w:w="4695" w:type="dxa"/>
            <w:tcBorders>
              <w:top w:val="single" w:sz="8" w:space="0" w:color="auto"/>
              <w:left w:val="nil"/>
              <w:bottom w:val="nil"/>
              <w:right w:val="nil"/>
            </w:tcBorders>
            <w:tcMar>
              <w:left w:w="108" w:type="dxa"/>
              <w:right w:w="108" w:type="dxa"/>
            </w:tcMar>
            <w:vAlign w:val="center"/>
          </w:tcPr>
          <w:p w14:paraId="185768E7" w14:textId="41FBC14D" w:rsidR="5B44A326" w:rsidRDefault="45BA1AAA" w:rsidP="45BA1AAA">
            <w:pPr>
              <w:rPr>
                <w:sz w:val="12"/>
                <w:szCs w:val="12"/>
                <w:lang w:val="en-GB"/>
              </w:rPr>
            </w:pPr>
            <w:r w:rsidRPr="45BA1AAA">
              <w:rPr>
                <w:sz w:val="12"/>
                <w:szCs w:val="12"/>
                <w:lang w:val="en-GB"/>
              </w:rPr>
              <w:t xml:space="preserve"> </w:t>
            </w:r>
          </w:p>
        </w:tc>
        <w:tc>
          <w:tcPr>
            <w:tcW w:w="840" w:type="dxa"/>
            <w:tcBorders>
              <w:top w:val="single" w:sz="8" w:space="0" w:color="auto"/>
              <w:left w:val="nil"/>
              <w:bottom w:val="nil"/>
              <w:right w:val="nil"/>
            </w:tcBorders>
            <w:tcMar>
              <w:left w:w="108" w:type="dxa"/>
              <w:right w:w="108" w:type="dxa"/>
            </w:tcMar>
            <w:vAlign w:val="center"/>
          </w:tcPr>
          <w:p w14:paraId="5335F56D" w14:textId="4D98B5A1" w:rsidR="5B44A326" w:rsidRDefault="45BA1AAA" w:rsidP="45BA1AAA">
            <w:pPr>
              <w:jc w:val="center"/>
              <w:rPr>
                <w:sz w:val="12"/>
                <w:szCs w:val="12"/>
                <w:lang w:val="en-GB"/>
              </w:rPr>
            </w:pPr>
            <w:r w:rsidRPr="45BA1AAA">
              <w:rPr>
                <w:sz w:val="12"/>
                <w:szCs w:val="12"/>
                <w:lang w:val="en-GB"/>
              </w:rPr>
              <w:t xml:space="preserve"> </w:t>
            </w:r>
          </w:p>
        </w:tc>
        <w:tc>
          <w:tcPr>
            <w:tcW w:w="799" w:type="dxa"/>
            <w:tcBorders>
              <w:top w:val="single" w:sz="8" w:space="0" w:color="auto"/>
              <w:left w:val="nil"/>
              <w:bottom w:val="nil"/>
              <w:right w:val="nil"/>
            </w:tcBorders>
            <w:tcMar>
              <w:left w:w="108" w:type="dxa"/>
              <w:right w:w="108" w:type="dxa"/>
            </w:tcMar>
            <w:vAlign w:val="center"/>
          </w:tcPr>
          <w:p w14:paraId="541D1878" w14:textId="64FC8334" w:rsidR="5B44A326" w:rsidRDefault="45BA1AAA" w:rsidP="45BA1AAA">
            <w:pPr>
              <w:jc w:val="center"/>
              <w:rPr>
                <w:sz w:val="12"/>
                <w:szCs w:val="12"/>
                <w:lang w:val="en-GB"/>
              </w:rPr>
            </w:pPr>
            <w:r w:rsidRPr="45BA1AAA">
              <w:rPr>
                <w:sz w:val="12"/>
                <w:szCs w:val="12"/>
                <w:lang w:val="en-GB"/>
              </w:rPr>
              <w:t xml:space="preserve"> </w:t>
            </w:r>
          </w:p>
        </w:tc>
        <w:tc>
          <w:tcPr>
            <w:tcW w:w="646" w:type="dxa"/>
            <w:tcBorders>
              <w:top w:val="single" w:sz="8" w:space="0" w:color="auto"/>
              <w:left w:val="nil"/>
              <w:bottom w:val="nil"/>
              <w:right w:val="nil"/>
            </w:tcBorders>
            <w:tcMar>
              <w:left w:w="108" w:type="dxa"/>
              <w:right w:w="108" w:type="dxa"/>
            </w:tcMar>
            <w:vAlign w:val="center"/>
          </w:tcPr>
          <w:p w14:paraId="4A397564" w14:textId="2B0BC748" w:rsidR="5B44A326" w:rsidRDefault="45BA1AAA" w:rsidP="45BA1AAA">
            <w:pPr>
              <w:jc w:val="center"/>
              <w:rPr>
                <w:sz w:val="12"/>
                <w:szCs w:val="12"/>
                <w:lang w:val="en-GB"/>
              </w:rPr>
            </w:pPr>
            <w:r w:rsidRPr="45BA1AAA">
              <w:rPr>
                <w:sz w:val="12"/>
                <w:szCs w:val="12"/>
                <w:lang w:val="en-GB"/>
              </w:rPr>
              <w:t xml:space="preserve"> </w:t>
            </w:r>
          </w:p>
        </w:tc>
        <w:tc>
          <w:tcPr>
            <w:tcW w:w="967" w:type="dxa"/>
            <w:tcBorders>
              <w:top w:val="single" w:sz="8" w:space="0" w:color="auto"/>
              <w:left w:val="nil"/>
              <w:bottom w:val="nil"/>
              <w:right w:val="nil"/>
            </w:tcBorders>
            <w:tcMar>
              <w:left w:w="108" w:type="dxa"/>
              <w:right w:w="108" w:type="dxa"/>
            </w:tcMar>
            <w:vAlign w:val="center"/>
          </w:tcPr>
          <w:p w14:paraId="0E218E1B" w14:textId="785B056E" w:rsidR="5B44A326" w:rsidRDefault="45BA1AAA" w:rsidP="45BA1AAA">
            <w:pPr>
              <w:jc w:val="center"/>
              <w:rPr>
                <w:sz w:val="12"/>
                <w:szCs w:val="12"/>
                <w:lang w:val="en-GB"/>
              </w:rPr>
            </w:pPr>
            <w:r w:rsidRPr="45BA1AAA">
              <w:rPr>
                <w:sz w:val="12"/>
                <w:szCs w:val="12"/>
                <w:lang w:val="en-GB"/>
              </w:rPr>
              <w:t xml:space="preserve"> </w:t>
            </w:r>
          </w:p>
        </w:tc>
        <w:tc>
          <w:tcPr>
            <w:tcW w:w="659" w:type="dxa"/>
            <w:tcBorders>
              <w:top w:val="single" w:sz="8" w:space="0" w:color="auto"/>
              <w:left w:val="nil"/>
              <w:bottom w:val="nil"/>
              <w:right w:val="nil"/>
            </w:tcBorders>
            <w:tcMar>
              <w:left w:w="108" w:type="dxa"/>
              <w:right w:w="108" w:type="dxa"/>
            </w:tcMar>
            <w:vAlign w:val="center"/>
          </w:tcPr>
          <w:p w14:paraId="28620C2D" w14:textId="48426415" w:rsidR="5B44A326" w:rsidRDefault="45BA1AAA" w:rsidP="45BA1AAA">
            <w:pPr>
              <w:jc w:val="center"/>
              <w:rPr>
                <w:sz w:val="12"/>
                <w:szCs w:val="12"/>
                <w:lang w:val="en-GB"/>
              </w:rPr>
            </w:pPr>
            <w:r w:rsidRPr="45BA1AAA">
              <w:rPr>
                <w:sz w:val="12"/>
                <w:szCs w:val="12"/>
                <w:lang w:val="en-GB"/>
              </w:rPr>
              <w:t xml:space="preserve"> </w:t>
            </w:r>
          </w:p>
        </w:tc>
        <w:tc>
          <w:tcPr>
            <w:tcW w:w="668" w:type="dxa"/>
            <w:tcBorders>
              <w:top w:val="single" w:sz="8" w:space="0" w:color="auto"/>
              <w:left w:val="nil"/>
              <w:bottom w:val="nil"/>
              <w:right w:val="nil"/>
            </w:tcBorders>
            <w:tcMar>
              <w:left w:w="108" w:type="dxa"/>
              <w:right w:w="108" w:type="dxa"/>
            </w:tcMar>
            <w:vAlign w:val="center"/>
          </w:tcPr>
          <w:p w14:paraId="6DF915BE" w14:textId="5119A0B4" w:rsidR="5B44A326" w:rsidRDefault="45BA1AAA" w:rsidP="45BA1AAA">
            <w:pPr>
              <w:jc w:val="center"/>
              <w:rPr>
                <w:sz w:val="12"/>
                <w:szCs w:val="12"/>
                <w:lang w:val="en-GB"/>
              </w:rPr>
            </w:pPr>
            <w:r w:rsidRPr="45BA1AAA">
              <w:rPr>
                <w:sz w:val="12"/>
                <w:szCs w:val="12"/>
                <w:lang w:val="en-GB"/>
              </w:rPr>
              <w:t xml:space="preserve"> </w:t>
            </w:r>
          </w:p>
        </w:tc>
      </w:tr>
      <w:tr w:rsidR="5B44A326" w14:paraId="57E21879" w14:textId="77777777" w:rsidTr="45BA1AAA">
        <w:trPr>
          <w:trHeight w:val="15"/>
        </w:trPr>
        <w:tc>
          <w:tcPr>
            <w:tcW w:w="4695" w:type="dxa"/>
            <w:tcBorders>
              <w:top w:val="nil"/>
              <w:left w:val="nil"/>
              <w:bottom w:val="single" w:sz="8" w:space="0" w:color="auto"/>
              <w:right w:val="nil"/>
            </w:tcBorders>
            <w:tcMar>
              <w:left w:w="108" w:type="dxa"/>
              <w:right w:w="108" w:type="dxa"/>
            </w:tcMar>
            <w:vAlign w:val="center"/>
          </w:tcPr>
          <w:p w14:paraId="34A34E96" w14:textId="6F79386A" w:rsidR="5B44A326" w:rsidRDefault="45BA1AAA" w:rsidP="45BA1AAA">
            <w:pPr>
              <w:rPr>
                <w:sz w:val="21"/>
                <w:szCs w:val="21"/>
                <w:lang w:val="en-GB"/>
              </w:rPr>
            </w:pPr>
            <w:r w:rsidRPr="45BA1AAA">
              <w:rPr>
                <w:sz w:val="21"/>
                <w:szCs w:val="21"/>
                <w:lang w:val="en-GB"/>
              </w:rPr>
              <w:t>Shared Variance</w:t>
            </w:r>
          </w:p>
        </w:tc>
        <w:tc>
          <w:tcPr>
            <w:tcW w:w="840" w:type="dxa"/>
            <w:tcBorders>
              <w:top w:val="nil"/>
              <w:left w:val="nil"/>
              <w:bottom w:val="single" w:sz="8" w:space="0" w:color="auto"/>
              <w:right w:val="nil"/>
            </w:tcBorders>
            <w:tcMar>
              <w:left w:w="108" w:type="dxa"/>
              <w:right w:w="108" w:type="dxa"/>
            </w:tcMar>
            <w:vAlign w:val="center"/>
          </w:tcPr>
          <w:p w14:paraId="268D5161" w14:textId="24DEB3CA" w:rsidR="5B44A326" w:rsidRDefault="45BA1AAA" w:rsidP="45BA1AAA">
            <w:pPr>
              <w:jc w:val="center"/>
              <w:rPr>
                <w:sz w:val="21"/>
                <w:szCs w:val="21"/>
                <w:lang w:val="en-GB"/>
              </w:rPr>
            </w:pPr>
            <w:r w:rsidRPr="45BA1AAA">
              <w:rPr>
                <w:sz w:val="21"/>
                <w:szCs w:val="21"/>
                <w:lang w:val="en-GB"/>
              </w:rPr>
              <w:t xml:space="preserve"> </w:t>
            </w:r>
          </w:p>
        </w:tc>
        <w:tc>
          <w:tcPr>
            <w:tcW w:w="799" w:type="dxa"/>
            <w:tcBorders>
              <w:top w:val="nil"/>
              <w:left w:val="nil"/>
              <w:bottom w:val="single" w:sz="8" w:space="0" w:color="auto"/>
              <w:right w:val="nil"/>
            </w:tcBorders>
            <w:tcMar>
              <w:left w:w="108" w:type="dxa"/>
              <w:right w:w="108" w:type="dxa"/>
            </w:tcMar>
            <w:vAlign w:val="center"/>
          </w:tcPr>
          <w:p w14:paraId="1C6835E5" w14:textId="4D995925" w:rsidR="5B44A326" w:rsidRDefault="45BA1AAA" w:rsidP="45BA1AAA">
            <w:pPr>
              <w:jc w:val="center"/>
              <w:rPr>
                <w:sz w:val="21"/>
                <w:szCs w:val="21"/>
                <w:lang w:val="en-GB"/>
              </w:rPr>
            </w:pPr>
            <w:r w:rsidRPr="45BA1AAA">
              <w:rPr>
                <w:sz w:val="21"/>
                <w:szCs w:val="21"/>
                <w:lang w:val="en-GB"/>
              </w:rPr>
              <w:t xml:space="preserve"> </w:t>
            </w:r>
          </w:p>
        </w:tc>
        <w:tc>
          <w:tcPr>
            <w:tcW w:w="646" w:type="dxa"/>
            <w:tcBorders>
              <w:top w:val="nil"/>
              <w:left w:val="nil"/>
              <w:bottom w:val="single" w:sz="8" w:space="0" w:color="auto"/>
              <w:right w:val="nil"/>
            </w:tcBorders>
            <w:tcMar>
              <w:left w:w="108" w:type="dxa"/>
              <w:right w:w="108" w:type="dxa"/>
            </w:tcMar>
            <w:vAlign w:val="center"/>
          </w:tcPr>
          <w:p w14:paraId="2533DE3D" w14:textId="1A6ACCA2" w:rsidR="5B44A326" w:rsidRDefault="45BA1AAA" w:rsidP="45BA1AAA">
            <w:pPr>
              <w:jc w:val="center"/>
              <w:rPr>
                <w:sz w:val="21"/>
                <w:szCs w:val="21"/>
                <w:lang w:val="en-GB"/>
              </w:rPr>
            </w:pPr>
            <w:r w:rsidRPr="45BA1AAA">
              <w:rPr>
                <w:sz w:val="21"/>
                <w:szCs w:val="21"/>
                <w:lang w:val="en-GB"/>
              </w:rPr>
              <w:t xml:space="preserve"> </w:t>
            </w:r>
          </w:p>
        </w:tc>
        <w:tc>
          <w:tcPr>
            <w:tcW w:w="967" w:type="dxa"/>
            <w:tcBorders>
              <w:top w:val="nil"/>
              <w:left w:val="nil"/>
              <w:bottom w:val="single" w:sz="8" w:space="0" w:color="auto"/>
              <w:right w:val="nil"/>
            </w:tcBorders>
            <w:tcMar>
              <w:left w:w="108" w:type="dxa"/>
              <w:right w:w="108" w:type="dxa"/>
            </w:tcMar>
            <w:vAlign w:val="center"/>
          </w:tcPr>
          <w:p w14:paraId="75B921EC" w14:textId="799388F9" w:rsidR="5B44A326" w:rsidRDefault="45BA1AAA" w:rsidP="45BA1AAA">
            <w:pPr>
              <w:jc w:val="center"/>
              <w:rPr>
                <w:sz w:val="21"/>
                <w:szCs w:val="21"/>
                <w:lang w:val="en-GB"/>
              </w:rPr>
            </w:pPr>
            <w:r w:rsidRPr="45BA1AAA">
              <w:rPr>
                <w:sz w:val="21"/>
                <w:szCs w:val="21"/>
                <w:lang w:val="en-GB"/>
              </w:rPr>
              <w:t xml:space="preserve"> </w:t>
            </w:r>
          </w:p>
        </w:tc>
        <w:tc>
          <w:tcPr>
            <w:tcW w:w="659" w:type="dxa"/>
            <w:tcBorders>
              <w:top w:val="nil"/>
              <w:left w:val="nil"/>
              <w:bottom w:val="single" w:sz="8" w:space="0" w:color="auto"/>
              <w:right w:val="nil"/>
            </w:tcBorders>
            <w:tcMar>
              <w:left w:w="108" w:type="dxa"/>
              <w:right w:w="108" w:type="dxa"/>
            </w:tcMar>
            <w:vAlign w:val="center"/>
          </w:tcPr>
          <w:p w14:paraId="0B6795FF" w14:textId="0CDEE291" w:rsidR="5B44A326" w:rsidRDefault="45BA1AAA" w:rsidP="45BA1AAA">
            <w:pPr>
              <w:jc w:val="center"/>
              <w:rPr>
                <w:sz w:val="21"/>
                <w:szCs w:val="21"/>
                <w:lang w:val="en-GB"/>
              </w:rPr>
            </w:pPr>
            <w:r w:rsidRPr="45BA1AAA">
              <w:rPr>
                <w:sz w:val="21"/>
                <w:szCs w:val="21"/>
                <w:lang w:val="en-GB"/>
              </w:rPr>
              <w:t xml:space="preserve"> </w:t>
            </w:r>
          </w:p>
        </w:tc>
        <w:tc>
          <w:tcPr>
            <w:tcW w:w="668" w:type="dxa"/>
            <w:tcBorders>
              <w:top w:val="nil"/>
              <w:left w:val="nil"/>
              <w:bottom w:val="single" w:sz="8" w:space="0" w:color="auto"/>
              <w:right w:val="nil"/>
            </w:tcBorders>
            <w:tcMar>
              <w:left w:w="108" w:type="dxa"/>
              <w:right w:w="108" w:type="dxa"/>
            </w:tcMar>
            <w:vAlign w:val="center"/>
          </w:tcPr>
          <w:p w14:paraId="41E635A2" w14:textId="2B169441" w:rsidR="5B44A326" w:rsidRDefault="45BA1AAA" w:rsidP="45BA1AAA">
            <w:pPr>
              <w:jc w:val="center"/>
              <w:rPr>
                <w:sz w:val="21"/>
                <w:szCs w:val="21"/>
                <w:lang w:val="en-GB"/>
              </w:rPr>
            </w:pPr>
            <w:r w:rsidRPr="45BA1AAA">
              <w:rPr>
                <w:sz w:val="21"/>
                <w:szCs w:val="21"/>
                <w:lang w:val="en-GB"/>
              </w:rPr>
              <w:t xml:space="preserve"> </w:t>
            </w:r>
          </w:p>
        </w:tc>
      </w:tr>
      <w:tr w:rsidR="5B44A326" w14:paraId="5DF66C86" w14:textId="77777777" w:rsidTr="45BA1AAA">
        <w:trPr>
          <w:trHeight w:val="15"/>
        </w:trPr>
        <w:tc>
          <w:tcPr>
            <w:tcW w:w="4695" w:type="dxa"/>
            <w:tcBorders>
              <w:top w:val="single" w:sz="8" w:space="0" w:color="auto"/>
              <w:left w:val="nil"/>
              <w:bottom w:val="nil"/>
              <w:right w:val="nil"/>
            </w:tcBorders>
            <w:tcMar>
              <w:left w:w="108" w:type="dxa"/>
              <w:right w:w="108" w:type="dxa"/>
            </w:tcMar>
            <w:vAlign w:val="center"/>
          </w:tcPr>
          <w:p w14:paraId="2A3C0235" w14:textId="3A465F71" w:rsidR="5B44A326" w:rsidRDefault="45BA1AAA" w:rsidP="45BA1AAA">
            <w:pPr>
              <w:rPr>
                <w:sz w:val="21"/>
                <w:szCs w:val="21"/>
                <w:lang w:val="en-GB"/>
              </w:rPr>
            </w:pPr>
            <w:r w:rsidRPr="45BA1AAA">
              <w:rPr>
                <w:sz w:val="21"/>
                <w:szCs w:val="21"/>
                <w:lang w:val="en-GB"/>
              </w:rPr>
              <w:t>CI</w:t>
            </w:r>
          </w:p>
        </w:tc>
        <w:tc>
          <w:tcPr>
            <w:tcW w:w="840" w:type="dxa"/>
            <w:tcBorders>
              <w:top w:val="single" w:sz="8" w:space="0" w:color="auto"/>
              <w:left w:val="nil"/>
              <w:bottom w:val="nil"/>
              <w:right w:val="nil"/>
            </w:tcBorders>
            <w:tcMar>
              <w:left w:w="108" w:type="dxa"/>
              <w:right w:w="108" w:type="dxa"/>
            </w:tcMar>
            <w:vAlign w:val="center"/>
          </w:tcPr>
          <w:p w14:paraId="5C6A77B6" w14:textId="596FFDC1" w:rsidR="5B44A326" w:rsidRDefault="45BA1AAA" w:rsidP="45BA1AAA">
            <w:pPr>
              <w:jc w:val="center"/>
              <w:rPr>
                <w:sz w:val="21"/>
                <w:szCs w:val="21"/>
                <w:lang w:val="en-GB"/>
              </w:rPr>
            </w:pPr>
            <w:r w:rsidRPr="45BA1AAA">
              <w:rPr>
                <w:sz w:val="21"/>
                <w:szCs w:val="21"/>
                <w:lang w:val="en-GB"/>
              </w:rPr>
              <w:t>-</w:t>
            </w:r>
          </w:p>
        </w:tc>
        <w:tc>
          <w:tcPr>
            <w:tcW w:w="799" w:type="dxa"/>
            <w:tcBorders>
              <w:top w:val="single" w:sz="8" w:space="0" w:color="auto"/>
              <w:left w:val="nil"/>
              <w:bottom w:val="nil"/>
              <w:right w:val="nil"/>
            </w:tcBorders>
            <w:tcMar>
              <w:left w:w="108" w:type="dxa"/>
              <w:right w:w="108" w:type="dxa"/>
            </w:tcMar>
            <w:vAlign w:val="center"/>
          </w:tcPr>
          <w:p w14:paraId="4C6CE3CC" w14:textId="34AE9C1F" w:rsidR="5B44A326" w:rsidRDefault="45BA1AAA" w:rsidP="45BA1AAA">
            <w:pPr>
              <w:jc w:val="center"/>
              <w:rPr>
                <w:sz w:val="21"/>
                <w:szCs w:val="21"/>
                <w:lang w:val="en-GB"/>
              </w:rPr>
            </w:pPr>
            <w:r w:rsidRPr="45BA1AAA">
              <w:rPr>
                <w:sz w:val="21"/>
                <w:szCs w:val="21"/>
                <w:lang w:val="en-GB"/>
              </w:rPr>
              <w:t xml:space="preserve"> </w:t>
            </w:r>
          </w:p>
        </w:tc>
        <w:tc>
          <w:tcPr>
            <w:tcW w:w="646" w:type="dxa"/>
            <w:tcBorders>
              <w:top w:val="single" w:sz="8" w:space="0" w:color="auto"/>
              <w:left w:val="nil"/>
              <w:bottom w:val="nil"/>
              <w:right w:val="nil"/>
            </w:tcBorders>
            <w:tcMar>
              <w:left w:w="108" w:type="dxa"/>
              <w:right w:w="108" w:type="dxa"/>
            </w:tcMar>
            <w:vAlign w:val="center"/>
          </w:tcPr>
          <w:p w14:paraId="78F65D83" w14:textId="6B4346D7" w:rsidR="5B44A326" w:rsidRDefault="45BA1AAA" w:rsidP="45BA1AAA">
            <w:pPr>
              <w:jc w:val="center"/>
              <w:rPr>
                <w:sz w:val="21"/>
                <w:szCs w:val="21"/>
                <w:lang w:val="en-GB"/>
              </w:rPr>
            </w:pPr>
            <w:r w:rsidRPr="45BA1AAA">
              <w:rPr>
                <w:sz w:val="21"/>
                <w:szCs w:val="21"/>
                <w:lang w:val="en-GB"/>
              </w:rPr>
              <w:t xml:space="preserve"> </w:t>
            </w:r>
          </w:p>
        </w:tc>
        <w:tc>
          <w:tcPr>
            <w:tcW w:w="967" w:type="dxa"/>
            <w:tcBorders>
              <w:top w:val="single" w:sz="8" w:space="0" w:color="auto"/>
              <w:left w:val="nil"/>
              <w:bottom w:val="nil"/>
              <w:right w:val="nil"/>
            </w:tcBorders>
            <w:tcMar>
              <w:left w:w="108" w:type="dxa"/>
              <w:right w:w="108" w:type="dxa"/>
            </w:tcMar>
            <w:vAlign w:val="center"/>
          </w:tcPr>
          <w:p w14:paraId="16F5D0EE" w14:textId="0925889B" w:rsidR="5B44A326" w:rsidRDefault="45BA1AAA" w:rsidP="45BA1AAA">
            <w:pPr>
              <w:jc w:val="center"/>
              <w:rPr>
                <w:sz w:val="21"/>
                <w:szCs w:val="21"/>
                <w:lang w:val="en-GB"/>
              </w:rPr>
            </w:pPr>
            <w:r w:rsidRPr="45BA1AAA">
              <w:rPr>
                <w:sz w:val="21"/>
                <w:szCs w:val="21"/>
                <w:lang w:val="en-GB"/>
              </w:rPr>
              <w:t xml:space="preserve"> </w:t>
            </w:r>
          </w:p>
        </w:tc>
        <w:tc>
          <w:tcPr>
            <w:tcW w:w="659" w:type="dxa"/>
            <w:tcBorders>
              <w:top w:val="single" w:sz="8" w:space="0" w:color="auto"/>
              <w:left w:val="nil"/>
              <w:bottom w:val="nil"/>
              <w:right w:val="nil"/>
            </w:tcBorders>
            <w:tcMar>
              <w:left w:w="108" w:type="dxa"/>
              <w:right w:w="108" w:type="dxa"/>
            </w:tcMar>
            <w:vAlign w:val="center"/>
          </w:tcPr>
          <w:p w14:paraId="081F02CC" w14:textId="31773F30" w:rsidR="5B44A326" w:rsidRDefault="45BA1AAA" w:rsidP="45BA1AAA">
            <w:pPr>
              <w:jc w:val="center"/>
              <w:rPr>
                <w:sz w:val="21"/>
                <w:szCs w:val="21"/>
                <w:lang w:val="en-GB"/>
              </w:rPr>
            </w:pPr>
            <w:r w:rsidRPr="45BA1AAA">
              <w:rPr>
                <w:sz w:val="21"/>
                <w:szCs w:val="21"/>
                <w:lang w:val="en-GB"/>
              </w:rPr>
              <w:t xml:space="preserve"> </w:t>
            </w:r>
          </w:p>
        </w:tc>
        <w:tc>
          <w:tcPr>
            <w:tcW w:w="668" w:type="dxa"/>
            <w:tcBorders>
              <w:top w:val="single" w:sz="8" w:space="0" w:color="auto"/>
              <w:left w:val="nil"/>
              <w:bottom w:val="nil"/>
              <w:right w:val="nil"/>
            </w:tcBorders>
            <w:tcMar>
              <w:left w:w="108" w:type="dxa"/>
              <w:right w:w="108" w:type="dxa"/>
            </w:tcMar>
            <w:vAlign w:val="center"/>
          </w:tcPr>
          <w:p w14:paraId="338E9138" w14:textId="3DA74344" w:rsidR="5B44A326" w:rsidRDefault="45BA1AAA" w:rsidP="45BA1AAA">
            <w:pPr>
              <w:jc w:val="center"/>
              <w:rPr>
                <w:sz w:val="21"/>
                <w:szCs w:val="21"/>
                <w:lang w:val="en-GB"/>
              </w:rPr>
            </w:pPr>
            <w:r w:rsidRPr="45BA1AAA">
              <w:rPr>
                <w:sz w:val="21"/>
                <w:szCs w:val="21"/>
                <w:lang w:val="en-GB"/>
              </w:rPr>
              <w:t xml:space="preserve"> </w:t>
            </w:r>
          </w:p>
        </w:tc>
      </w:tr>
      <w:tr w:rsidR="5B44A326" w14:paraId="01A9B4F9" w14:textId="77777777" w:rsidTr="45BA1AAA">
        <w:trPr>
          <w:trHeight w:val="15"/>
        </w:trPr>
        <w:tc>
          <w:tcPr>
            <w:tcW w:w="4695" w:type="dxa"/>
            <w:tcBorders>
              <w:top w:val="nil"/>
              <w:left w:val="nil"/>
              <w:bottom w:val="nil"/>
              <w:right w:val="nil"/>
            </w:tcBorders>
            <w:tcMar>
              <w:left w:w="108" w:type="dxa"/>
              <w:right w:w="108" w:type="dxa"/>
            </w:tcMar>
            <w:vAlign w:val="center"/>
          </w:tcPr>
          <w:p w14:paraId="49452ABE" w14:textId="613AD539" w:rsidR="5B44A326" w:rsidRDefault="45BA1AAA" w:rsidP="45BA1AAA">
            <w:pPr>
              <w:rPr>
                <w:sz w:val="21"/>
                <w:szCs w:val="21"/>
                <w:lang w:val="en-GB"/>
              </w:rPr>
            </w:pPr>
            <w:r w:rsidRPr="45BA1AAA">
              <w:rPr>
                <w:sz w:val="21"/>
                <w:szCs w:val="21"/>
                <w:lang w:val="en-GB"/>
              </w:rPr>
              <w:t>IC</w:t>
            </w:r>
          </w:p>
        </w:tc>
        <w:tc>
          <w:tcPr>
            <w:tcW w:w="840" w:type="dxa"/>
            <w:tcBorders>
              <w:top w:val="nil"/>
              <w:left w:val="nil"/>
              <w:bottom w:val="nil"/>
              <w:right w:val="nil"/>
            </w:tcBorders>
            <w:tcMar>
              <w:left w:w="108" w:type="dxa"/>
              <w:right w:w="108" w:type="dxa"/>
            </w:tcMar>
            <w:vAlign w:val="center"/>
          </w:tcPr>
          <w:p w14:paraId="1A56F031" w14:textId="1D5E50D9" w:rsidR="5B44A326" w:rsidRDefault="45BA1AAA" w:rsidP="45BA1AAA">
            <w:pPr>
              <w:jc w:val="center"/>
              <w:rPr>
                <w:sz w:val="21"/>
                <w:szCs w:val="21"/>
                <w:lang w:val="en-GB"/>
              </w:rPr>
            </w:pPr>
            <w:r w:rsidRPr="45BA1AAA">
              <w:rPr>
                <w:sz w:val="21"/>
                <w:szCs w:val="21"/>
                <w:lang w:val="en-GB"/>
              </w:rPr>
              <w:t>.17</w:t>
            </w:r>
          </w:p>
        </w:tc>
        <w:tc>
          <w:tcPr>
            <w:tcW w:w="799" w:type="dxa"/>
            <w:tcBorders>
              <w:top w:val="nil"/>
              <w:left w:val="nil"/>
              <w:bottom w:val="nil"/>
              <w:right w:val="nil"/>
            </w:tcBorders>
            <w:tcMar>
              <w:left w:w="108" w:type="dxa"/>
              <w:right w:w="108" w:type="dxa"/>
            </w:tcMar>
            <w:vAlign w:val="center"/>
          </w:tcPr>
          <w:p w14:paraId="16F46507" w14:textId="36276415" w:rsidR="5B44A326" w:rsidRDefault="45BA1AAA" w:rsidP="45BA1AAA">
            <w:pPr>
              <w:jc w:val="center"/>
              <w:rPr>
                <w:sz w:val="21"/>
                <w:szCs w:val="21"/>
                <w:lang w:val="en-GB"/>
              </w:rPr>
            </w:pPr>
            <w:r w:rsidRPr="45BA1AAA">
              <w:rPr>
                <w:sz w:val="21"/>
                <w:szCs w:val="21"/>
                <w:lang w:val="en-GB"/>
              </w:rPr>
              <w:t>-</w:t>
            </w:r>
          </w:p>
        </w:tc>
        <w:tc>
          <w:tcPr>
            <w:tcW w:w="646" w:type="dxa"/>
            <w:tcBorders>
              <w:top w:val="nil"/>
              <w:left w:val="nil"/>
              <w:bottom w:val="nil"/>
              <w:right w:val="nil"/>
            </w:tcBorders>
            <w:tcMar>
              <w:left w:w="108" w:type="dxa"/>
              <w:right w:w="108" w:type="dxa"/>
            </w:tcMar>
            <w:vAlign w:val="center"/>
          </w:tcPr>
          <w:p w14:paraId="2447AC74" w14:textId="20ECF300" w:rsidR="5B44A326" w:rsidRDefault="45BA1AAA" w:rsidP="45BA1AAA">
            <w:pPr>
              <w:jc w:val="center"/>
              <w:rPr>
                <w:sz w:val="21"/>
                <w:szCs w:val="21"/>
                <w:lang w:val="en-GB"/>
              </w:rPr>
            </w:pPr>
            <w:r w:rsidRPr="45BA1AAA">
              <w:rPr>
                <w:sz w:val="21"/>
                <w:szCs w:val="21"/>
                <w:lang w:val="en-GB"/>
              </w:rPr>
              <w:t xml:space="preserve"> </w:t>
            </w:r>
          </w:p>
        </w:tc>
        <w:tc>
          <w:tcPr>
            <w:tcW w:w="967" w:type="dxa"/>
            <w:tcBorders>
              <w:top w:val="nil"/>
              <w:left w:val="nil"/>
              <w:bottom w:val="nil"/>
              <w:right w:val="nil"/>
            </w:tcBorders>
            <w:tcMar>
              <w:left w:w="108" w:type="dxa"/>
              <w:right w:w="108" w:type="dxa"/>
            </w:tcMar>
            <w:vAlign w:val="center"/>
          </w:tcPr>
          <w:p w14:paraId="4100A39B" w14:textId="6BB5DC07" w:rsidR="5B44A326" w:rsidRDefault="45BA1AAA" w:rsidP="45BA1AAA">
            <w:pPr>
              <w:jc w:val="center"/>
              <w:rPr>
                <w:sz w:val="21"/>
                <w:szCs w:val="21"/>
                <w:lang w:val="en-GB"/>
              </w:rPr>
            </w:pPr>
            <w:r w:rsidRPr="45BA1AAA">
              <w:rPr>
                <w:sz w:val="21"/>
                <w:szCs w:val="21"/>
                <w:lang w:val="en-GB"/>
              </w:rPr>
              <w:t xml:space="preserve"> </w:t>
            </w:r>
          </w:p>
        </w:tc>
        <w:tc>
          <w:tcPr>
            <w:tcW w:w="659" w:type="dxa"/>
            <w:tcBorders>
              <w:top w:val="nil"/>
              <w:left w:val="nil"/>
              <w:bottom w:val="nil"/>
              <w:right w:val="nil"/>
            </w:tcBorders>
            <w:tcMar>
              <w:left w:w="108" w:type="dxa"/>
              <w:right w:w="108" w:type="dxa"/>
            </w:tcMar>
            <w:vAlign w:val="center"/>
          </w:tcPr>
          <w:p w14:paraId="65B33317" w14:textId="1B3FADC8" w:rsidR="5B44A326" w:rsidRDefault="45BA1AAA" w:rsidP="45BA1AAA">
            <w:pPr>
              <w:jc w:val="center"/>
              <w:rPr>
                <w:sz w:val="21"/>
                <w:szCs w:val="21"/>
                <w:lang w:val="en-GB"/>
              </w:rPr>
            </w:pPr>
            <w:r w:rsidRPr="45BA1AAA">
              <w:rPr>
                <w:sz w:val="21"/>
                <w:szCs w:val="21"/>
                <w:lang w:val="en-GB"/>
              </w:rPr>
              <w:t xml:space="preserve"> </w:t>
            </w:r>
          </w:p>
        </w:tc>
        <w:tc>
          <w:tcPr>
            <w:tcW w:w="668" w:type="dxa"/>
            <w:tcBorders>
              <w:top w:val="nil"/>
              <w:left w:val="nil"/>
              <w:bottom w:val="nil"/>
              <w:right w:val="nil"/>
            </w:tcBorders>
            <w:tcMar>
              <w:left w:w="108" w:type="dxa"/>
              <w:right w:w="108" w:type="dxa"/>
            </w:tcMar>
            <w:vAlign w:val="center"/>
          </w:tcPr>
          <w:p w14:paraId="50C895C1" w14:textId="405FFFEC" w:rsidR="5B44A326" w:rsidRDefault="45BA1AAA" w:rsidP="45BA1AAA">
            <w:pPr>
              <w:jc w:val="center"/>
              <w:rPr>
                <w:sz w:val="21"/>
                <w:szCs w:val="21"/>
                <w:lang w:val="en-GB"/>
              </w:rPr>
            </w:pPr>
            <w:r w:rsidRPr="45BA1AAA">
              <w:rPr>
                <w:sz w:val="21"/>
                <w:szCs w:val="21"/>
                <w:lang w:val="en-GB"/>
              </w:rPr>
              <w:t xml:space="preserve"> </w:t>
            </w:r>
          </w:p>
        </w:tc>
      </w:tr>
      <w:tr w:rsidR="5B44A326" w14:paraId="1EAB250A" w14:textId="77777777" w:rsidTr="45BA1AAA">
        <w:trPr>
          <w:trHeight w:val="15"/>
        </w:trPr>
        <w:tc>
          <w:tcPr>
            <w:tcW w:w="4695" w:type="dxa"/>
            <w:tcBorders>
              <w:top w:val="nil"/>
              <w:left w:val="nil"/>
              <w:bottom w:val="nil"/>
              <w:right w:val="nil"/>
            </w:tcBorders>
            <w:tcMar>
              <w:left w:w="108" w:type="dxa"/>
              <w:right w:w="108" w:type="dxa"/>
            </w:tcMar>
            <w:vAlign w:val="center"/>
          </w:tcPr>
          <w:p w14:paraId="3DAEA90B" w14:textId="4D8DE18E" w:rsidR="5B44A326" w:rsidRDefault="45BA1AAA" w:rsidP="45BA1AAA">
            <w:pPr>
              <w:rPr>
                <w:sz w:val="21"/>
                <w:szCs w:val="21"/>
                <w:lang w:val="en-GB"/>
              </w:rPr>
            </w:pPr>
            <w:r w:rsidRPr="45BA1AAA">
              <w:rPr>
                <w:sz w:val="21"/>
                <w:szCs w:val="21"/>
                <w:lang w:val="en-GB"/>
              </w:rPr>
              <w:t>PC</w:t>
            </w:r>
          </w:p>
        </w:tc>
        <w:tc>
          <w:tcPr>
            <w:tcW w:w="840" w:type="dxa"/>
            <w:tcBorders>
              <w:top w:val="nil"/>
              <w:left w:val="nil"/>
              <w:bottom w:val="nil"/>
              <w:right w:val="nil"/>
            </w:tcBorders>
            <w:tcMar>
              <w:left w:w="108" w:type="dxa"/>
              <w:right w:w="108" w:type="dxa"/>
            </w:tcMar>
            <w:vAlign w:val="center"/>
          </w:tcPr>
          <w:p w14:paraId="3256A41C" w14:textId="183C06EB" w:rsidR="5B44A326" w:rsidRDefault="45BA1AAA" w:rsidP="45BA1AAA">
            <w:pPr>
              <w:jc w:val="center"/>
              <w:rPr>
                <w:sz w:val="21"/>
                <w:szCs w:val="21"/>
                <w:lang w:val="en-GB"/>
              </w:rPr>
            </w:pPr>
            <w:r w:rsidRPr="45BA1AAA">
              <w:rPr>
                <w:sz w:val="21"/>
                <w:szCs w:val="21"/>
                <w:lang w:val="en-GB"/>
              </w:rPr>
              <w:t>.23</w:t>
            </w:r>
          </w:p>
        </w:tc>
        <w:tc>
          <w:tcPr>
            <w:tcW w:w="799" w:type="dxa"/>
            <w:tcBorders>
              <w:top w:val="nil"/>
              <w:left w:val="nil"/>
              <w:bottom w:val="nil"/>
              <w:right w:val="nil"/>
            </w:tcBorders>
            <w:tcMar>
              <w:left w:w="108" w:type="dxa"/>
              <w:right w:w="108" w:type="dxa"/>
            </w:tcMar>
            <w:vAlign w:val="center"/>
          </w:tcPr>
          <w:p w14:paraId="5D739139" w14:textId="4C39A436" w:rsidR="5B44A326" w:rsidRDefault="45BA1AAA" w:rsidP="45BA1AAA">
            <w:pPr>
              <w:jc w:val="center"/>
              <w:rPr>
                <w:sz w:val="21"/>
                <w:szCs w:val="21"/>
                <w:lang w:val="en-GB"/>
              </w:rPr>
            </w:pPr>
            <w:r w:rsidRPr="45BA1AAA">
              <w:rPr>
                <w:sz w:val="21"/>
                <w:szCs w:val="21"/>
                <w:lang w:val="en-GB"/>
              </w:rPr>
              <w:t>.37</w:t>
            </w:r>
          </w:p>
        </w:tc>
        <w:tc>
          <w:tcPr>
            <w:tcW w:w="646" w:type="dxa"/>
            <w:tcBorders>
              <w:top w:val="nil"/>
              <w:left w:val="nil"/>
              <w:bottom w:val="nil"/>
              <w:right w:val="nil"/>
            </w:tcBorders>
            <w:tcMar>
              <w:left w:w="108" w:type="dxa"/>
              <w:right w:w="108" w:type="dxa"/>
            </w:tcMar>
            <w:vAlign w:val="center"/>
          </w:tcPr>
          <w:p w14:paraId="162B2D8A" w14:textId="25646E26" w:rsidR="5B44A326" w:rsidRDefault="45BA1AAA" w:rsidP="45BA1AAA">
            <w:pPr>
              <w:jc w:val="center"/>
              <w:rPr>
                <w:sz w:val="21"/>
                <w:szCs w:val="21"/>
                <w:lang w:val="en-GB"/>
              </w:rPr>
            </w:pPr>
            <w:r w:rsidRPr="45BA1AAA">
              <w:rPr>
                <w:sz w:val="21"/>
                <w:szCs w:val="21"/>
                <w:lang w:val="en-GB"/>
              </w:rPr>
              <w:t>-</w:t>
            </w:r>
          </w:p>
        </w:tc>
        <w:tc>
          <w:tcPr>
            <w:tcW w:w="967" w:type="dxa"/>
            <w:tcBorders>
              <w:top w:val="nil"/>
              <w:left w:val="nil"/>
              <w:bottom w:val="nil"/>
              <w:right w:val="nil"/>
            </w:tcBorders>
            <w:tcMar>
              <w:left w:w="108" w:type="dxa"/>
              <w:right w:w="108" w:type="dxa"/>
            </w:tcMar>
            <w:vAlign w:val="center"/>
          </w:tcPr>
          <w:p w14:paraId="7B82AF4A" w14:textId="06B92D3B" w:rsidR="5B44A326" w:rsidRDefault="45BA1AAA" w:rsidP="45BA1AAA">
            <w:pPr>
              <w:jc w:val="center"/>
              <w:rPr>
                <w:sz w:val="21"/>
                <w:szCs w:val="21"/>
                <w:lang w:val="en-GB"/>
              </w:rPr>
            </w:pPr>
            <w:r w:rsidRPr="45BA1AAA">
              <w:rPr>
                <w:sz w:val="21"/>
                <w:szCs w:val="21"/>
                <w:lang w:val="en-GB"/>
              </w:rPr>
              <w:t xml:space="preserve"> </w:t>
            </w:r>
          </w:p>
        </w:tc>
        <w:tc>
          <w:tcPr>
            <w:tcW w:w="659" w:type="dxa"/>
            <w:tcBorders>
              <w:top w:val="nil"/>
              <w:left w:val="nil"/>
              <w:bottom w:val="nil"/>
              <w:right w:val="nil"/>
            </w:tcBorders>
            <w:tcMar>
              <w:left w:w="108" w:type="dxa"/>
              <w:right w:w="108" w:type="dxa"/>
            </w:tcMar>
            <w:vAlign w:val="center"/>
          </w:tcPr>
          <w:p w14:paraId="5B4FC637" w14:textId="184CCAC4" w:rsidR="5B44A326" w:rsidRDefault="45BA1AAA" w:rsidP="45BA1AAA">
            <w:pPr>
              <w:jc w:val="center"/>
              <w:rPr>
                <w:sz w:val="21"/>
                <w:szCs w:val="21"/>
                <w:lang w:val="en-GB"/>
              </w:rPr>
            </w:pPr>
            <w:r w:rsidRPr="45BA1AAA">
              <w:rPr>
                <w:sz w:val="21"/>
                <w:szCs w:val="21"/>
                <w:lang w:val="en-GB"/>
              </w:rPr>
              <w:t xml:space="preserve"> </w:t>
            </w:r>
          </w:p>
        </w:tc>
        <w:tc>
          <w:tcPr>
            <w:tcW w:w="668" w:type="dxa"/>
            <w:tcBorders>
              <w:top w:val="nil"/>
              <w:left w:val="nil"/>
              <w:bottom w:val="nil"/>
              <w:right w:val="nil"/>
            </w:tcBorders>
            <w:tcMar>
              <w:left w:w="108" w:type="dxa"/>
              <w:right w:w="108" w:type="dxa"/>
            </w:tcMar>
            <w:vAlign w:val="center"/>
          </w:tcPr>
          <w:p w14:paraId="04116BFA" w14:textId="6AF2F916" w:rsidR="5B44A326" w:rsidRDefault="45BA1AAA" w:rsidP="45BA1AAA">
            <w:pPr>
              <w:jc w:val="center"/>
              <w:rPr>
                <w:sz w:val="21"/>
                <w:szCs w:val="21"/>
                <w:lang w:val="en-GB"/>
              </w:rPr>
            </w:pPr>
            <w:r w:rsidRPr="45BA1AAA">
              <w:rPr>
                <w:sz w:val="21"/>
                <w:szCs w:val="21"/>
                <w:lang w:val="en-GB"/>
              </w:rPr>
              <w:t xml:space="preserve"> </w:t>
            </w:r>
          </w:p>
        </w:tc>
      </w:tr>
      <w:tr w:rsidR="5B44A326" w14:paraId="55F30F92" w14:textId="77777777" w:rsidTr="45BA1AAA">
        <w:trPr>
          <w:trHeight w:val="15"/>
        </w:trPr>
        <w:tc>
          <w:tcPr>
            <w:tcW w:w="4695" w:type="dxa"/>
            <w:tcBorders>
              <w:top w:val="nil"/>
              <w:left w:val="nil"/>
              <w:bottom w:val="nil"/>
              <w:right w:val="nil"/>
            </w:tcBorders>
            <w:tcMar>
              <w:left w:w="108" w:type="dxa"/>
              <w:right w:w="108" w:type="dxa"/>
            </w:tcMar>
            <w:vAlign w:val="center"/>
          </w:tcPr>
          <w:p w14:paraId="4AFC9407" w14:textId="1718CC96" w:rsidR="5B44A326" w:rsidRDefault="45BA1AAA" w:rsidP="45BA1AAA">
            <w:pPr>
              <w:rPr>
                <w:sz w:val="21"/>
                <w:szCs w:val="21"/>
                <w:lang w:val="en-GB"/>
              </w:rPr>
            </w:pPr>
            <w:r w:rsidRPr="45BA1AAA">
              <w:rPr>
                <w:sz w:val="21"/>
                <w:szCs w:val="21"/>
                <w:lang w:val="en-GB"/>
              </w:rPr>
              <w:t>AR</w:t>
            </w:r>
          </w:p>
        </w:tc>
        <w:tc>
          <w:tcPr>
            <w:tcW w:w="840" w:type="dxa"/>
            <w:tcBorders>
              <w:top w:val="nil"/>
              <w:left w:val="nil"/>
              <w:bottom w:val="nil"/>
              <w:right w:val="nil"/>
            </w:tcBorders>
            <w:tcMar>
              <w:left w:w="108" w:type="dxa"/>
              <w:right w:w="108" w:type="dxa"/>
            </w:tcMar>
            <w:vAlign w:val="center"/>
          </w:tcPr>
          <w:p w14:paraId="44A94312" w14:textId="5361B736" w:rsidR="5B44A326" w:rsidRDefault="45BA1AAA" w:rsidP="45BA1AAA">
            <w:pPr>
              <w:jc w:val="center"/>
              <w:rPr>
                <w:sz w:val="21"/>
                <w:szCs w:val="21"/>
                <w:lang w:val="en-GB"/>
              </w:rPr>
            </w:pPr>
            <w:r w:rsidRPr="45BA1AAA">
              <w:rPr>
                <w:sz w:val="21"/>
                <w:szCs w:val="21"/>
                <w:lang w:val="en-GB"/>
              </w:rPr>
              <w:t>.13</w:t>
            </w:r>
          </w:p>
        </w:tc>
        <w:tc>
          <w:tcPr>
            <w:tcW w:w="799" w:type="dxa"/>
            <w:tcBorders>
              <w:top w:val="nil"/>
              <w:left w:val="nil"/>
              <w:bottom w:val="nil"/>
              <w:right w:val="nil"/>
            </w:tcBorders>
            <w:tcMar>
              <w:left w:w="108" w:type="dxa"/>
              <w:right w:w="108" w:type="dxa"/>
            </w:tcMar>
            <w:vAlign w:val="center"/>
          </w:tcPr>
          <w:p w14:paraId="1E209E35" w14:textId="606CD358" w:rsidR="5B44A326" w:rsidRDefault="45BA1AAA" w:rsidP="45BA1AAA">
            <w:pPr>
              <w:jc w:val="center"/>
              <w:rPr>
                <w:sz w:val="21"/>
                <w:szCs w:val="21"/>
                <w:lang w:val="en-GB"/>
              </w:rPr>
            </w:pPr>
            <w:r w:rsidRPr="45BA1AAA">
              <w:rPr>
                <w:sz w:val="21"/>
                <w:szCs w:val="21"/>
                <w:lang w:val="en-GB"/>
              </w:rPr>
              <w:t>.22</w:t>
            </w:r>
          </w:p>
        </w:tc>
        <w:tc>
          <w:tcPr>
            <w:tcW w:w="646" w:type="dxa"/>
            <w:tcBorders>
              <w:top w:val="nil"/>
              <w:left w:val="nil"/>
              <w:bottom w:val="nil"/>
              <w:right w:val="nil"/>
            </w:tcBorders>
            <w:tcMar>
              <w:left w:w="108" w:type="dxa"/>
              <w:right w:w="108" w:type="dxa"/>
            </w:tcMar>
            <w:vAlign w:val="center"/>
          </w:tcPr>
          <w:p w14:paraId="17D63FE5" w14:textId="515C5345" w:rsidR="5B44A326" w:rsidRDefault="45BA1AAA" w:rsidP="45BA1AAA">
            <w:pPr>
              <w:jc w:val="center"/>
              <w:rPr>
                <w:sz w:val="21"/>
                <w:szCs w:val="21"/>
                <w:lang w:val="en-GB"/>
              </w:rPr>
            </w:pPr>
            <w:r w:rsidRPr="45BA1AAA">
              <w:rPr>
                <w:sz w:val="21"/>
                <w:szCs w:val="21"/>
                <w:lang w:val="en-GB"/>
              </w:rPr>
              <w:t>.26</w:t>
            </w:r>
          </w:p>
        </w:tc>
        <w:tc>
          <w:tcPr>
            <w:tcW w:w="967" w:type="dxa"/>
            <w:tcBorders>
              <w:top w:val="nil"/>
              <w:left w:val="nil"/>
              <w:bottom w:val="nil"/>
              <w:right w:val="nil"/>
            </w:tcBorders>
            <w:tcMar>
              <w:left w:w="108" w:type="dxa"/>
              <w:right w:w="108" w:type="dxa"/>
            </w:tcMar>
            <w:vAlign w:val="center"/>
          </w:tcPr>
          <w:p w14:paraId="0DA70F96" w14:textId="463B31CA" w:rsidR="5B44A326" w:rsidRDefault="45BA1AAA" w:rsidP="45BA1AAA">
            <w:pPr>
              <w:jc w:val="center"/>
              <w:rPr>
                <w:sz w:val="21"/>
                <w:szCs w:val="21"/>
                <w:lang w:val="en-GB"/>
              </w:rPr>
            </w:pPr>
            <w:r w:rsidRPr="45BA1AAA">
              <w:rPr>
                <w:sz w:val="21"/>
                <w:szCs w:val="21"/>
                <w:lang w:val="en-GB"/>
              </w:rPr>
              <w:t>-</w:t>
            </w:r>
          </w:p>
        </w:tc>
        <w:tc>
          <w:tcPr>
            <w:tcW w:w="659" w:type="dxa"/>
            <w:tcBorders>
              <w:top w:val="nil"/>
              <w:left w:val="nil"/>
              <w:bottom w:val="nil"/>
              <w:right w:val="nil"/>
            </w:tcBorders>
            <w:tcMar>
              <w:left w:w="108" w:type="dxa"/>
              <w:right w:w="108" w:type="dxa"/>
            </w:tcMar>
            <w:vAlign w:val="center"/>
          </w:tcPr>
          <w:p w14:paraId="0AD10E4E" w14:textId="77814E7D" w:rsidR="5B44A326" w:rsidRDefault="45BA1AAA" w:rsidP="45BA1AAA">
            <w:pPr>
              <w:jc w:val="center"/>
              <w:rPr>
                <w:sz w:val="21"/>
                <w:szCs w:val="21"/>
                <w:lang w:val="en-GB"/>
              </w:rPr>
            </w:pPr>
            <w:r w:rsidRPr="45BA1AAA">
              <w:rPr>
                <w:sz w:val="21"/>
                <w:szCs w:val="21"/>
                <w:lang w:val="en-GB"/>
              </w:rPr>
              <w:t xml:space="preserve"> </w:t>
            </w:r>
          </w:p>
        </w:tc>
        <w:tc>
          <w:tcPr>
            <w:tcW w:w="668" w:type="dxa"/>
            <w:tcBorders>
              <w:top w:val="nil"/>
              <w:left w:val="nil"/>
              <w:bottom w:val="nil"/>
              <w:right w:val="nil"/>
            </w:tcBorders>
            <w:tcMar>
              <w:left w:w="108" w:type="dxa"/>
              <w:right w:w="108" w:type="dxa"/>
            </w:tcMar>
            <w:vAlign w:val="center"/>
          </w:tcPr>
          <w:p w14:paraId="51790389" w14:textId="147A71EE" w:rsidR="5B44A326" w:rsidRDefault="45BA1AAA" w:rsidP="45BA1AAA">
            <w:pPr>
              <w:jc w:val="center"/>
              <w:rPr>
                <w:sz w:val="21"/>
                <w:szCs w:val="21"/>
                <w:lang w:val="en-GB"/>
              </w:rPr>
            </w:pPr>
            <w:r w:rsidRPr="45BA1AAA">
              <w:rPr>
                <w:sz w:val="21"/>
                <w:szCs w:val="21"/>
                <w:lang w:val="en-GB"/>
              </w:rPr>
              <w:t xml:space="preserve"> </w:t>
            </w:r>
          </w:p>
        </w:tc>
      </w:tr>
      <w:tr w:rsidR="5B44A326" w14:paraId="660A2462" w14:textId="77777777" w:rsidTr="45BA1AAA">
        <w:trPr>
          <w:trHeight w:val="15"/>
        </w:trPr>
        <w:tc>
          <w:tcPr>
            <w:tcW w:w="4695" w:type="dxa"/>
            <w:tcBorders>
              <w:top w:val="nil"/>
              <w:left w:val="nil"/>
              <w:bottom w:val="nil"/>
              <w:right w:val="nil"/>
            </w:tcBorders>
            <w:tcMar>
              <w:left w:w="108" w:type="dxa"/>
              <w:right w:w="108" w:type="dxa"/>
            </w:tcMar>
            <w:vAlign w:val="center"/>
          </w:tcPr>
          <w:p w14:paraId="65E3C9BD" w14:textId="273ECC3C" w:rsidR="5B44A326" w:rsidRDefault="45BA1AAA" w:rsidP="45BA1AAA">
            <w:pPr>
              <w:rPr>
                <w:sz w:val="21"/>
                <w:szCs w:val="21"/>
                <w:lang w:val="en-GB"/>
              </w:rPr>
            </w:pPr>
            <w:r w:rsidRPr="45BA1AAA">
              <w:rPr>
                <w:sz w:val="21"/>
                <w:szCs w:val="21"/>
                <w:lang w:val="en-GB"/>
              </w:rPr>
              <w:t>ND</w:t>
            </w:r>
          </w:p>
        </w:tc>
        <w:tc>
          <w:tcPr>
            <w:tcW w:w="840" w:type="dxa"/>
            <w:tcBorders>
              <w:top w:val="nil"/>
              <w:left w:val="nil"/>
              <w:bottom w:val="nil"/>
              <w:right w:val="nil"/>
            </w:tcBorders>
            <w:tcMar>
              <w:left w:w="108" w:type="dxa"/>
              <w:right w:w="108" w:type="dxa"/>
            </w:tcMar>
            <w:vAlign w:val="center"/>
          </w:tcPr>
          <w:p w14:paraId="43B0BA28" w14:textId="72773CD2" w:rsidR="5B44A326" w:rsidRDefault="45BA1AAA" w:rsidP="45BA1AAA">
            <w:pPr>
              <w:jc w:val="center"/>
              <w:rPr>
                <w:sz w:val="21"/>
                <w:szCs w:val="21"/>
                <w:lang w:val="en-GB"/>
              </w:rPr>
            </w:pPr>
            <w:r w:rsidRPr="45BA1AAA">
              <w:rPr>
                <w:sz w:val="21"/>
                <w:szCs w:val="21"/>
                <w:lang w:val="en-GB"/>
              </w:rPr>
              <w:t>.24</w:t>
            </w:r>
          </w:p>
        </w:tc>
        <w:tc>
          <w:tcPr>
            <w:tcW w:w="799" w:type="dxa"/>
            <w:tcBorders>
              <w:top w:val="nil"/>
              <w:left w:val="nil"/>
              <w:bottom w:val="nil"/>
              <w:right w:val="nil"/>
            </w:tcBorders>
            <w:tcMar>
              <w:left w:w="108" w:type="dxa"/>
              <w:right w:w="108" w:type="dxa"/>
            </w:tcMar>
            <w:vAlign w:val="center"/>
          </w:tcPr>
          <w:p w14:paraId="44A2E3C4" w14:textId="4419FF64" w:rsidR="5B44A326" w:rsidRDefault="45BA1AAA" w:rsidP="45BA1AAA">
            <w:pPr>
              <w:jc w:val="center"/>
              <w:rPr>
                <w:sz w:val="21"/>
                <w:szCs w:val="21"/>
                <w:lang w:val="en-GB"/>
              </w:rPr>
            </w:pPr>
            <w:r w:rsidRPr="45BA1AAA">
              <w:rPr>
                <w:sz w:val="21"/>
                <w:szCs w:val="21"/>
                <w:lang w:val="en-GB"/>
              </w:rPr>
              <w:t>.27</w:t>
            </w:r>
          </w:p>
        </w:tc>
        <w:tc>
          <w:tcPr>
            <w:tcW w:w="646" w:type="dxa"/>
            <w:tcBorders>
              <w:top w:val="nil"/>
              <w:left w:val="nil"/>
              <w:bottom w:val="nil"/>
              <w:right w:val="nil"/>
            </w:tcBorders>
            <w:tcMar>
              <w:left w:w="108" w:type="dxa"/>
              <w:right w:w="108" w:type="dxa"/>
            </w:tcMar>
            <w:vAlign w:val="center"/>
          </w:tcPr>
          <w:p w14:paraId="44F81436" w14:textId="3CEC6BB6" w:rsidR="5B44A326" w:rsidRDefault="45BA1AAA" w:rsidP="45BA1AAA">
            <w:pPr>
              <w:jc w:val="center"/>
              <w:rPr>
                <w:sz w:val="21"/>
                <w:szCs w:val="21"/>
                <w:lang w:val="en-GB"/>
              </w:rPr>
            </w:pPr>
            <w:r w:rsidRPr="45BA1AAA">
              <w:rPr>
                <w:sz w:val="21"/>
                <w:szCs w:val="21"/>
                <w:lang w:val="en-GB"/>
              </w:rPr>
              <w:t>.14</w:t>
            </w:r>
          </w:p>
        </w:tc>
        <w:tc>
          <w:tcPr>
            <w:tcW w:w="967" w:type="dxa"/>
            <w:tcBorders>
              <w:top w:val="nil"/>
              <w:left w:val="nil"/>
              <w:bottom w:val="nil"/>
              <w:right w:val="nil"/>
            </w:tcBorders>
            <w:tcMar>
              <w:left w:w="108" w:type="dxa"/>
              <w:right w:w="108" w:type="dxa"/>
            </w:tcMar>
            <w:vAlign w:val="center"/>
          </w:tcPr>
          <w:p w14:paraId="429D62F7" w14:textId="47DA9D95" w:rsidR="5B44A326" w:rsidRDefault="45BA1AAA" w:rsidP="45BA1AAA">
            <w:pPr>
              <w:jc w:val="center"/>
              <w:rPr>
                <w:sz w:val="21"/>
                <w:szCs w:val="21"/>
                <w:lang w:val="en-GB"/>
              </w:rPr>
            </w:pPr>
            <w:r w:rsidRPr="45BA1AAA">
              <w:rPr>
                <w:sz w:val="21"/>
                <w:szCs w:val="21"/>
                <w:lang w:val="en-GB"/>
              </w:rPr>
              <w:t>.27</w:t>
            </w:r>
          </w:p>
        </w:tc>
        <w:tc>
          <w:tcPr>
            <w:tcW w:w="659" w:type="dxa"/>
            <w:tcBorders>
              <w:top w:val="nil"/>
              <w:left w:val="nil"/>
              <w:bottom w:val="nil"/>
              <w:right w:val="nil"/>
            </w:tcBorders>
            <w:tcMar>
              <w:left w:w="108" w:type="dxa"/>
              <w:right w:w="108" w:type="dxa"/>
            </w:tcMar>
            <w:vAlign w:val="center"/>
          </w:tcPr>
          <w:p w14:paraId="09A82947" w14:textId="1D55F98B" w:rsidR="5B44A326" w:rsidRDefault="45BA1AAA" w:rsidP="45BA1AAA">
            <w:pPr>
              <w:jc w:val="center"/>
              <w:rPr>
                <w:sz w:val="21"/>
                <w:szCs w:val="21"/>
                <w:lang w:val="en-GB"/>
              </w:rPr>
            </w:pPr>
            <w:r w:rsidRPr="45BA1AAA">
              <w:rPr>
                <w:sz w:val="21"/>
                <w:szCs w:val="21"/>
                <w:lang w:val="en-GB"/>
              </w:rPr>
              <w:t>-</w:t>
            </w:r>
          </w:p>
        </w:tc>
        <w:tc>
          <w:tcPr>
            <w:tcW w:w="668" w:type="dxa"/>
            <w:tcBorders>
              <w:top w:val="nil"/>
              <w:left w:val="nil"/>
              <w:bottom w:val="nil"/>
              <w:right w:val="nil"/>
            </w:tcBorders>
            <w:tcMar>
              <w:left w:w="108" w:type="dxa"/>
              <w:right w:w="108" w:type="dxa"/>
            </w:tcMar>
            <w:vAlign w:val="center"/>
          </w:tcPr>
          <w:p w14:paraId="05D14067" w14:textId="32D87207" w:rsidR="5B44A326" w:rsidRDefault="45BA1AAA" w:rsidP="45BA1AAA">
            <w:pPr>
              <w:jc w:val="center"/>
              <w:rPr>
                <w:sz w:val="21"/>
                <w:szCs w:val="21"/>
                <w:lang w:val="en-GB"/>
              </w:rPr>
            </w:pPr>
            <w:r w:rsidRPr="45BA1AAA">
              <w:rPr>
                <w:sz w:val="21"/>
                <w:szCs w:val="21"/>
                <w:lang w:val="en-GB"/>
              </w:rPr>
              <w:t xml:space="preserve"> </w:t>
            </w:r>
          </w:p>
        </w:tc>
      </w:tr>
      <w:tr w:rsidR="5B44A326" w14:paraId="12C1A6FA" w14:textId="77777777" w:rsidTr="45BA1AAA">
        <w:trPr>
          <w:trHeight w:val="15"/>
        </w:trPr>
        <w:tc>
          <w:tcPr>
            <w:tcW w:w="4695" w:type="dxa"/>
            <w:tcBorders>
              <w:top w:val="nil"/>
              <w:left w:val="nil"/>
              <w:bottom w:val="single" w:sz="8" w:space="0" w:color="auto"/>
              <w:right w:val="nil"/>
            </w:tcBorders>
            <w:tcMar>
              <w:left w:w="108" w:type="dxa"/>
              <w:right w:w="108" w:type="dxa"/>
            </w:tcMar>
            <w:vAlign w:val="center"/>
          </w:tcPr>
          <w:p w14:paraId="38300C55" w14:textId="18EC25C9" w:rsidR="5B44A326" w:rsidRDefault="45BA1AAA" w:rsidP="45BA1AAA">
            <w:pPr>
              <w:rPr>
                <w:sz w:val="21"/>
                <w:szCs w:val="21"/>
                <w:lang w:val="en-GB"/>
              </w:rPr>
            </w:pPr>
            <w:r w:rsidRPr="45BA1AAA">
              <w:rPr>
                <w:sz w:val="21"/>
                <w:szCs w:val="21"/>
                <w:lang w:val="en-GB"/>
              </w:rPr>
              <w:t>Perf</w:t>
            </w:r>
          </w:p>
        </w:tc>
        <w:tc>
          <w:tcPr>
            <w:tcW w:w="840" w:type="dxa"/>
            <w:tcBorders>
              <w:top w:val="nil"/>
              <w:left w:val="nil"/>
              <w:bottom w:val="single" w:sz="8" w:space="0" w:color="auto"/>
              <w:right w:val="nil"/>
            </w:tcBorders>
            <w:tcMar>
              <w:left w:w="108" w:type="dxa"/>
              <w:right w:w="108" w:type="dxa"/>
            </w:tcMar>
            <w:vAlign w:val="center"/>
          </w:tcPr>
          <w:p w14:paraId="45D1C32C" w14:textId="57CD0EEE" w:rsidR="5B44A326" w:rsidRDefault="45BA1AAA" w:rsidP="45BA1AAA">
            <w:pPr>
              <w:jc w:val="center"/>
              <w:rPr>
                <w:sz w:val="21"/>
                <w:szCs w:val="21"/>
                <w:lang w:val="en-GB"/>
              </w:rPr>
            </w:pPr>
            <w:r w:rsidRPr="45BA1AAA">
              <w:rPr>
                <w:sz w:val="21"/>
                <w:szCs w:val="21"/>
                <w:lang w:val="en-GB"/>
              </w:rPr>
              <w:t>.15</w:t>
            </w:r>
          </w:p>
        </w:tc>
        <w:tc>
          <w:tcPr>
            <w:tcW w:w="799" w:type="dxa"/>
            <w:tcBorders>
              <w:top w:val="nil"/>
              <w:left w:val="nil"/>
              <w:bottom w:val="single" w:sz="8" w:space="0" w:color="auto"/>
              <w:right w:val="nil"/>
            </w:tcBorders>
            <w:tcMar>
              <w:left w:w="108" w:type="dxa"/>
              <w:right w:w="108" w:type="dxa"/>
            </w:tcMar>
            <w:vAlign w:val="center"/>
          </w:tcPr>
          <w:p w14:paraId="5DC848C5" w14:textId="2C8AAD34" w:rsidR="5B44A326" w:rsidRDefault="45BA1AAA" w:rsidP="45BA1AAA">
            <w:pPr>
              <w:jc w:val="center"/>
              <w:rPr>
                <w:sz w:val="21"/>
                <w:szCs w:val="21"/>
                <w:lang w:val="en-GB"/>
              </w:rPr>
            </w:pPr>
            <w:r w:rsidRPr="45BA1AAA">
              <w:rPr>
                <w:sz w:val="21"/>
                <w:szCs w:val="21"/>
                <w:lang w:val="en-GB"/>
              </w:rPr>
              <w:t>.30</w:t>
            </w:r>
          </w:p>
        </w:tc>
        <w:tc>
          <w:tcPr>
            <w:tcW w:w="646" w:type="dxa"/>
            <w:tcBorders>
              <w:top w:val="nil"/>
              <w:left w:val="nil"/>
              <w:bottom w:val="single" w:sz="8" w:space="0" w:color="auto"/>
              <w:right w:val="nil"/>
            </w:tcBorders>
            <w:tcMar>
              <w:left w:w="108" w:type="dxa"/>
              <w:right w:w="108" w:type="dxa"/>
            </w:tcMar>
            <w:vAlign w:val="center"/>
          </w:tcPr>
          <w:p w14:paraId="3B39057A" w14:textId="035E7099" w:rsidR="5B44A326" w:rsidRDefault="45BA1AAA" w:rsidP="45BA1AAA">
            <w:pPr>
              <w:jc w:val="center"/>
              <w:rPr>
                <w:sz w:val="21"/>
                <w:szCs w:val="21"/>
                <w:lang w:val="en-GB"/>
              </w:rPr>
            </w:pPr>
            <w:r w:rsidRPr="45BA1AAA">
              <w:rPr>
                <w:sz w:val="21"/>
                <w:szCs w:val="21"/>
                <w:lang w:val="en-GB"/>
              </w:rPr>
              <w:t>.12</w:t>
            </w:r>
          </w:p>
        </w:tc>
        <w:tc>
          <w:tcPr>
            <w:tcW w:w="967" w:type="dxa"/>
            <w:tcBorders>
              <w:top w:val="nil"/>
              <w:left w:val="nil"/>
              <w:bottom w:val="single" w:sz="8" w:space="0" w:color="auto"/>
              <w:right w:val="nil"/>
            </w:tcBorders>
            <w:tcMar>
              <w:left w:w="108" w:type="dxa"/>
              <w:right w:w="108" w:type="dxa"/>
            </w:tcMar>
            <w:vAlign w:val="center"/>
          </w:tcPr>
          <w:p w14:paraId="5726CD22" w14:textId="3A5E8A78" w:rsidR="5B44A326" w:rsidRDefault="45BA1AAA" w:rsidP="45BA1AAA">
            <w:pPr>
              <w:jc w:val="center"/>
              <w:rPr>
                <w:sz w:val="21"/>
                <w:szCs w:val="21"/>
                <w:lang w:val="en-GB"/>
              </w:rPr>
            </w:pPr>
            <w:r w:rsidRPr="45BA1AAA">
              <w:rPr>
                <w:sz w:val="21"/>
                <w:szCs w:val="21"/>
                <w:lang w:val="en-GB"/>
              </w:rPr>
              <w:t>.19</w:t>
            </w:r>
          </w:p>
        </w:tc>
        <w:tc>
          <w:tcPr>
            <w:tcW w:w="659" w:type="dxa"/>
            <w:tcBorders>
              <w:top w:val="nil"/>
              <w:left w:val="nil"/>
              <w:bottom w:val="single" w:sz="8" w:space="0" w:color="auto"/>
              <w:right w:val="nil"/>
            </w:tcBorders>
            <w:tcMar>
              <w:left w:w="108" w:type="dxa"/>
              <w:right w:w="108" w:type="dxa"/>
            </w:tcMar>
            <w:vAlign w:val="center"/>
          </w:tcPr>
          <w:p w14:paraId="79102C82" w14:textId="7C313670" w:rsidR="5B44A326" w:rsidRDefault="45BA1AAA" w:rsidP="45BA1AAA">
            <w:pPr>
              <w:jc w:val="center"/>
              <w:rPr>
                <w:sz w:val="21"/>
                <w:szCs w:val="21"/>
                <w:lang w:val="en-GB"/>
              </w:rPr>
            </w:pPr>
            <w:r w:rsidRPr="45BA1AAA">
              <w:rPr>
                <w:sz w:val="21"/>
                <w:szCs w:val="21"/>
                <w:lang w:val="en-GB"/>
              </w:rPr>
              <w:t>.21</w:t>
            </w:r>
          </w:p>
        </w:tc>
        <w:tc>
          <w:tcPr>
            <w:tcW w:w="668" w:type="dxa"/>
            <w:tcBorders>
              <w:top w:val="nil"/>
              <w:left w:val="nil"/>
              <w:bottom w:val="single" w:sz="8" w:space="0" w:color="auto"/>
              <w:right w:val="nil"/>
            </w:tcBorders>
            <w:tcMar>
              <w:left w:w="108" w:type="dxa"/>
              <w:right w:w="108" w:type="dxa"/>
            </w:tcMar>
            <w:vAlign w:val="center"/>
          </w:tcPr>
          <w:p w14:paraId="5887B4CB" w14:textId="0940F32E" w:rsidR="5B44A326" w:rsidRDefault="45BA1AAA" w:rsidP="45BA1AAA">
            <w:pPr>
              <w:jc w:val="center"/>
              <w:rPr>
                <w:sz w:val="21"/>
                <w:szCs w:val="21"/>
                <w:lang w:val="en-GB"/>
              </w:rPr>
            </w:pPr>
            <w:r w:rsidRPr="45BA1AAA">
              <w:rPr>
                <w:sz w:val="21"/>
                <w:szCs w:val="21"/>
                <w:lang w:val="en-GB"/>
              </w:rPr>
              <w:t>-</w:t>
            </w:r>
          </w:p>
        </w:tc>
      </w:tr>
      <w:tr w:rsidR="5B44A326" w14:paraId="5F95894E" w14:textId="77777777" w:rsidTr="45BA1AAA">
        <w:trPr>
          <w:trHeight w:val="15"/>
        </w:trPr>
        <w:tc>
          <w:tcPr>
            <w:tcW w:w="4695" w:type="dxa"/>
            <w:tcBorders>
              <w:top w:val="single" w:sz="8" w:space="0" w:color="auto"/>
              <w:left w:val="nil"/>
              <w:bottom w:val="single" w:sz="8" w:space="0" w:color="auto"/>
              <w:right w:val="nil"/>
            </w:tcBorders>
            <w:tcMar>
              <w:left w:w="108" w:type="dxa"/>
              <w:right w:w="108" w:type="dxa"/>
            </w:tcMar>
            <w:vAlign w:val="center"/>
          </w:tcPr>
          <w:p w14:paraId="67EAA2D0" w14:textId="0EFDE002" w:rsidR="5B44A326" w:rsidRDefault="45BA1AAA" w:rsidP="45BA1AAA">
            <w:pPr>
              <w:rPr>
                <w:sz w:val="21"/>
                <w:szCs w:val="21"/>
                <w:lang w:val="en-GB"/>
              </w:rPr>
            </w:pPr>
            <w:r w:rsidRPr="45BA1AAA">
              <w:rPr>
                <w:sz w:val="21"/>
                <w:szCs w:val="21"/>
                <w:lang w:val="en-GB"/>
              </w:rPr>
              <w:t>CI</w:t>
            </w:r>
            <w:r w:rsidRPr="45BA1AAA">
              <w:rPr>
                <w:sz w:val="21"/>
                <w:szCs w:val="21"/>
                <w:vertAlign w:val="subscript"/>
                <w:lang w:val="en-GB"/>
              </w:rPr>
              <w:t xml:space="preserve">CFA </w:t>
            </w:r>
            <w:r w:rsidRPr="45BA1AAA">
              <w:rPr>
                <w:sz w:val="21"/>
                <w:szCs w:val="21"/>
                <w:lang w:val="en-GB"/>
              </w:rPr>
              <w:t>(sys)</w:t>
            </w:r>
          </w:p>
        </w:tc>
        <w:tc>
          <w:tcPr>
            <w:tcW w:w="840" w:type="dxa"/>
            <w:tcBorders>
              <w:top w:val="single" w:sz="8" w:space="0" w:color="auto"/>
              <w:left w:val="nil"/>
              <w:bottom w:val="single" w:sz="8" w:space="0" w:color="auto"/>
              <w:right w:val="nil"/>
            </w:tcBorders>
            <w:tcMar>
              <w:left w:w="108" w:type="dxa"/>
              <w:right w:w="108" w:type="dxa"/>
            </w:tcMar>
            <w:vAlign w:val="center"/>
          </w:tcPr>
          <w:p w14:paraId="7E8824D3" w14:textId="6E46445E" w:rsidR="5B44A326" w:rsidRDefault="45BA1AAA" w:rsidP="45BA1AAA">
            <w:pPr>
              <w:jc w:val="center"/>
              <w:rPr>
                <w:sz w:val="21"/>
                <w:szCs w:val="21"/>
                <w:lang w:val="en-GB"/>
              </w:rPr>
            </w:pPr>
            <w:r w:rsidRPr="45BA1AAA">
              <w:rPr>
                <w:sz w:val="21"/>
                <w:szCs w:val="21"/>
                <w:lang w:val="en-GB"/>
              </w:rPr>
              <w:t xml:space="preserve"> </w:t>
            </w:r>
          </w:p>
        </w:tc>
        <w:tc>
          <w:tcPr>
            <w:tcW w:w="799" w:type="dxa"/>
            <w:tcBorders>
              <w:top w:val="single" w:sz="8" w:space="0" w:color="auto"/>
              <w:left w:val="nil"/>
              <w:bottom w:val="single" w:sz="8" w:space="0" w:color="auto"/>
              <w:right w:val="nil"/>
            </w:tcBorders>
            <w:tcMar>
              <w:left w:w="108" w:type="dxa"/>
              <w:right w:w="108" w:type="dxa"/>
            </w:tcMar>
            <w:vAlign w:val="center"/>
          </w:tcPr>
          <w:p w14:paraId="002D4500" w14:textId="1E9C4F8C" w:rsidR="5B44A326" w:rsidRDefault="45BA1AAA" w:rsidP="45BA1AAA">
            <w:pPr>
              <w:jc w:val="center"/>
              <w:rPr>
                <w:sz w:val="21"/>
                <w:szCs w:val="21"/>
                <w:lang w:val="en-GB"/>
              </w:rPr>
            </w:pPr>
            <w:r w:rsidRPr="45BA1AAA">
              <w:rPr>
                <w:sz w:val="21"/>
                <w:szCs w:val="21"/>
                <w:lang w:val="en-GB"/>
              </w:rPr>
              <w:t xml:space="preserve"> </w:t>
            </w:r>
          </w:p>
        </w:tc>
        <w:tc>
          <w:tcPr>
            <w:tcW w:w="646" w:type="dxa"/>
            <w:tcBorders>
              <w:top w:val="single" w:sz="8" w:space="0" w:color="auto"/>
              <w:left w:val="nil"/>
              <w:bottom w:val="single" w:sz="8" w:space="0" w:color="auto"/>
              <w:right w:val="nil"/>
            </w:tcBorders>
            <w:tcMar>
              <w:left w:w="108" w:type="dxa"/>
              <w:right w:w="108" w:type="dxa"/>
            </w:tcMar>
            <w:vAlign w:val="center"/>
          </w:tcPr>
          <w:p w14:paraId="2705C360" w14:textId="2E3469A0" w:rsidR="5B44A326" w:rsidRDefault="45BA1AAA" w:rsidP="45BA1AAA">
            <w:pPr>
              <w:jc w:val="center"/>
              <w:rPr>
                <w:sz w:val="21"/>
                <w:szCs w:val="21"/>
                <w:lang w:val="en-GB"/>
              </w:rPr>
            </w:pPr>
            <w:r w:rsidRPr="45BA1AAA">
              <w:rPr>
                <w:sz w:val="21"/>
                <w:szCs w:val="21"/>
                <w:lang w:val="en-GB"/>
              </w:rPr>
              <w:t xml:space="preserve"> </w:t>
            </w:r>
          </w:p>
        </w:tc>
        <w:tc>
          <w:tcPr>
            <w:tcW w:w="967" w:type="dxa"/>
            <w:tcBorders>
              <w:top w:val="single" w:sz="8" w:space="0" w:color="auto"/>
              <w:left w:val="nil"/>
              <w:bottom w:val="single" w:sz="8" w:space="0" w:color="auto"/>
              <w:right w:val="nil"/>
            </w:tcBorders>
            <w:tcMar>
              <w:left w:w="108" w:type="dxa"/>
              <w:right w:w="108" w:type="dxa"/>
            </w:tcMar>
            <w:vAlign w:val="center"/>
          </w:tcPr>
          <w:p w14:paraId="1E8775C8" w14:textId="2C3942EA" w:rsidR="5B44A326" w:rsidRDefault="45BA1AAA" w:rsidP="45BA1AAA">
            <w:pPr>
              <w:jc w:val="center"/>
              <w:rPr>
                <w:sz w:val="21"/>
                <w:szCs w:val="21"/>
                <w:lang w:val="en-GB"/>
              </w:rPr>
            </w:pPr>
            <w:r w:rsidRPr="45BA1AAA">
              <w:rPr>
                <w:sz w:val="21"/>
                <w:szCs w:val="21"/>
                <w:lang w:val="en-GB"/>
              </w:rPr>
              <w:t xml:space="preserve"> </w:t>
            </w:r>
          </w:p>
        </w:tc>
        <w:tc>
          <w:tcPr>
            <w:tcW w:w="659" w:type="dxa"/>
            <w:tcBorders>
              <w:top w:val="single" w:sz="8" w:space="0" w:color="auto"/>
              <w:left w:val="nil"/>
              <w:bottom w:val="single" w:sz="8" w:space="0" w:color="auto"/>
              <w:right w:val="nil"/>
            </w:tcBorders>
            <w:tcMar>
              <w:left w:w="108" w:type="dxa"/>
              <w:right w:w="108" w:type="dxa"/>
            </w:tcMar>
            <w:vAlign w:val="center"/>
          </w:tcPr>
          <w:p w14:paraId="766C0218" w14:textId="4ACD849E" w:rsidR="5B44A326" w:rsidRDefault="45BA1AAA" w:rsidP="45BA1AAA">
            <w:pPr>
              <w:jc w:val="center"/>
              <w:rPr>
                <w:sz w:val="21"/>
                <w:szCs w:val="21"/>
                <w:lang w:val="en-GB"/>
              </w:rPr>
            </w:pPr>
            <w:r w:rsidRPr="45BA1AAA">
              <w:rPr>
                <w:sz w:val="21"/>
                <w:szCs w:val="21"/>
                <w:lang w:val="en-GB"/>
              </w:rPr>
              <w:t xml:space="preserve"> </w:t>
            </w:r>
          </w:p>
        </w:tc>
        <w:tc>
          <w:tcPr>
            <w:tcW w:w="668" w:type="dxa"/>
            <w:tcBorders>
              <w:top w:val="single" w:sz="8" w:space="0" w:color="auto"/>
              <w:left w:val="nil"/>
              <w:bottom w:val="single" w:sz="8" w:space="0" w:color="auto"/>
              <w:right w:val="nil"/>
            </w:tcBorders>
            <w:tcMar>
              <w:left w:w="108" w:type="dxa"/>
              <w:right w:w="108" w:type="dxa"/>
            </w:tcMar>
            <w:vAlign w:val="center"/>
          </w:tcPr>
          <w:p w14:paraId="1729D15F" w14:textId="3BC5603B" w:rsidR="5B44A326" w:rsidRDefault="45BA1AAA" w:rsidP="45BA1AAA">
            <w:pPr>
              <w:jc w:val="center"/>
              <w:rPr>
                <w:sz w:val="21"/>
                <w:szCs w:val="21"/>
                <w:lang w:val="en-GB"/>
              </w:rPr>
            </w:pPr>
            <w:r w:rsidRPr="45BA1AAA">
              <w:rPr>
                <w:sz w:val="21"/>
                <w:szCs w:val="21"/>
                <w:lang w:val="en-GB"/>
              </w:rPr>
              <w:t xml:space="preserve"> </w:t>
            </w:r>
          </w:p>
        </w:tc>
      </w:tr>
      <w:tr w:rsidR="5B44A326" w14:paraId="30848FB8" w14:textId="77777777" w:rsidTr="45BA1AAA">
        <w:trPr>
          <w:trHeight w:val="15"/>
        </w:trPr>
        <w:tc>
          <w:tcPr>
            <w:tcW w:w="4695" w:type="dxa"/>
            <w:tcBorders>
              <w:top w:val="single" w:sz="8" w:space="0" w:color="auto"/>
              <w:left w:val="nil"/>
              <w:bottom w:val="nil"/>
              <w:right w:val="nil"/>
            </w:tcBorders>
            <w:tcMar>
              <w:left w:w="108" w:type="dxa"/>
              <w:right w:w="108" w:type="dxa"/>
            </w:tcMar>
            <w:vAlign w:val="center"/>
          </w:tcPr>
          <w:p w14:paraId="3613BFED" w14:textId="4F51398E" w:rsidR="5B44A326" w:rsidRDefault="45BA1AAA" w:rsidP="45BA1AAA">
            <w:pPr>
              <w:rPr>
                <w:sz w:val="21"/>
                <w:szCs w:val="21"/>
                <w:lang w:val="en-GB"/>
              </w:rPr>
            </w:pPr>
            <w:r w:rsidRPr="45BA1AAA">
              <w:rPr>
                <w:sz w:val="21"/>
                <w:szCs w:val="21"/>
                <w:lang w:val="en-GB"/>
              </w:rPr>
              <w:t>CI</w:t>
            </w:r>
          </w:p>
        </w:tc>
        <w:tc>
          <w:tcPr>
            <w:tcW w:w="840" w:type="dxa"/>
            <w:tcBorders>
              <w:top w:val="single" w:sz="8" w:space="0" w:color="auto"/>
              <w:left w:val="nil"/>
              <w:bottom w:val="nil"/>
              <w:right w:val="nil"/>
            </w:tcBorders>
            <w:tcMar>
              <w:left w:w="108" w:type="dxa"/>
              <w:right w:w="108" w:type="dxa"/>
            </w:tcMar>
            <w:vAlign w:val="center"/>
          </w:tcPr>
          <w:p w14:paraId="6205FB54" w14:textId="2CA4804E" w:rsidR="5B44A326" w:rsidRDefault="45BA1AAA" w:rsidP="45BA1AAA">
            <w:pPr>
              <w:jc w:val="center"/>
              <w:rPr>
                <w:sz w:val="21"/>
                <w:szCs w:val="21"/>
                <w:lang w:val="en-GB"/>
              </w:rPr>
            </w:pPr>
            <w:r w:rsidRPr="45BA1AAA">
              <w:rPr>
                <w:sz w:val="21"/>
                <w:szCs w:val="21"/>
                <w:lang w:val="en-GB"/>
              </w:rPr>
              <w:t>-</w:t>
            </w:r>
          </w:p>
        </w:tc>
        <w:tc>
          <w:tcPr>
            <w:tcW w:w="799" w:type="dxa"/>
            <w:tcBorders>
              <w:top w:val="single" w:sz="8" w:space="0" w:color="auto"/>
              <w:left w:val="nil"/>
              <w:bottom w:val="nil"/>
              <w:right w:val="nil"/>
            </w:tcBorders>
            <w:tcMar>
              <w:left w:w="108" w:type="dxa"/>
              <w:right w:w="108" w:type="dxa"/>
            </w:tcMar>
            <w:vAlign w:val="center"/>
          </w:tcPr>
          <w:p w14:paraId="1718168A" w14:textId="63B7C12F" w:rsidR="5B44A326" w:rsidRDefault="45BA1AAA" w:rsidP="45BA1AAA">
            <w:pPr>
              <w:jc w:val="center"/>
              <w:rPr>
                <w:sz w:val="21"/>
                <w:szCs w:val="21"/>
                <w:lang w:val="en-GB"/>
              </w:rPr>
            </w:pPr>
            <w:r w:rsidRPr="45BA1AAA">
              <w:rPr>
                <w:sz w:val="21"/>
                <w:szCs w:val="21"/>
                <w:lang w:val="en-GB"/>
              </w:rPr>
              <w:t xml:space="preserve"> </w:t>
            </w:r>
          </w:p>
        </w:tc>
        <w:tc>
          <w:tcPr>
            <w:tcW w:w="646" w:type="dxa"/>
            <w:tcBorders>
              <w:top w:val="single" w:sz="8" w:space="0" w:color="auto"/>
              <w:left w:val="nil"/>
              <w:bottom w:val="nil"/>
              <w:right w:val="nil"/>
            </w:tcBorders>
            <w:tcMar>
              <w:left w:w="108" w:type="dxa"/>
              <w:right w:w="108" w:type="dxa"/>
            </w:tcMar>
            <w:vAlign w:val="center"/>
          </w:tcPr>
          <w:p w14:paraId="08AF08E8" w14:textId="2F5207A7" w:rsidR="5B44A326" w:rsidRDefault="45BA1AAA" w:rsidP="45BA1AAA">
            <w:pPr>
              <w:jc w:val="center"/>
              <w:rPr>
                <w:sz w:val="21"/>
                <w:szCs w:val="21"/>
                <w:lang w:val="en-GB"/>
              </w:rPr>
            </w:pPr>
            <w:r w:rsidRPr="45BA1AAA">
              <w:rPr>
                <w:sz w:val="21"/>
                <w:szCs w:val="21"/>
                <w:lang w:val="en-GB"/>
              </w:rPr>
              <w:t xml:space="preserve"> </w:t>
            </w:r>
          </w:p>
        </w:tc>
        <w:tc>
          <w:tcPr>
            <w:tcW w:w="967" w:type="dxa"/>
            <w:tcBorders>
              <w:top w:val="single" w:sz="8" w:space="0" w:color="auto"/>
              <w:left w:val="nil"/>
              <w:bottom w:val="nil"/>
              <w:right w:val="nil"/>
            </w:tcBorders>
            <w:tcMar>
              <w:left w:w="108" w:type="dxa"/>
              <w:right w:w="108" w:type="dxa"/>
            </w:tcMar>
            <w:vAlign w:val="center"/>
          </w:tcPr>
          <w:p w14:paraId="4BFFBBE4" w14:textId="0A1398AE" w:rsidR="5B44A326" w:rsidRDefault="45BA1AAA" w:rsidP="45BA1AAA">
            <w:pPr>
              <w:jc w:val="center"/>
              <w:rPr>
                <w:sz w:val="21"/>
                <w:szCs w:val="21"/>
                <w:lang w:val="en-GB"/>
              </w:rPr>
            </w:pPr>
            <w:r w:rsidRPr="45BA1AAA">
              <w:rPr>
                <w:sz w:val="21"/>
                <w:szCs w:val="21"/>
                <w:lang w:val="en-GB"/>
              </w:rPr>
              <w:t xml:space="preserve"> </w:t>
            </w:r>
          </w:p>
        </w:tc>
        <w:tc>
          <w:tcPr>
            <w:tcW w:w="659" w:type="dxa"/>
            <w:tcBorders>
              <w:top w:val="single" w:sz="8" w:space="0" w:color="auto"/>
              <w:left w:val="nil"/>
              <w:bottom w:val="nil"/>
              <w:right w:val="nil"/>
            </w:tcBorders>
            <w:tcMar>
              <w:left w:w="108" w:type="dxa"/>
              <w:right w:w="108" w:type="dxa"/>
            </w:tcMar>
            <w:vAlign w:val="center"/>
          </w:tcPr>
          <w:p w14:paraId="0AB90AAB" w14:textId="243AD4D1" w:rsidR="5B44A326" w:rsidRDefault="45BA1AAA" w:rsidP="45BA1AAA">
            <w:pPr>
              <w:jc w:val="center"/>
              <w:rPr>
                <w:sz w:val="21"/>
                <w:szCs w:val="21"/>
                <w:lang w:val="en-GB"/>
              </w:rPr>
            </w:pPr>
            <w:r w:rsidRPr="45BA1AAA">
              <w:rPr>
                <w:sz w:val="21"/>
                <w:szCs w:val="21"/>
                <w:lang w:val="en-GB"/>
              </w:rPr>
              <w:t xml:space="preserve"> </w:t>
            </w:r>
          </w:p>
        </w:tc>
        <w:tc>
          <w:tcPr>
            <w:tcW w:w="668" w:type="dxa"/>
            <w:tcBorders>
              <w:top w:val="single" w:sz="8" w:space="0" w:color="auto"/>
              <w:left w:val="nil"/>
              <w:bottom w:val="nil"/>
              <w:right w:val="nil"/>
            </w:tcBorders>
            <w:tcMar>
              <w:left w:w="108" w:type="dxa"/>
              <w:right w:w="108" w:type="dxa"/>
            </w:tcMar>
            <w:vAlign w:val="center"/>
          </w:tcPr>
          <w:p w14:paraId="4F8C6759" w14:textId="262F0288" w:rsidR="5B44A326" w:rsidRDefault="45BA1AAA" w:rsidP="45BA1AAA">
            <w:pPr>
              <w:jc w:val="center"/>
              <w:rPr>
                <w:sz w:val="21"/>
                <w:szCs w:val="21"/>
                <w:lang w:val="en-GB"/>
              </w:rPr>
            </w:pPr>
            <w:r w:rsidRPr="45BA1AAA">
              <w:rPr>
                <w:sz w:val="21"/>
                <w:szCs w:val="21"/>
                <w:lang w:val="en-GB"/>
              </w:rPr>
              <w:t xml:space="preserve"> </w:t>
            </w:r>
          </w:p>
        </w:tc>
      </w:tr>
      <w:tr w:rsidR="5B44A326" w14:paraId="1139017A" w14:textId="77777777" w:rsidTr="45BA1AAA">
        <w:trPr>
          <w:trHeight w:val="15"/>
        </w:trPr>
        <w:tc>
          <w:tcPr>
            <w:tcW w:w="4695" w:type="dxa"/>
            <w:tcBorders>
              <w:top w:val="nil"/>
              <w:left w:val="nil"/>
              <w:bottom w:val="nil"/>
              <w:right w:val="nil"/>
            </w:tcBorders>
            <w:tcMar>
              <w:left w:w="108" w:type="dxa"/>
              <w:right w:w="108" w:type="dxa"/>
            </w:tcMar>
            <w:vAlign w:val="center"/>
          </w:tcPr>
          <w:p w14:paraId="2892D627" w14:textId="6065A4AC" w:rsidR="5B44A326" w:rsidRDefault="45BA1AAA" w:rsidP="45BA1AAA">
            <w:pPr>
              <w:rPr>
                <w:sz w:val="21"/>
                <w:szCs w:val="21"/>
                <w:lang w:val="en-GB"/>
              </w:rPr>
            </w:pPr>
            <w:r w:rsidRPr="45BA1AAA">
              <w:rPr>
                <w:sz w:val="21"/>
                <w:szCs w:val="21"/>
                <w:lang w:val="en-GB"/>
              </w:rPr>
              <w:t>IC</w:t>
            </w:r>
          </w:p>
        </w:tc>
        <w:tc>
          <w:tcPr>
            <w:tcW w:w="840" w:type="dxa"/>
            <w:tcBorders>
              <w:top w:val="nil"/>
              <w:left w:val="nil"/>
              <w:bottom w:val="nil"/>
              <w:right w:val="nil"/>
            </w:tcBorders>
            <w:tcMar>
              <w:left w:w="108" w:type="dxa"/>
              <w:right w:w="108" w:type="dxa"/>
            </w:tcMar>
            <w:vAlign w:val="center"/>
          </w:tcPr>
          <w:p w14:paraId="0C73149D" w14:textId="69F57F7B" w:rsidR="5B44A326" w:rsidRDefault="45BA1AAA" w:rsidP="45BA1AAA">
            <w:pPr>
              <w:jc w:val="center"/>
              <w:rPr>
                <w:sz w:val="21"/>
                <w:szCs w:val="21"/>
                <w:lang w:val="en-GB"/>
              </w:rPr>
            </w:pPr>
            <w:r w:rsidRPr="45BA1AAA">
              <w:rPr>
                <w:sz w:val="21"/>
                <w:szCs w:val="21"/>
                <w:lang w:val="en-GB"/>
              </w:rPr>
              <w:t>.54</w:t>
            </w:r>
          </w:p>
        </w:tc>
        <w:tc>
          <w:tcPr>
            <w:tcW w:w="799" w:type="dxa"/>
            <w:tcBorders>
              <w:top w:val="nil"/>
              <w:left w:val="nil"/>
              <w:bottom w:val="nil"/>
              <w:right w:val="nil"/>
            </w:tcBorders>
            <w:tcMar>
              <w:left w:w="108" w:type="dxa"/>
              <w:right w:w="108" w:type="dxa"/>
            </w:tcMar>
            <w:vAlign w:val="center"/>
          </w:tcPr>
          <w:p w14:paraId="2316CD86" w14:textId="7A6E5C56" w:rsidR="5B44A326" w:rsidRDefault="45BA1AAA" w:rsidP="45BA1AAA">
            <w:pPr>
              <w:jc w:val="center"/>
              <w:rPr>
                <w:sz w:val="21"/>
                <w:szCs w:val="21"/>
                <w:lang w:val="en-GB"/>
              </w:rPr>
            </w:pPr>
            <w:r w:rsidRPr="45BA1AAA">
              <w:rPr>
                <w:sz w:val="21"/>
                <w:szCs w:val="21"/>
                <w:lang w:val="en-GB"/>
              </w:rPr>
              <w:t>-</w:t>
            </w:r>
          </w:p>
        </w:tc>
        <w:tc>
          <w:tcPr>
            <w:tcW w:w="646" w:type="dxa"/>
            <w:tcBorders>
              <w:top w:val="nil"/>
              <w:left w:val="nil"/>
              <w:bottom w:val="nil"/>
              <w:right w:val="nil"/>
            </w:tcBorders>
            <w:tcMar>
              <w:left w:w="108" w:type="dxa"/>
              <w:right w:w="108" w:type="dxa"/>
            </w:tcMar>
            <w:vAlign w:val="center"/>
          </w:tcPr>
          <w:p w14:paraId="176B5E6B" w14:textId="206CBB5E" w:rsidR="5B44A326" w:rsidRDefault="45BA1AAA" w:rsidP="45BA1AAA">
            <w:pPr>
              <w:jc w:val="center"/>
              <w:rPr>
                <w:sz w:val="21"/>
                <w:szCs w:val="21"/>
                <w:lang w:val="en-GB"/>
              </w:rPr>
            </w:pPr>
            <w:r w:rsidRPr="45BA1AAA">
              <w:rPr>
                <w:sz w:val="21"/>
                <w:szCs w:val="21"/>
                <w:lang w:val="en-GB"/>
              </w:rPr>
              <w:t xml:space="preserve"> </w:t>
            </w:r>
          </w:p>
        </w:tc>
        <w:tc>
          <w:tcPr>
            <w:tcW w:w="967" w:type="dxa"/>
            <w:tcBorders>
              <w:top w:val="nil"/>
              <w:left w:val="nil"/>
              <w:bottom w:val="nil"/>
              <w:right w:val="nil"/>
            </w:tcBorders>
            <w:tcMar>
              <w:left w:w="108" w:type="dxa"/>
              <w:right w:w="108" w:type="dxa"/>
            </w:tcMar>
            <w:vAlign w:val="center"/>
          </w:tcPr>
          <w:p w14:paraId="0AEF98E4" w14:textId="2706DBDD" w:rsidR="5B44A326" w:rsidRDefault="45BA1AAA" w:rsidP="45BA1AAA">
            <w:pPr>
              <w:jc w:val="center"/>
              <w:rPr>
                <w:sz w:val="21"/>
                <w:szCs w:val="21"/>
                <w:lang w:val="en-GB"/>
              </w:rPr>
            </w:pPr>
            <w:r w:rsidRPr="45BA1AAA">
              <w:rPr>
                <w:sz w:val="21"/>
                <w:szCs w:val="21"/>
                <w:lang w:val="en-GB"/>
              </w:rPr>
              <w:t xml:space="preserve"> </w:t>
            </w:r>
          </w:p>
        </w:tc>
        <w:tc>
          <w:tcPr>
            <w:tcW w:w="659" w:type="dxa"/>
            <w:tcBorders>
              <w:top w:val="nil"/>
              <w:left w:val="nil"/>
              <w:bottom w:val="nil"/>
              <w:right w:val="nil"/>
            </w:tcBorders>
            <w:tcMar>
              <w:left w:w="108" w:type="dxa"/>
              <w:right w:w="108" w:type="dxa"/>
            </w:tcMar>
            <w:vAlign w:val="center"/>
          </w:tcPr>
          <w:p w14:paraId="6045BE00" w14:textId="35EB9B19" w:rsidR="5B44A326" w:rsidRDefault="45BA1AAA" w:rsidP="45BA1AAA">
            <w:pPr>
              <w:jc w:val="center"/>
              <w:rPr>
                <w:sz w:val="21"/>
                <w:szCs w:val="21"/>
                <w:lang w:val="en-GB"/>
              </w:rPr>
            </w:pPr>
            <w:r w:rsidRPr="45BA1AAA">
              <w:rPr>
                <w:sz w:val="21"/>
                <w:szCs w:val="21"/>
                <w:lang w:val="en-GB"/>
              </w:rPr>
              <w:t xml:space="preserve"> </w:t>
            </w:r>
          </w:p>
        </w:tc>
        <w:tc>
          <w:tcPr>
            <w:tcW w:w="668" w:type="dxa"/>
            <w:tcBorders>
              <w:top w:val="nil"/>
              <w:left w:val="nil"/>
              <w:bottom w:val="nil"/>
              <w:right w:val="nil"/>
            </w:tcBorders>
            <w:tcMar>
              <w:left w:w="108" w:type="dxa"/>
              <w:right w:w="108" w:type="dxa"/>
            </w:tcMar>
            <w:vAlign w:val="center"/>
          </w:tcPr>
          <w:p w14:paraId="49755391" w14:textId="7DBDA13E" w:rsidR="5B44A326" w:rsidRDefault="45BA1AAA" w:rsidP="45BA1AAA">
            <w:pPr>
              <w:jc w:val="center"/>
              <w:rPr>
                <w:sz w:val="21"/>
                <w:szCs w:val="21"/>
                <w:lang w:val="en-GB"/>
              </w:rPr>
            </w:pPr>
            <w:r w:rsidRPr="45BA1AAA">
              <w:rPr>
                <w:sz w:val="21"/>
                <w:szCs w:val="21"/>
                <w:lang w:val="en-GB"/>
              </w:rPr>
              <w:t xml:space="preserve"> </w:t>
            </w:r>
          </w:p>
        </w:tc>
      </w:tr>
      <w:tr w:rsidR="5B44A326" w14:paraId="53C3F1D2" w14:textId="77777777" w:rsidTr="45BA1AAA">
        <w:trPr>
          <w:trHeight w:val="15"/>
        </w:trPr>
        <w:tc>
          <w:tcPr>
            <w:tcW w:w="4695" w:type="dxa"/>
            <w:tcBorders>
              <w:top w:val="nil"/>
              <w:left w:val="nil"/>
              <w:bottom w:val="nil"/>
              <w:right w:val="nil"/>
            </w:tcBorders>
            <w:tcMar>
              <w:left w:w="108" w:type="dxa"/>
              <w:right w:w="108" w:type="dxa"/>
            </w:tcMar>
            <w:vAlign w:val="center"/>
          </w:tcPr>
          <w:p w14:paraId="55C5859E" w14:textId="50B48FB9" w:rsidR="5B44A326" w:rsidRDefault="45BA1AAA" w:rsidP="45BA1AAA">
            <w:pPr>
              <w:rPr>
                <w:sz w:val="21"/>
                <w:szCs w:val="21"/>
                <w:lang w:val="en-GB"/>
              </w:rPr>
            </w:pPr>
            <w:r w:rsidRPr="45BA1AAA">
              <w:rPr>
                <w:sz w:val="21"/>
                <w:szCs w:val="21"/>
                <w:lang w:val="en-GB"/>
              </w:rPr>
              <w:t>PC</w:t>
            </w:r>
          </w:p>
        </w:tc>
        <w:tc>
          <w:tcPr>
            <w:tcW w:w="840" w:type="dxa"/>
            <w:tcBorders>
              <w:top w:val="nil"/>
              <w:left w:val="nil"/>
              <w:bottom w:val="nil"/>
              <w:right w:val="nil"/>
            </w:tcBorders>
            <w:tcMar>
              <w:left w:w="108" w:type="dxa"/>
              <w:right w:w="108" w:type="dxa"/>
            </w:tcMar>
            <w:vAlign w:val="center"/>
          </w:tcPr>
          <w:p w14:paraId="073B6D90" w14:textId="0F898F0D" w:rsidR="5B44A326" w:rsidRDefault="45BA1AAA" w:rsidP="45BA1AAA">
            <w:pPr>
              <w:jc w:val="center"/>
              <w:rPr>
                <w:sz w:val="21"/>
                <w:szCs w:val="21"/>
                <w:lang w:val="en-GB"/>
              </w:rPr>
            </w:pPr>
            <w:r w:rsidRPr="45BA1AAA">
              <w:rPr>
                <w:sz w:val="21"/>
                <w:szCs w:val="21"/>
                <w:lang w:val="en-GB"/>
              </w:rPr>
              <w:t>.59</w:t>
            </w:r>
          </w:p>
        </w:tc>
        <w:tc>
          <w:tcPr>
            <w:tcW w:w="799" w:type="dxa"/>
            <w:tcBorders>
              <w:top w:val="nil"/>
              <w:left w:val="nil"/>
              <w:bottom w:val="nil"/>
              <w:right w:val="nil"/>
            </w:tcBorders>
            <w:tcMar>
              <w:left w:w="108" w:type="dxa"/>
              <w:right w:w="108" w:type="dxa"/>
            </w:tcMar>
            <w:vAlign w:val="center"/>
          </w:tcPr>
          <w:p w14:paraId="260E39BD" w14:textId="746A141F" w:rsidR="5B44A326" w:rsidRDefault="45BA1AAA" w:rsidP="45BA1AAA">
            <w:pPr>
              <w:jc w:val="center"/>
              <w:rPr>
                <w:sz w:val="21"/>
                <w:szCs w:val="21"/>
                <w:lang w:val="en-GB"/>
              </w:rPr>
            </w:pPr>
            <w:r w:rsidRPr="45BA1AAA">
              <w:rPr>
                <w:sz w:val="21"/>
                <w:szCs w:val="21"/>
                <w:lang w:val="en-GB"/>
              </w:rPr>
              <w:t>.71</w:t>
            </w:r>
          </w:p>
        </w:tc>
        <w:tc>
          <w:tcPr>
            <w:tcW w:w="646" w:type="dxa"/>
            <w:tcBorders>
              <w:top w:val="nil"/>
              <w:left w:val="nil"/>
              <w:bottom w:val="nil"/>
              <w:right w:val="nil"/>
            </w:tcBorders>
            <w:tcMar>
              <w:left w:w="108" w:type="dxa"/>
              <w:right w:w="108" w:type="dxa"/>
            </w:tcMar>
            <w:vAlign w:val="center"/>
          </w:tcPr>
          <w:p w14:paraId="036552F3" w14:textId="142265D0" w:rsidR="5B44A326" w:rsidRDefault="45BA1AAA" w:rsidP="45BA1AAA">
            <w:pPr>
              <w:jc w:val="center"/>
              <w:rPr>
                <w:sz w:val="21"/>
                <w:szCs w:val="21"/>
                <w:lang w:val="en-GB"/>
              </w:rPr>
            </w:pPr>
            <w:r w:rsidRPr="45BA1AAA">
              <w:rPr>
                <w:sz w:val="21"/>
                <w:szCs w:val="21"/>
                <w:lang w:val="en-GB"/>
              </w:rPr>
              <w:t>-</w:t>
            </w:r>
          </w:p>
        </w:tc>
        <w:tc>
          <w:tcPr>
            <w:tcW w:w="967" w:type="dxa"/>
            <w:tcBorders>
              <w:top w:val="nil"/>
              <w:left w:val="nil"/>
              <w:bottom w:val="nil"/>
              <w:right w:val="nil"/>
            </w:tcBorders>
            <w:tcMar>
              <w:left w:w="108" w:type="dxa"/>
              <w:right w:w="108" w:type="dxa"/>
            </w:tcMar>
            <w:vAlign w:val="center"/>
          </w:tcPr>
          <w:p w14:paraId="1131EB2A" w14:textId="7A0A5531" w:rsidR="5B44A326" w:rsidRDefault="45BA1AAA" w:rsidP="45BA1AAA">
            <w:pPr>
              <w:jc w:val="center"/>
              <w:rPr>
                <w:sz w:val="21"/>
                <w:szCs w:val="21"/>
                <w:lang w:val="en-GB"/>
              </w:rPr>
            </w:pPr>
            <w:r w:rsidRPr="45BA1AAA">
              <w:rPr>
                <w:sz w:val="21"/>
                <w:szCs w:val="21"/>
                <w:lang w:val="en-GB"/>
              </w:rPr>
              <w:t xml:space="preserve"> </w:t>
            </w:r>
          </w:p>
        </w:tc>
        <w:tc>
          <w:tcPr>
            <w:tcW w:w="659" w:type="dxa"/>
            <w:tcBorders>
              <w:top w:val="nil"/>
              <w:left w:val="nil"/>
              <w:bottom w:val="nil"/>
              <w:right w:val="nil"/>
            </w:tcBorders>
            <w:tcMar>
              <w:left w:w="108" w:type="dxa"/>
              <w:right w:w="108" w:type="dxa"/>
            </w:tcMar>
            <w:vAlign w:val="center"/>
          </w:tcPr>
          <w:p w14:paraId="6C08A83B" w14:textId="67697045" w:rsidR="5B44A326" w:rsidRDefault="45BA1AAA" w:rsidP="45BA1AAA">
            <w:pPr>
              <w:jc w:val="center"/>
              <w:rPr>
                <w:sz w:val="21"/>
                <w:szCs w:val="21"/>
                <w:lang w:val="en-GB"/>
              </w:rPr>
            </w:pPr>
            <w:r w:rsidRPr="45BA1AAA">
              <w:rPr>
                <w:sz w:val="21"/>
                <w:szCs w:val="21"/>
                <w:lang w:val="en-GB"/>
              </w:rPr>
              <w:t xml:space="preserve"> </w:t>
            </w:r>
          </w:p>
        </w:tc>
        <w:tc>
          <w:tcPr>
            <w:tcW w:w="668" w:type="dxa"/>
            <w:tcBorders>
              <w:top w:val="nil"/>
              <w:left w:val="nil"/>
              <w:bottom w:val="nil"/>
              <w:right w:val="nil"/>
            </w:tcBorders>
            <w:tcMar>
              <w:left w:w="108" w:type="dxa"/>
              <w:right w:w="108" w:type="dxa"/>
            </w:tcMar>
            <w:vAlign w:val="center"/>
          </w:tcPr>
          <w:p w14:paraId="7FA48013" w14:textId="27671AE1" w:rsidR="5B44A326" w:rsidRDefault="45BA1AAA" w:rsidP="45BA1AAA">
            <w:pPr>
              <w:jc w:val="center"/>
              <w:rPr>
                <w:sz w:val="21"/>
                <w:szCs w:val="21"/>
                <w:lang w:val="en-GB"/>
              </w:rPr>
            </w:pPr>
            <w:r w:rsidRPr="45BA1AAA">
              <w:rPr>
                <w:sz w:val="21"/>
                <w:szCs w:val="21"/>
                <w:lang w:val="en-GB"/>
              </w:rPr>
              <w:t xml:space="preserve"> </w:t>
            </w:r>
          </w:p>
        </w:tc>
      </w:tr>
      <w:tr w:rsidR="5B44A326" w14:paraId="6EE7C156" w14:textId="77777777" w:rsidTr="45BA1AAA">
        <w:trPr>
          <w:trHeight w:val="15"/>
        </w:trPr>
        <w:tc>
          <w:tcPr>
            <w:tcW w:w="4695" w:type="dxa"/>
            <w:tcBorders>
              <w:top w:val="nil"/>
              <w:left w:val="nil"/>
              <w:bottom w:val="nil"/>
              <w:right w:val="nil"/>
            </w:tcBorders>
            <w:tcMar>
              <w:left w:w="108" w:type="dxa"/>
              <w:right w:w="108" w:type="dxa"/>
            </w:tcMar>
            <w:vAlign w:val="center"/>
          </w:tcPr>
          <w:p w14:paraId="74CBCEC6" w14:textId="5D52E4B6" w:rsidR="5B44A326" w:rsidRDefault="45BA1AAA" w:rsidP="45BA1AAA">
            <w:pPr>
              <w:rPr>
                <w:sz w:val="21"/>
                <w:szCs w:val="21"/>
                <w:lang w:val="en-GB"/>
              </w:rPr>
            </w:pPr>
            <w:r w:rsidRPr="45BA1AAA">
              <w:rPr>
                <w:sz w:val="21"/>
                <w:szCs w:val="21"/>
                <w:lang w:val="en-GB"/>
              </w:rPr>
              <w:t>AR</w:t>
            </w:r>
          </w:p>
        </w:tc>
        <w:tc>
          <w:tcPr>
            <w:tcW w:w="840" w:type="dxa"/>
            <w:tcBorders>
              <w:top w:val="nil"/>
              <w:left w:val="nil"/>
              <w:bottom w:val="nil"/>
              <w:right w:val="nil"/>
            </w:tcBorders>
            <w:tcMar>
              <w:left w:w="108" w:type="dxa"/>
              <w:right w:w="108" w:type="dxa"/>
            </w:tcMar>
            <w:vAlign w:val="center"/>
          </w:tcPr>
          <w:p w14:paraId="0D37DFA4" w14:textId="5042CC34" w:rsidR="5B44A326" w:rsidRDefault="45BA1AAA" w:rsidP="45BA1AAA">
            <w:pPr>
              <w:jc w:val="center"/>
              <w:rPr>
                <w:sz w:val="21"/>
                <w:szCs w:val="21"/>
                <w:lang w:val="en-GB"/>
              </w:rPr>
            </w:pPr>
            <w:r w:rsidRPr="45BA1AAA">
              <w:rPr>
                <w:sz w:val="21"/>
                <w:szCs w:val="21"/>
                <w:lang w:val="en-GB"/>
              </w:rPr>
              <w:t>.50</w:t>
            </w:r>
          </w:p>
        </w:tc>
        <w:tc>
          <w:tcPr>
            <w:tcW w:w="799" w:type="dxa"/>
            <w:tcBorders>
              <w:top w:val="nil"/>
              <w:left w:val="nil"/>
              <w:bottom w:val="nil"/>
              <w:right w:val="nil"/>
            </w:tcBorders>
            <w:tcMar>
              <w:left w:w="108" w:type="dxa"/>
              <w:right w:w="108" w:type="dxa"/>
            </w:tcMar>
            <w:vAlign w:val="center"/>
          </w:tcPr>
          <w:p w14:paraId="7C4528C3" w14:textId="3A337494" w:rsidR="5B44A326" w:rsidRDefault="45BA1AAA" w:rsidP="45BA1AAA">
            <w:pPr>
              <w:jc w:val="center"/>
              <w:rPr>
                <w:sz w:val="21"/>
                <w:szCs w:val="21"/>
                <w:lang w:val="en-GB"/>
              </w:rPr>
            </w:pPr>
            <w:r w:rsidRPr="45BA1AAA">
              <w:rPr>
                <w:sz w:val="21"/>
                <w:szCs w:val="21"/>
                <w:lang w:val="en-GB"/>
              </w:rPr>
              <w:t>.59</w:t>
            </w:r>
          </w:p>
        </w:tc>
        <w:tc>
          <w:tcPr>
            <w:tcW w:w="646" w:type="dxa"/>
            <w:tcBorders>
              <w:top w:val="nil"/>
              <w:left w:val="nil"/>
              <w:bottom w:val="nil"/>
              <w:right w:val="nil"/>
            </w:tcBorders>
            <w:tcMar>
              <w:left w:w="108" w:type="dxa"/>
              <w:right w:w="108" w:type="dxa"/>
            </w:tcMar>
            <w:vAlign w:val="center"/>
          </w:tcPr>
          <w:p w14:paraId="4646756E" w14:textId="21EBE0DE" w:rsidR="5B44A326" w:rsidRDefault="45BA1AAA" w:rsidP="45BA1AAA">
            <w:pPr>
              <w:jc w:val="center"/>
              <w:rPr>
                <w:sz w:val="21"/>
                <w:szCs w:val="21"/>
                <w:lang w:val="en-GB"/>
              </w:rPr>
            </w:pPr>
            <w:r w:rsidRPr="45BA1AAA">
              <w:rPr>
                <w:sz w:val="21"/>
                <w:szCs w:val="21"/>
                <w:lang w:val="en-GB"/>
              </w:rPr>
              <w:t>.62</w:t>
            </w:r>
          </w:p>
        </w:tc>
        <w:tc>
          <w:tcPr>
            <w:tcW w:w="967" w:type="dxa"/>
            <w:tcBorders>
              <w:top w:val="nil"/>
              <w:left w:val="nil"/>
              <w:bottom w:val="nil"/>
              <w:right w:val="nil"/>
            </w:tcBorders>
            <w:tcMar>
              <w:left w:w="108" w:type="dxa"/>
              <w:right w:w="108" w:type="dxa"/>
            </w:tcMar>
            <w:vAlign w:val="center"/>
          </w:tcPr>
          <w:p w14:paraId="3340B8E1" w14:textId="28FC1300" w:rsidR="5B44A326" w:rsidRDefault="45BA1AAA" w:rsidP="45BA1AAA">
            <w:pPr>
              <w:jc w:val="center"/>
              <w:rPr>
                <w:sz w:val="21"/>
                <w:szCs w:val="21"/>
                <w:lang w:val="en-GB"/>
              </w:rPr>
            </w:pPr>
            <w:r w:rsidRPr="45BA1AAA">
              <w:rPr>
                <w:sz w:val="21"/>
                <w:szCs w:val="21"/>
                <w:lang w:val="en-GB"/>
              </w:rPr>
              <w:t>-</w:t>
            </w:r>
          </w:p>
        </w:tc>
        <w:tc>
          <w:tcPr>
            <w:tcW w:w="659" w:type="dxa"/>
            <w:tcBorders>
              <w:top w:val="nil"/>
              <w:left w:val="nil"/>
              <w:bottom w:val="nil"/>
              <w:right w:val="nil"/>
            </w:tcBorders>
            <w:tcMar>
              <w:left w:w="108" w:type="dxa"/>
              <w:right w:w="108" w:type="dxa"/>
            </w:tcMar>
            <w:vAlign w:val="center"/>
          </w:tcPr>
          <w:p w14:paraId="4E1213AC" w14:textId="181CE093" w:rsidR="5B44A326" w:rsidRDefault="45BA1AAA" w:rsidP="45BA1AAA">
            <w:pPr>
              <w:jc w:val="center"/>
              <w:rPr>
                <w:sz w:val="21"/>
                <w:szCs w:val="21"/>
                <w:lang w:val="en-GB"/>
              </w:rPr>
            </w:pPr>
            <w:r w:rsidRPr="45BA1AAA">
              <w:rPr>
                <w:sz w:val="21"/>
                <w:szCs w:val="21"/>
                <w:lang w:val="en-GB"/>
              </w:rPr>
              <w:t xml:space="preserve"> </w:t>
            </w:r>
          </w:p>
        </w:tc>
        <w:tc>
          <w:tcPr>
            <w:tcW w:w="668" w:type="dxa"/>
            <w:tcBorders>
              <w:top w:val="nil"/>
              <w:left w:val="nil"/>
              <w:bottom w:val="nil"/>
              <w:right w:val="nil"/>
            </w:tcBorders>
            <w:tcMar>
              <w:left w:w="108" w:type="dxa"/>
              <w:right w:w="108" w:type="dxa"/>
            </w:tcMar>
            <w:vAlign w:val="center"/>
          </w:tcPr>
          <w:p w14:paraId="22673F27" w14:textId="5F6BA5A9" w:rsidR="5B44A326" w:rsidRDefault="45BA1AAA" w:rsidP="45BA1AAA">
            <w:pPr>
              <w:jc w:val="center"/>
              <w:rPr>
                <w:sz w:val="21"/>
                <w:szCs w:val="21"/>
                <w:lang w:val="en-GB"/>
              </w:rPr>
            </w:pPr>
            <w:r w:rsidRPr="45BA1AAA">
              <w:rPr>
                <w:sz w:val="21"/>
                <w:szCs w:val="21"/>
                <w:lang w:val="en-GB"/>
              </w:rPr>
              <w:t xml:space="preserve"> </w:t>
            </w:r>
          </w:p>
        </w:tc>
      </w:tr>
      <w:tr w:rsidR="5B44A326" w14:paraId="16E09808" w14:textId="77777777" w:rsidTr="45BA1AAA">
        <w:trPr>
          <w:trHeight w:val="15"/>
        </w:trPr>
        <w:tc>
          <w:tcPr>
            <w:tcW w:w="4695" w:type="dxa"/>
            <w:tcBorders>
              <w:top w:val="nil"/>
              <w:left w:val="nil"/>
              <w:bottom w:val="nil"/>
              <w:right w:val="nil"/>
            </w:tcBorders>
            <w:tcMar>
              <w:left w:w="108" w:type="dxa"/>
              <w:right w:w="108" w:type="dxa"/>
            </w:tcMar>
            <w:vAlign w:val="center"/>
          </w:tcPr>
          <w:p w14:paraId="50E893FD" w14:textId="6C2AD4C2" w:rsidR="5B44A326" w:rsidRDefault="45BA1AAA" w:rsidP="45BA1AAA">
            <w:pPr>
              <w:rPr>
                <w:sz w:val="21"/>
                <w:szCs w:val="21"/>
                <w:lang w:val="en-GB"/>
              </w:rPr>
            </w:pPr>
            <w:r w:rsidRPr="45BA1AAA">
              <w:rPr>
                <w:sz w:val="21"/>
                <w:szCs w:val="21"/>
                <w:lang w:val="en-GB"/>
              </w:rPr>
              <w:t>ND</w:t>
            </w:r>
          </w:p>
        </w:tc>
        <w:tc>
          <w:tcPr>
            <w:tcW w:w="840" w:type="dxa"/>
            <w:tcBorders>
              <w:top w:val="nil"/>
              <w:left w:val="nil"/>
              <w:bottom w:val="nil"/>
              <w:right w:val="nil"/>
            </w:tcBorders>
            <w:tcMar>
              <w:left w:w="108" w:type="dxa"/>
              <w:right w:w="108" w:type="dxa"/>
            </w:tcMar>
            <w:vAlign w:val="center"/>
          </w:tcPr>
          <w:p w14:paraId="5C94F307" w14:textId="16D2BCC8" w:rsidR="5B44A326" w:rsidRDefault="45BA1AAA" w:rsidP="45BA1AAA">
            <w:pPr>
              <w:jc w:val="center"/>
              <w:rPr>
                <w:sz w:val="21"/>
                <w:szCs w:val="21"/>
                <w:lang w:val="en-GB"/>
              </w:rPr>
            </w:pPr>
            <w:r w:rsidRPr="45BA1AAA">
              <w:rPr>
                <w:sz w:val="21"/>
                <w:szCs w:val="21"/>
                <w:lang w:val="en-GB"/>
              </w:rPr>
              <w:t>.60</w:t>
            </w:r>
          </w:p>
        </w:tc>
        <w:tc>
          <w:tcPr>
            <w:tcW w:w="799" w:type="dxa"/>
            <w:tcBorders>
              <w:top w:val="nil"/>
              <w:left w:val="nil"/>
              <w:bottom w:val="nil"/>
              <w:right w:val="nil"/>
            </w:tcBorders>
            <w:tcMar>
              <w:left w:w="108" w:type="dxa"/>
              <w:right w:w="108" w:type="dxa"/>
            </w:tcMar>
            <w:vAlign w:val="center"/>
          </w:tcPr>
          <w:p w14:paraId="75E873B5" w14:textId="4813F800" w:rsidR="5B44A326" w:rsidRDefault="45BA1AAA" w:rsidP="45BA1AAA">
            <w:pPr>
              <w:jc w:val="center"/>
              <w:rPr>
                <w:sz w:val="21"/>
                <w:szCs w:val="21"/>
                <w:lang w:val="en-GB"/>
              </w:rPr>
            </w:pPr>
            <w:r w:rsidRPr="45BA1AAA">
              <w:rPr>
                <w:sz w:val="21"/>
                <w:szCs w:val="21"/>
                <w:lang w:val="en-GB"/>
              </w:rPr>
              <w:t>.62</w:t>
            </w:r>
          </w:p>
        </w:tc>
        <w:tc>
          <w:tcPr>
            <w:tcW w:w="646" w:type="dxa"/>
            <w:tcBorders>
              <w:top w:val="nil"/>
              <w:left w:val="nil"/>
              <w:bottom w:val="nil"/>
              <w:right w:val="nil"/>
            </w:tcBorders>
            <w:tcMar>
              <w:left w:w="108" w:type="dxa"/>
              <w:right w:w="108" w:type="dxa"/>
            </w:tcMar>
            <w:vAlign w:val="center"/>
          </w:tcPr>
          <w:p w14:paraId="0FFEE19B" w14:textId="1624A7ED" w:rsidR="5B44A326" w:rsidRDefault="45BA1AAA" w:rsidP="45BA1AAA">
            <w:pPr>
              <w:jc w:val="center"/>
              <w:rPr>
                <w:sz w:val="21"/>
                <w:szCs w:val="21"/>
                <w:lang w:val="en-GB"/>
              </w:rPr>
            </w:pPr>
            <w:r w:rsidRPr="45BA1AAA">
              <w:rPr>
                <w:sz w:val="21"/>
                <w:szCs w:val="21"/>
                <w:lang w:val="en-GB"/>
              </w:rPr>
              <w:t>.50</w:t>
            </w:r>
          </w:p>
        </w:tc>
        <w:tc>
          <w:tcPr>
            <w:tcW w:w="967" w:type="dxa"/>
            <w:tcBorders>
              <w:top w:val="nil"/>
              <w:left w:val="nil"/>
              <w:bottom w:val="nil"/>
              <w:right w:val="nil"/>
            </w:tcBorders>
            <w:tcMar>
              <w:left w:w="108" w:type="dxa"/>
              <w:right w:w="108" w:type="dxa"/>
            </w:tcMar>
            <w:vAlign w:val="center"/>
          </w:tcPr>
          <w:p w14:paraId="74482ADD" w14:textId="68CE1744" w:rsidR="5B44A326" w:rsidRDefault="45BA1AAA" w:rsidP="45BA1AAA">
            <w:pPr>
              <w:jc w:val="center"/>
              <w:rPr>
                <w:sz w:val="21"/>
                <w:szCs w:val="21"/>
                <w:lang w:val="en-GB"/>
              </w:rPr>
            </w:pPr>
            <w:r w:rsidRPr="45BA1AAA">
              <w:rPr>
                <w:sz w:val="21"/>
                <w:szCs w:val="21"/>
                <w:lang w:val="en-GB"/>
              </w:rPr>
              <w:t>.63</w:t>
            </w:r>
          </w:p>
        </w:tc>
        <w:tc>
          <w:tcPr>
            <w:tcW w:w="659" w:type="dxa"/>
            <w:tcBorders>
              <w:top w:val="nil"/>
              <w:left w:val="nil"/>
              <w:bottom w:val="nil"/>
              <w:right w:val="nil"/>
            </w:tcBorders>
            <w:tcMar>
              <w:left w:w="108" w:type="dxa"/>
              <w:right w:w="108" w:type="dxa"/>
            </w:tcMar>
            <w:vAlign w:val="center"/>
          </w:tcPr>
          <w:p w14:paraId="17A7390F" w14:textId="1BB95A36" w:rsidR="5B44A326" w:rsidRDefault="45BA1AAA" w:rsidP="45BA1AAA">
            <w:pPr>
              <w:jc w:val="center"/>
              <w:rPr>
                <w:sz w:val="21"/>
                <w:szCs w:val="21"/>
                <w:lang w:val="en-GB"/>
              </w:rPr>
            </w:pPr>
            <w:r w:rsidRPr="45BA1AAA">
              <w:rPr>
                <w:sz w:val="21"/>
                <w:szCs w:val="21"/>
                <w:lang w:val="en-GB"/>
              </w:rPr>
              <w:t>-</w:t>
            </w:r>
          </w:p>
        </w:tc>
        <w:tc>
          <w:tcPr>
            <w:tcW w:w="668" w:type="dxa"/>
            <w:tcBorders>
              <w:top w:val="nil"/>
              <w:left w:val="nil"/>
              <w:bottom w:val="nil"/>
              <w:right w:val="nil"/>
            </w:tcBorders>
            <w:tcMar>
              <w:left w:w="108" w:type="dxa"/>
              <w:right w:w="108" w:type="dxa"/>
            </w:tcMar>
            <w:vAlign w:val="center"/>
          </w:tcPr>
          <w:p w14:paraId="1D2AFDE7" w14:textId="57B70BFA" w:rsidR="5B44A326" w:rsidRDefault="45BA1AAA" w:rsidP="45BA1AAA">
            <w:pPr>
              <w:jc w:val="center"/>
              <w:rPr>
                <w:sz w:val="21"/>
                <w:szCs w:val="21"/>
                <w:lang w:val="en-GB"/>
              </w:rPr>
            </w:pPr>
            <w:r w:rsidRPr="45BA1AAA">
              <w:rPr>
                <w:sz w:val="21"/>
                <w:szCs w:val="21"/>
                <w:lang w:val="en-GB"/>
              </w:rPr>
              <w:t xml:space="preserve"> </w:t>
            </w:r>
          </w:p>
        </w:tc>
      </w:tr>
      <w:tr w:rsidR="5B44A326" w14:paraId="2DE5D20C" w14:textId="77777777" w:rsidTr="45BA1AAA">
        <w:trPr>
          <w:trHeight w:val="15"/>
        </w:trPr>
        <w:tc>
          <w:tcPr>
            <w:tcW w:w="4695" w:type="dxa"/>
            <w:tcBorders>
              <w:top w:val="nil"/>
              <w:left w:val="nil"/>
              <w:bottom w:val="single" w:sz="8" w:space="0" w:color="auto"/>
              <w:right w:val="nil"/>
            </w:tcBorders>
            <w:tcMar>
              <w:left w:w="108" w:type="dxa"/>
              <w:right w:w="108" w:type="dxa"/>
            </w:tcMar>
            <w:vAlign w:val="center"/>
          </w:tcPr>
          <w:p w14:paraId="0A73BDC7" w14:textId="1826634B" w:rsidR="5B44A326" w:rsidRDefault="45BA1AAA" w:rsidP="45BA1AAA">
            <w:pPr>
              <w:rPr>
                <w:sz w:val="21"/>
                <w:szCs w:val="21"/>
                <w:lang w:val="en-GB"/>
              </w:rPr>
            </w:pPr>
            <w:r w:rsidRPr="45BA1AAA">
              <w:rPr>
                <w:sz w:val="21"/>
                <w:szCs w:val="21"/>
                <w:lang w:val="en-GB"/>
              </w:rPr>
              <w:t>Perf</w:t>
            </w:r>
          </w:p>
        </w:tc>
        <w:tc>
          <w:tcPr>
            <w:tcW w:w="840" w:type="dxa"/>
            <w:tcBorders>
              <w:top w:val="nil"/>
              <w:left w:val="nil"/>
              <w:bottom w:val="single" w:sz="8" w:space="0" w:color="auto"/>
              <w:right w:val="nil"/>
            </w:tcBorders>
            <w:tcMar>
              <w:left w:w="108" w:type="dxa"/>
              <w:right w:w="108" w:type="dxa"/>
            </w:tcMar>
            <w:vAlign w:val="center"/>
          </w:tcPr>
          <w:p w14:paraId="05954FA3" w14:textId="4B97287A" w:rsidR="5B44A326" w:rsidRDefault="45BA1AAA" w:rsidP="45BA1AAA">
            <w:pPr>
              <w:jc w:val="center"/>
              <w:rPr>
                <w:sz w:val="21"/>
                <w:szCs w:val="21"/>
                <w:lang w:val="en-GB"/>
              </w:rPr>
            </w:pPr>
            <w:r w:rsidRPr="45BA1AAA">
              <w:rPr>
                <w:sz w:val="21"/>
                <w:szCs w:val="21"/>
                <w:lang w:val="en-GB"/>
              </w:rPr>
              <w:t>.50</w:t>
            </w:r>
          </w:p>
        </w:tc>
        <w:tc>
          <w:tcPr>
            <w:tcW w:w="799" w:type="dxa"/>
            <w:tcBorders>
              <w:top w:val="nil"/>
              <w:left w:val="nil"/>
              <w:bottom w:val="single" w:sz="8" w:space="0" w:color="auto"/>
              <w:right w:val="nil"/>
            </w:tcBorders>
            <w:tcMar>
              <w:left w:w="108" w:type="dxa"/>
              <w:right w:w="108" w:type="dxa"/>
            </w:tcMar>
            <w:vAlign w:val="center"/>
          </w:tcPr>
          <w:p w14:paraId="5305E9A8" w14:textId="1067A0EC" w:rsidR="5B44A326" w:rsidRDefault="45BA1AAA" w:rsidP="45BA1AAA">
            <w:pPr>
              <w:jc w:val="center"/>
              <w:rPr>
                <w:sz w:val="21"/>
                <w:szCs w:val="21"/>
                <w:lang w:val="en-GB"/>
              </w:rPr>
            </w:pPr>
            <w:r w:rsidRPr="45BA1AAA">
              <w:rPr>
                <w:sz w:val="21"/>
                <w:szCs w:val="21"/>
                <w:lang w:val="en-GB"/>
              </w:rPr>
              <w:t>.65</w:t>
            </w:r>
          </w:p>
        </w:tc>
        <w:tc>
          <w:tcPr>
            <w:tcW w:w="646" w:type="dxa"/>
            <w:tcBorders>
              <w:top w:val="nil"/>
              <w:left w:val="nil"/>
              <w:bottom w:val="single" w:sz="8" w:space="0" w:color="auto"/>
              <w:right w:val="nil"/>
            </w:tcBorders>
            <w:tcMar>
              <w:left w:w="108" w:type="dxa"/>
              <w:right w:w="108" w:type="dxa"/>
            </w:tcMar>
            <w:vAlign w:val="center"/>
          </w:tcPr>
          <w:p w14:paraId="277D7836" w14:textId="7661B08A" w:rsidR="5B44A326" w:rsidRDefault="45BA1AAA" w:rsidP="45BA1AAA">
            <w:pPr>
              <w:jc w:val="center"/>
              <w:rPr>
                <w:sz w:val="21"/>
                <w:szCs w:val="21"/>
                <w:lang w:val="en-GB"/>
              </w:rPr>
            </w:pPr>
            <w:r w:rsidRPr="45BA1AAA">
              <w:rPr>
                <w:sz w:val="21"/>
                <w:szCs w:val="21"/>
                <w:lang w:val="en-GB"/>
              </w:rPr>
              <w:t>.47</w:t>
            </w:r>
          </w:p>
        </w:tc>
        <w:tc>
          <w:tcPr>
            <w:tcW w:w="967" w:type="dxa"/>
            <w:tcBorders>
              <w:top w:val="nil"/>
              <w:left w:val="nil"/>
              <w:bottom w:val="single" w:sz="8" w:space="0" w:color="auto"/>
              <w:right w:val="nil"/>
            </w:tcBorders>
            <w:tcMar>
              <w:left w:w="108" w:type="dxa"/>
              <w:right w:w="108" w:type="dxa"/>
            </w:tcMar>
            <w:vAlign w:val="center"/>
          </w:tcPr>
          <w:p w14:paraId="3CA25D7D" w14:textId="683A2104" w:rsidR="5B44A326" w:rsidRDefault="45BA1AAA" w:rsidP="45BA1AAA">
            <w:pPr>
              <w:jc w:val="center"/>
              <w:rPr>
                <w:sz w:val="21"/>
                <w:szCs w:val="21"/>
                <w:lang w:val="en-GB"/>
              </w:rPr>
            </w:pPr>
            <w:r w:rsidRPr="45BA1AAA">
              <w:rPr>
                <w:sz w:val="21"/>
                <w:szCs w:val="21"/>
                <w:lang w:val="en-GB"/>
              </w:rPr>
              <w:t>56</w:t>
            </w:r>
          </w:p>
        </w:tc>
        <w:tc>
          <w:tcPr>
            <w:tcW w:w="659" w:type="dxa"/>
            <w:tcBorders>
              <w:top w:val="nil"/>
              <w:left w:val="nil"/>
              <w:bottom w:val="single" w:sz="8" w:space="0" w:color="auto"/>
              <w:right w:val="nil"/>
            </w:tcBorders>
            <w:tcMar>
              <w:left w:w="108" w:type="dxa"/>
              <w:right w:w="108" w:type="dxa"/>
            </w:tcMar>
            <w:vAlign w:val="center"/>
          </w:tcPr>
          <w:p w14:paraId="15134DF3" w14:textId="410F268B" w:rsidR="5B44A326" w:rsidRDefault="45BA1AAA" w:rsidP="45BA1AAA">
            <w:pPr>
              <w:jc w:val="center"/>
              <w:rPr>
                <w:sz w:val="21"/>
                <w:szCs w:val="21"/>
                <w:lang w:val="en-GB"/>
              </w:rPr>
            </w:pPr>
            <w:r w:rsidRPr="45BA1AAA">
              <w:rPr>
                <w:sz w:val="21"/>
                <w:szCs w:val="21"/>
                <w:lang w:val="en-GB"/>
              </w:rPr>
              <w:t>.58</w:t>
            </w:r>
          </w:p>
        </w:tc>
        <w:tc>
          <w:tcPr>
            <w:tcW w:w="668" w:type="dxa"/>
            <w:tcBorders>
              <w:top w:val="nil"/>
              <w:left w:val="nil"/>
              <w:bottom w:val="single" w:sz="8" w:space="0" w:color="auto"/>
              <w:right w:val="nil"/>
            </w:tcBorders>
            <w:tcMar>
              <w:left w:w="108" w:type="dxa"/>
              <w:right w:w="108" w:type="dxa"/>
            </w:tcMar>
            <w:vAlign w:val="center"/>
          </w:tcPr>
          <w:p w14:paraId="51AF83AE" w14:textId="454E1587" w:rsidR="5B44A326" w:rsidRDefault="45BA1AAA" w:rsidP="45BA1AAA">
            <w:pPr>
              <w:jc w:val="center"/>
              <w:rPr>
                <w:sz w:val="21"/>
                <w:szCs w:val="21"/>
                <w:lang w:val="en-GB"/>
              </w:rPr>
            </w:pPr>
            <w:r w:rsidRPr="45BA1AAA">
              <w:rPr>
                <w:sz w:val="21"/>
                <w:szCs w:val="21"/>
                <w:lang w:val="en-GB"/>
              </w:rPr>
              <w:t>-</w:t>
            </w:r>
          </w:p>
        </w:tc>
      </w:tr>
      <w:tr w:rsidR="5B44A326" w14:paraId="134C8307" w14:textId="77777777" w:rsidTr="45BA1AAA">
        <w:trPr>
          <w:trHeight w:val="15"/>
        </w:trPr>
        <w:tc>
          <w:tcPr>
            <w:tcW w:w="9274" w:type="dxa"/>
            <w:gridSpan w:val="7"/>
            <w:tcBorders>
              <w:top w:val="single" w:sz="8" w:space="0" w:color="auto"/>
              <w:left w:val="nil"/>
              <w:bottom w:val="nil"/>
              <w:right w:val="nil"/>
            </w:tcBorders>
            <w:tcMar>
              <w:left w:w="108" w:type="dxa"/>
              <w:right w:w="108" w:type="dxa"/>
            </w:tcMar>
            <w:vAlign w:val="center"/>
          </w:tcPr>
          <w:p w14:paraId="23F35BDB" w14:textId="2B8F3C60" w:rsidR="5B44A326" w:rsidRDefault="45BA1AAA" w:rsidP="45BA1AAA">
            <w:pPr>
              <w:rPr>
                <w:sz w:val="22"/>
                <w:szCs w:val="22"/>
                <w:lang w:val="en-GB"/>
              </w:rPr>
            </w:pPr>
            <w:r w:rsidRPr="45BA1AAA">
              <w:rPr>
                <w:b/>
                <w:bCs/>
                <w:sz w:val="22"/>
                <w:szCs w:val="22"/>
                <w:lang w:val="en-GB"/>
              </w:rPr>
              <w:t>Source(s):</w:t>
            </w:r>
            <w:r w:rsidRPr="45BA1AAA">
              <w:rPr>
                <w:sz w:val="22"/>
                <w:szCs w:val="22"/>
                <w:lang w:val="en-GB"/>
              </w:rPr>
              <w:t xml:space="preserve"> Table created by authors</w:t>
            </w:r>
          </w:p>
        </w:tc>
      </w:tr>
      <w:tr w:rsidR="5B44A326" w14:paraId="60644FFA" w14:textId="77777777" w:rsidTr="45BA1AAA">
        <w:trPr>
          <w:trHeight w:val="315"/>
        </w:trPr>
        <w:tc>
          <w:tcPr>
            <w:tcW w:w="9274" w:type="dxa"/>
            <w:gridSpan w:val="7"/>
            <w:tcBorders>
              <w:top w:val="single" w:sz="8" w:space="0" w:color="auto"/>
              <w:left w:val="nil"/>
              <w:bottom w:val="nil"/>
              <w:right w:val="nil"/>
            </w:tcBorders>
            <w:tcMar>
              <w:left w:w="108" w:type="dxa"/>
              <w:right w:w="108" w:type="dxa"/>
            </w:tcMar>
            <w:vAlign w:val="center"/>
          </w:tcPr>
          <w:p w14:paraId="5CC41D90" w14:textId="4E135477" w:rsidR="5B44A326" w:rsidRDefault="45BA1AAA" w:rsidP="45BA1AAA">
            <w:pPr>
              <w:spacing w:line="276" w:lineRule="auto"/>
              <w:ind w:left="73"/>
              <w:jc w:val="both"/>
            </w:pPr>
            <w:r w:rsidRPr="45BA1AAA">
              <w:rPr>
                <w:b/>
                <w:bCs/>
                <w:i/>
                <w:iCs/>
                <w:sz w:val="22"/>
                <w:szCs w:val="22"/>
                <w:lang w:val="en-GB"/>
              </w:rPr>
              <w:t>Note(s):</w:t>
            </w:r>
            <w:r w:rsidRPr="45BA1AAA">
              <w:rPr>
                <w:sz w:val="22"/>
                <w:szCs w:val="22"/>
                <w:lang w:val="en-GB"/>
              </w:rPr>
              <w:t xml:space="preserve"> CI = Customer Interface Capability. IC = Information System Support Capability. PC = Processing Capability. AR = Asset Recovery Capability. ND = Network Design Capability. Perf = Firm Financial Performance. </w:t>
            </w:r>
            <w:proofErr w:type="gramStart"/>
            <w:r w:rsidRPr="45BA1AAA">
              <w:rPr>
                <w:sz w:val="22"/>
                <w:szCs w:val="22"/>
                <w:lang w:val="en-GB"/>
              </w:rPr>
              <w:t>CI</w:t>
            </w:r>
            <w:r w:rsidRPr="45BA1AAA">
              <w:rPr>
                <w:sz w:val="22"/>
                <w:szCs w:val="22"/>
                <w:vertAlign w:val="subscript"/>
                <w:lang w:val="en-GB"/>
              </w:rPr>
              <w:t>CFA</w:t>
            </w:r>
            <w:r w:rsidRPr="45BA1AAA">
              <w:rPr>
                <w:sz w:val="22"/>
                <w:szCs w:val="22"/>
                <w:lang w:val="en-GB"/>
              </w:rPr>
              <w:t>(</w:t>
            </w:r>
            <w:proofErr w:type="gramEnd"/>
            <w:r w:rsidRPr="45BA1AAA">
              <w:rPr>
                <w:sz w:val="22"/>
                <w:szCs w:val="22"/>
                <w:lang w:val="en-GB"/>
              </w:rPr>
              <w:t>sys) is the upper limit of the 95% confidence interval for the CFA-estimated inter-factor correlation.</w:t>
            </w:r>
            <w:r w:rsidRPr="45BA1AAA">
              <w:t xml:space="preserve"> </w:t>
            </w:r>
          </w:p>
        </w:tc>
      </w:tr>
    </w:tbl>
    <w:p w14:paraId="356BB674" w14:textId="3B63FB83" w:rsidR="45BA1AAA" w:rsidRDefault="45BA1AAA" w:rsidP="45BA1AAA">
      <w:pPr>
        <w:spacing w:after="240"/>
        <w:rPr>
          <w:rFonts w:ascii="Times New Roman" w:eastAsia="Calibri" w:hAnsi="Times New Roman" w:cs="Times New Roman"/>
        </w:rPr>
      </w:pPr>
    </w:p>
    <w:p w14:paraId="4F1602D1" w14:textId="5C4A5ACB" w:rsidR="45BA1AAA" w:rsidRDefault="45BA1AAA"/>
    <w:p w14:paraId="42835EEB" w14:textId="2CBC6245" w:rsidR="45BA1AAA" w:rsidRDefault="45BA1AAA"/>
    <w:p w14:paraId="38066F1C" w14:textId="18DCB03E" w:rsidR="45BA1AAA" w:rsidRDefault="45BA1AAA"/>
    <w:p w14:paraId="7EA1A4B6" w14:textId="4D766AD4" w:rsidR="45BA1AAA" w:rsidRDefault="45BA1AAA"/>
    <w:p w14:paraId="338B49F8" w14:textId="711C732C" w:rsidR="45BA1AAA" w:rsidRDefault="45BA1AAA"/>
    <w:p w14:paraId="66E934F9" w14:textId="606A0402" w:rsidR="45BA1AAA" w:rsidRDefault="45BA1AAA"/>
    <w:p w14:paraId="78685D74" w14:textId="292D3D36" w:rsidR="45BA1AAA" w:rsidRDefault="45BA1AAA"/>
    <w:p w14:paraId="36B0C0A1" w14:textId="1F07C01A" w:rsidR="45BA1AAA" w:rsidRDefault="45BA1AAA"/>
    <w:p w14:paraId="0C6B18F5" w14:textId="29EF44A9" w:rsidR="45BA1AAA" w:rsidRDefault="45BA1AAA"/>
    <w:p w14:paraId="486E07F7" w14:textId="2DBBDA8A" w:rsidR="45BA1AAA" w:rsidRDefault="45BA1AAA"/>
    <w:p w14:paraId="72FFE00E" w14:textId="699445FD" w:rsidR="45BA1AAA" w:rsidRDefault="45BA1AAA"/>
    <w:p w14:paraId="1401EE74" w14:textId="22FB62C1" w:rsidR="45BA1AAA" w:rsidRDefault="45BA1AAA"/>
    <w:p w14:paraId="72C425B6" w14:textId="48B7E13F" w:rsidR="45BA1AAA" w:rsidRDefault="45BA1AAA"/>
    <w:p w14:paraId="7B268519" w14:textId="480FD5DA" w:rsidR="00240696" w:rsidRPr="00DF43A6" w:rsidRDefault="00240696" w:rsidP="45BA1AAA">
      <w:pPr>
        <w:rPr>
          <w:rFonts w:ascii="Times New Roman" w:hAnsi="Times New Roman" w:cs="Times New Roman"/>
        </w:rPr>
      </w:pPr>
    </w:p>
    <w:p w14:paraId="498EEB56" w14:textId="77777777" w:rsidR="00240696" w:rsidRDefault="00240696" w:rsidP="00240696">
      <w:pPr>
        <w:rPr>
          <w:rFonts w:ascii="Times New Roman" w:hAnsi="Times New Roman" w:cs="Times New Roman"/>
        </w:rPr>
      </w:pPr>
    </w:p>
    <w:p w14:paraId="5045C7D5" w14:textId="77777777" w:rsidR="002E514C" w:rsidRDefault="002E514C" w:rsidP="00240696">
      <w:pPr>
        <w:rPr>
          <w:rFonts w:ascii="Times New Roman" w:hAnsi="Times New Roman" w:cs="Times New Roman"/>
        </w:rPr>
      </w:pPr>
    </w:p>
    <w:p w14:paraId="25CC092E" w14:textId="1F88DE76" w:rsidR="002E514C" w:rsidRDefault="002E514C">
      <w:pPr>
        <w:rPr>
          <w:rFonts w:ascii="Times New Roman" w:hAnsi="Times New Roman" w:cs="Times New Roman"/>
        </w:rPr>
      </w:pPr>
      <w:r>
        <w:rPr>
          <w:rFonts w:ascii="Times New Roman" w:hAnsi="Times New Roman" w:cs="Times New Roman"/>
        </w:rPr>
        <w:br w:type="page"/>
      </w:r>
    </w:p>
    <w:p w14:paraId="1E4DAE1C" w14:textId="69C2E54F" w:rsidR="00A3182C" w:rsidRDefault="50B5A393" w:rsidP="00A3182C">
      <w:pPr>
        <w:spacing w:after="240"/>
        <w:rPr>
          <w:rFonts w:ascii="Times New Roman" w:hAnsi="Times New Roman" w:cs="Times New Roman"/>
        </w:rPr>
      </w:pPr>
      <w:r w:rsidRPr="50B5A393">
        <w:rPr>
          <w:rFonts w:ascii="Times New Roman" w:hAnsi="Times New Roman" w:cs="Times New Roman"/>
          <w:b/>
          <w:bCs/>
        </w:rPr>
        <w:lastRenderedPageBreak/>
        <w:t xml:space="preserve">Table E. </w:t>
      </w:r>
      <w:r w:rsidRPr="50B5A393">
        <w:rPr>
          <w:rFonts w:ascii="Times New Roman" w:hAnsi="Times New Roman" w:cs="Times New Roman"/>
        </w:rPr>
        <w:t>Study 3 semi-structured interview participant profile.</w:t>
      </w:r>
    </w:p>
    <w:tbl>
      <w:tblPr>
        <w:tblW w:w="8550" w:type="dxa"/>
        <w:tblBorders>
          <w:bottom w:val="single" w:sz="12" w:space="0" w:color="000000" w:themeColor="text1"/>
        </w:tblBorders>
        <w:tblLayout w:type="fixed"/>
        <w:tblLook w:val="04A0" w:firstRow="1" w:lastRow="0" w:firstColumn="1" w:lastColumn="0" w:noHBand="0" w:noVBand="1"/>
      </w:tblPr>
      <w:tblGrid>
        <w:gridCol w:w="974"/>
        <w:gridCol w:w="2104"/>
        <w:gridCol w:w="2502"/>
        <w:gridCol w:w="1260"/>
        <w:gridCol w:w="1710"/>
      </w:tblGrid>
      <w:tr w:rsidR="006954CD" w:rsidRPr="00A3182C" w14:paraId="223EEBB3" w14:textId="77777777" w:rsidTr="50B5A393">
        <w:trPr>
          <w:trHeight w:val="285"/>
        </w:trPr>
        <w:tc>
          <w:tcPr>
            <w:tcW w:w="974" w:type="dxa"/>
            <w:tcBorders>
              <w:top w:val="single" w:sz="4" w:space="0" w:color="auto"/>
              <w:bottom w:val="single" w:sz="4" w:space="0" w:color="auto"/>
            </w:tcBorders>
            <w:tcMar>
              <w:top w:w="15" w:type="dxa"/>
              <w:left w:w="15" w:type="dxa"/>
              <w:right w:w="15" w:type="dxa"/>
            </w:tcMar>
            <w:vAlign w:val="center"/>
          </w:tcPr>
          <w:p w14:paraId="67A495BF" w14:textId="75819FBD" w:rsidR="006954CD" w:rsidRPr="00A3182C" w:rsidRDefault="006954CD" w:rsidP="00A3182C">
            <w:pPr>
              <w:spacing w:line="259" w:lineRule="auto"/>
              <w:jc w:val="center"/>
              <w:rPr>
                <w:rFonts w:ascii="Times New Roman" w:eastAsia="Times New Roman" w:hAnsi="Times New Roman" w:cs="Times New Roman"/>
                <w:b/>
                <w:bCs/>
                <w:sz w:val="21"/>
                <w:szCs w:val="21"/>
              </w:rPr>
            </w:pPr>
            <w:r w:rsidRPr="00A3182C">
              <w:rPr>
                <w:rFonts w:ascii="Times New Roman" w:eastAsia="Times New Roman" w:hAnsi="Times New Roman" w:cs="Times New Roman"/>
                <w:b/>
                <w:bCs/>
                <w:sz w:val="21"/>
                <w:szCs w:val="21"/>
              </w:rPr>
              <w:t>Interview</w:t>
            </w:r>
          </w:p>
        </w:tc>
        <w:tc>
          <w:tcPr>
            <w:tcW w:w="2104" w:type="dxa"/>
            <w:tcBorders>
              <w:top w:val="single" w:sz="4" w:space="0" w:color="auto"/>
              <w:bottom w:val="single" w:sz="4" w:space="0" w:color="auto"/>
              <w:right w:val="nil"/>
            </w:tcBorders>
            <w:tcMar>
              <w:top w:w="15" w:type="dxa"/>
              <w:left w:w="15" w:type="dxa"/>
              <w:right w:w="15" w:type="dxa"/>
            </w:tcMar>
            <w:vAlign w:val="center"/>
          </w:tcPr>
          <w:p w14:paraId="16BFEF18" w14:textId="6776B3DE" w:rsidR="006954CD" w:rsidRPr="00A3182C" w:rsidRDefault="006954CD">
            <w:pPr>
              <w:rPr>
                <w:rFonts w:ascii="Times New Roman" w:eastAsia="Times New Roman" w:hAnsi="Times New Roman" w:cs="Times New Roman"/>
                <w:b/>
                <w:bCs/>
                <w:color w:val="000000" w:themeColor="text1"/>
                <w:sz w:val="21"/>
                <w:szCs w:val="21"/>
              </w:rPr>
            </w:pPr>
            <w:r w:rsidRPr="00A3182C">
              <w:rPr>
                <w:rFonts w:ascii="Times New Roman" w:eastAsia="Times New Roman" w:hAnsi="Times New Roman" w:cs="Times New Roman"/>
                <w:b/>
                <w:bCs/>
                <w:color w:val="000000" w:themeColor="text1"/>
                <w:sz w:val="21"/>
                <w:szCs w:val="21"/>
              </w:rPr>
              <w:t xml:space="preserve">Industry </w:t>
            </w:r>
          </w:p>
        </w:tc>
        <w:tc>
          <w:tcPr>
            <w:tcW w:w="2502" w:type="dxa"/>
            <w:tcBorders>
              <w:top w:val="single" w:sz="4" w:space="0" w:color="auto"/>
              <w:left w:val="nil"/>
              <w:bottom w:val="single" w:sz="4" w:space="0" w:color="auto"/>
              <w:right w:val="nil"/>
            </w:tcBorders>
            <w:tcMar>
              <w:top w:w="15" w:type="dxa"/>
              <w:left w:w="15" w:type="dxa"/>
              <w:right w:w="15" w:type="dxa"/>
            </w:tcMar>
            <w:vAlign w:val="center"/>
          </w:tcPr>
          <w:p w14:paraId="7D9C7A8E" w14:textId="79990B9A" w:rsidR="006954CD" w:rsidRPr="00A3182C" w:rsidRDefault="006954CD">
            <w:pPr>
              <w:rPr>
                <w:rFonts w:ascii="Times New Roman" w:eastAsia="Times New Roman" w:hAnsi="Times New Roman" w:cs="Times New Roman"/>
                <w:b/>
                <w:bCs/>
                <w:color w:val="000000" w:themeColor="text1"/>
                <w:sz w:val="21"/>
                <w:szCs w:val="21"/>
              </w:rPr>
            </w:pPr>
            <w:r w:rsidRPr="00A3182C">
              <w:rPr>
                <w:rFonts w:ascii="Times New Roman" w:eastAsia="Times New Roman" w:hAnsi="Times New Roman" w:cs="Times New Roman"/>
                <w:b/>
                <w:bCs/>
                <w:color w:val="000000" w:themeColor="text1"/>
                <w:sz w:val="21"/>
                <w:szCs w:val="21"/>
              </w:rPr>
              <w:t xml:space="preserve">Position </w:t>
            </w:r>
          </w:p>
        </w:tc>
        <w:tc>
          <w:tcPr>
            <w:tcW w:w="1260" w:type="dxa"/>
            <w:tcBorders>
              <w:top w:val="single" w:sz="4" w:space="0" w:color="auto"/>
              <w:left w:val="nil"/>
              <w:bottom w:val="single" w:sz="4" w:space="0" w:color="auto"/>
              <w:right w:val="nil"/>
            </w:tcBorders>
            <w:vAlign w:val="center"/>
          </w:tcPr>
          <w:p w14:paraId="2545250D" w14:textId="39C33691" w:rsidR="006954CD" w:rsidRPr="00A3182C" w:rsidRDefault="006954CD" w:rsidP="00A3182C">
            <w:pPr>
              <w:jc w:val="center"/>
              <w:rPr>
                <w:rFonts w:ascii="Times New Roman" w:eastAsia="Times New Roman" w:hAnsi="Times New Roman" w:cs="Times New Roman"/>
                <w:b/>
                <w:bCs/>
                <w:color w:val="000000" w:themeColor="text1"/>
                <w:sz w:val="21"/>
                <w:szCs w:val="21"/>
              </w:rPr>
            </w:pPr>
            <w:r w:rsidRPr="00A3182C">
              <w:rPr>
                <w:rFonts w:ascii="Times New Roman" w:eastAsia="Times New Roman" w:hAnsi="Times New Roman" w:cs="Times New Roman"/>
                <w:b/>
                <w:bCs/>
                <w:color w:val="000000" w:themeColor="text1"/>
                <w:sz w:val="21"/>
                <w:szCs w:val="21"/>
              </w:rPr>
              <w:t>Region</w:t>
            </w:r>
          </w:p>
        </w:tc>
        <w:tc>
          <w:tcPr>
            <w:tcW w:w="1710" w:type="dxa"/>
            <w:tcBorders>
              <w:top w:val="single" w:sz="4" w:space="0" w:color="auto"/>
              <w:left w:val="nil"/>
              <w:bottom w:val="single" w:sz="4" w:space="0" w:color="auto"/>
              <w:right w:val="nil"/>
            </w:tcBorders>
            <w:tcMar>
              <w:top w:w="15" w:type="dxa"/>
              <w:left w:w="15" w:type="dxa"/>
              <w:right w:w="15" w:type="dxa"/>
            </w:tcMar>
            <w:vAlign w:val="center"/>
          </w:tcPr>
          <w:p w14:paraId="2D257F0F" w14:textId="31B25921" w:rsidR="006954CD" w:rsidRPr="00A3182C" w:rsidRDefault="006954CD" w:rsidP="00A3182C">
            <w:pPr>
              <w:jc w:val="center"/>
              <w:rPr>
                <w:rFonts w:ascii="Times New Roman" w:eastAsia="Times New Roman" w:hAnsi="Times New Roman" w:cs="Times New Roman"/>
                <w:b/>
                <w:bCs/>
                <w:color w:val="000000" w:themeColor="text1"/>
                <w:sz w:val="21"/>
                <w:szCs w:val="21"/>
              </w:rPr>
            </w:pPr>
            <w:r w:rsidRPr="00A3182C">
              <w:rPr>
                <w:rFonts w:ascii="Times New Roman" w:eastAsia="Times New Roman" w:hAnsi="Times New Roman" w:cs="Times New Roman"/>
                <w:b/>
                <w:bCs/>
                <w:color w:val="000000" w:themeColor="text1"/>
                <w:sz w:val="21"/>
                <w:szCs w:val="21"/>
              </w:rPr>
              <w:t>Years</w:t>
            </w:r>
          </w:p>
          <w:p w14:paraId="45318C65" w14:textId="0273F514" w:rsidR="006954CD" w:rsidRPr="00A3182C" w:rsidRDefault="006954CD" w:rsidP="00A3182C">
            <w:pPr>
              <w:jc w:val="center"/>
              <w:rPr>
                <w:rFonts w:ascii="Times New Roman" w:eastAsia="Times New Roman" w:hAnsi="Times New Roman" w:cs="Times New Roman"/>
                <w:b/>
                <w:bCs/>
                <w:color w:val="000000" w:themeColor="text1"/>
                <w:sz w:val="21"/>
                <w:szCs w:val="21"/>
              </w:rPr>
            </w:pPr>
            <w:r w:rsidRPr="00A3182C">
              <w:rPr>
                <w:rFonts w:ascii="Times New Roman" w:eastAsia="Times New Roman" w:hAnsi="Times New Roman" w:cs="Times New Roman"/>
                <w:b/>
                <w:bCs/>
                <w:color w:val="000000" w:themeColor="text1"/>
                <w:sz w:val="21"/>
                <w:szCs w:val="21"/>
              </w:rPr>
              <w:t>of Experience</w:t>
            </w:r>
          </w:p>
        </w:tc>
      </w:tr>
      <w:tr w:rsidR="006954CD" w14:paraId="2D165708" w14:textId="77777777" w:rsidTr="50B5A393">
        <w:trPr>
          <w:trHeight w:val="285"/>
        </w:trPr>
        <w:tc>
          <w:tcPr>
            <w:tcW w:w="974" w:type="dxa"/>
            <w:tcBorders>
              <w:top w:val="single" w:sz="4" w:space="0" w:color="auto"/>
            </w:tcBorders>
            <w:tcMar>
              <w:top w:w="15" w:type="dxa"/>
              <w:left w:w="15" w:type="dxa"/>
              <w:right w:w="15" w:type="dxa"/>
            </w:tcMar>
            <w:vAlign w:val="bottom"/>
          </w:tcPr>
          <w:p w14:paraId="5E3F10DF" w14:textId="25355DDE"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1</w:t>
            </w:r>
          </w:p>
        </w:tc>
        <w:tc>
          <w:tcPr>
            <w:tcW w:w="2104" w:type="dxa"/>
            <w:tcBorders>
              <w:top w:val="single" w:sz="4" w:space="0" w:color="auto"/>
              <w:bottom w:val="nil"/>
              <w:right w:val="nil"/>
            </w:tcBorders>
            <w:tcMar>
              <w:top w:w="15" w:type="dxa"/>
              <w:left w:w="15" w:type="dxa"/>
              <w:right w:w="15" w:type="dxa"/>
            </w:tcMar>
            <w:vAlign w:val="bottom"/>
          </w:tcPr>
          <w:p w14:paraId="23BD23B7" w14:textId="32224BE1"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 xml:space="preserve">Retail </w:t>
            </w:r>
          </w:p>
        </w:tc>
        <w:tc>
          <w:tcPr>
            <w:tcW w:w="2502" w:type="dxa"/>
            <w:tcBorders>
              <w:top w:val="single" w:sz="4" w:space="0" w:color="auto"/>
              <w:left w:val="nil"/>
              <w:bottom w:val="nil"/>
              <w:right w:val="nil"/>
            </w:tcBorders>
            <w:tcMar>
              <w:top w:w="15" w:type="dxa"/>
              <w:left w:w="15" w:type="dxa"/>
              <w:right w:w="15" w:type="dxa"/>
            </w:tcMar>
            <w:vAlign w:val="bottom"/>
          </w:tcPr>
          <w:p w14:paraId="191BB635" w14:textId="0F35AB00"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Logistics Manager</w:t>
            </w:r>
          </w:p>
        </w:tc>
        <w:tc>
          <w:tcPr>
            <w:tcW w:w="1260" w:type="dxa"/>
            <w:tcBorders>
              <w:top w:val="single" w:sz="4" w:space="0" w:color="auto"/>
              <w:left w:val="nil"/>
              <w:bottom w:val="nil"/>
              <w:right w:val="nil"/>
            </w:tcBorders>
            <w:vAlign w:val="center"/>
          </w:tcPr>
          <w:p w14:paraId="36A7912E" w14:textId="4E5C7EE1" w:rsidR="006954CD" w:rsidRPr="00A3182C" w:rsidRDefault="00003FAC"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E.U.</w:t>
            </w:r>
          </w:p>
        </w:tc>
        <w:tc>
          <w:tcPr>
            <w:tcW w:w="1710" w:type="dxa"/>
            <w:tcBorders>
              <w:top w:val="single" w:sz="4" w:space="0" w:color="auto"/>
              <w:left w:val="nil"/>
              <w:bottom w:val="nil"/>
              <w:right w:val="nil"/>
            </w:tcBorders>
            <w:tcMar>
              <w:top w:w="15" w:type="dxa"/>
              <w:left w:w="15" w:type="dxa"/>
              <w:right w:w="15" w:type="dxa"/>
            </w:tcMar>
            <w:vAlign w:val="center"/>
          </w:tcPr>
          <w:p w14:paraId="4533E4A0" w14:textId="39240A2F"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15</w:t>
            </w:r>
          </w:p>
        </w:tc>
      </w:tr>
      <w:tr w:rsidR="006954CD" w14:paraId="4009EB9E" w14:textId="77777777" w:rsidTr="50B5A393">
        <w:trPr>
          <w:trHeight w:val="285"/>
        </w:trPr>
        <w:tc>
          <w:tcPr>
            <w:tcW w:w="974" w:type="dxa"/>
            <w:tcMar>
              <w:top w:w="15" w:type="dxa"/>
              <w:left w:w="15" w:type="dxa"/>
              <w:right w:w="15" w:type="dxa"/>
            </w:tcMar>
            <w:vAlign w:val="bottom"/>
          </w:tcPr>
          <w:p w14:paraId="097FD32A" w14:textId="0B5ED489"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2</w:t>
            </w:r>
          </w:p>
        </w:tc>
        <w:tc>
          <w:tcPr>
            <w:tcW w:w="2104" w:type="dxa"/>
            <w:tcBorders>
              <w:top w:val="nil"/>
              <w:bottom w:val="nil"/>
              <w:right w:val="nil"/>
            </w:tcBorders>
            <w:tcMar>
              <w:top w:w="15" w:type="dxa"/>
              <w:left w:w="15" w:type="dxa"/>
              <w:right w:w="15" w:type="dxa"/>
            </w:tcMar>
            <w:vAlign w:val="bottom"/>
          </w:tcPr>
          <w:p w14:paraId="2F1F9D8F" w14:textId="00EC815A"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 xml:space="preserve">Retail </w:t>
            </w:r>
          </w:p>
        </w:tc>
        <w:tc>
          <w:tcPr>
            <w:tcW w:w="2502" w:type="dxa"/>
            <w:tcBorders>
              <w:top w:val="nil"/>
              <w:left w:val="nil"/>
              <w:bottom w:val="nil"/>
              <w:right w:val="nil"/>
            </w:tcBorders>
            <w:tcMar>
              <w:top w:w="15" w:type="dxa"/>
              <w:left w:w="15" w:type="dxa"/>
              <w:right w:w="15" w:type="dxa"/>
            </w:tcMar>
            <w:vAlign w:val="bottom"/>
          </w:tcPr>
          <w:p w14:paraId="50CF0AA3" w14:textId="246B54DD"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Logistics supervisor</w:t>
            </w:r>
          </w:p>
        </w:tc>
        <w:tc>
          <w:tcPr>
            <w:tcW w:w="1260" w:type="dxa"/>
            <w:tcBorders>
              <w:top w:val="nil"/>
              <w:left w:val="nil"/>
              <w:bottom w:val="nil"/>
              <w:right w:val="nil"/>
            </w:tcBorders>
            <w:vAlign w:val="center"/>
          </w:tcPr>
          <w:p w14:paraId="74B4DB49" w14:textId="4B448F67" w:rsidR="006954CD" w:rsidRPr="00A3182C" w:rsidRDefault="007D39C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E.U.</w:t>
            </w:r>
          </w:p>
        </w:tc>
        <w:tc>
          <w:tcPr>
            <w:tcW w:w="1710" w:type="dxa"/>
            <w:tcBorders>
              <w:top w:val="nil"/>
              <w:left w:val="nil"/>
              <w:bottom w:val="nil"/>
              <w:right w:val="nil"/>
            </w:tcBorders>
            <w:tcMar>
              <w:top w:w="15" w:type="dxa"/>
              <w:left w:w="15" w:type="dxa"/>
              <w:right w:w="15" w:type="dxa"/>
            </w:tcMar>
            <w:vAlign w:val="center"/>
          </w:tcPr>
          <w:p w14:paraId="4D2F9646" w14:textId="378E99F3"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5</w:t>
            </w:r>
          </w:p>
        </w:tc>
      </w:tr>
      <w:tr w:rsidR="006954CD" w14:paraId="318D38B9" w14:textId="77777777" w:rsidTr="50B5A393">
        <w:trPr>
          <w:trHeight w:val="285"/>
        </w:trPr>
        <w:tc>
          <w:tcPr>
            <w:tcW w:w="974" w:type="dxa"/>
            <w:tcMar>
              <w:top w:w="15" w:type="dxa"/>
              <w:left w:w="15" w:type="dxa"/>
              <w:right w:w="15" w:type="dxa"/>
            </w:tcMar>
            <w:vAlign w:val="bottom"/>
          </w:tcPr>
          <w:p w14:paraId="50B255DE" w14:textId="500C38CD"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3</w:t>
            </w:r>
          </w:p>
        </w:tc>
        <w:tc>
          <w:tcPr>
            <w:tcW w:w="2104" w:type="dxa"/>
            <w:tcBorders>
              <w:top w:val="nil"/>
              <w:bottom w:val="nil"/>
              <w:right w:val="nil"/>
            </w:tcBorders>
            <w:tcMar>
              <w:top w:w="15" w:type="dxa"/>
              <w:left w:w="15" w:type="dxa"/>
              <w:right w:w="15" w:type="dxa"/>
            </w:tcMar>
            <w:vAlign w:val="bottom"/>
          </w:tcPr>
          <w:p w14:paraId="02DB1C90" w14:textId="3FE072C2"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 xml:space="preserve">Retail </w:t>
            </w:r>
          </w:p>
        </w:tc>
        <w:tc>
          <w:tcPr>
            <w:tcW w:w="2502" w:type="dxa"/>
            <w:tcBorders>
              <w:top w:val="nil"/>
              <w:left w:val="nil"/>
              <w:bottom w:val="nil"/>
              <w:right w:val="nil"/>
            </w:tcBorders>
            <w:tcMar>
              <w:top w:w="15" w:type="dxa"/>
              <w:left w:w="15" w:type="dxa"/>
              <w:right w:w="15" w:type="dxa"/>
            </w:tcMar>
            <w:vAlign w:val="bottom"/>
          </w:tcPr>
          <w:p w14:paraId="4C306E79" w14:textId="7C4CCC09"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Logistics supervisor</w:t>
            </w:r>
          </w:p>
        </w:tc>
        <w:tc>
          <w:tcPr>
            <w:tcW w:w="1260" w:type="dxa"/>
            <w:tcBorders>
              <w:top w:val="nil"/>
              <w:left w:val="nil"/>
              <w:bottom w:val="nil"/>
              <w:right w:val="nil"/>
            </w:tcBorders>
            <w:vAlign w:val="center"/>
          </w:tcPr>
          <w:p w14:paraId="5C9371C8" w14:textId="4B9005EC" w:rsidR="006954CD" w:rsidRPr="00A3182C" w:rsidRDefault="007D39C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E.U.</w:t>
            </w:r>
          </w:p>
        </w:tc>
        <w:tc>
          <w:tcPr>
            <w:tcW w:w="1710" w:type="dxa"/>
            <w:tcBorders>
              <w:top w:val="nil"/>
              <w:left w:val="nil"/>
              <w:bottom w:val="nil"/>
              <w:right w:val="nil"/>
            </w:tcBorders>
            <w:tcMar>
              <w:top w:w="15" w:type="dxa"/>
              <w:left w:w="15" w:type="dxa"/>
              <w:right w:w="15" w:type="dxa"/>
            </w:tcMar>
            <w:vAlign w:val="center"/>
          </w:tcPr>
          <w:p w14:paraId="4F2AB691" w14:textId="22B6DEF0"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21</w:t>
            </w:r>
          </w:p>
        </w:tc>
      </w:tr>
      <w:tr w:rsidR="006954CD" w14:paraId="254794AA" w14:textId="77777777" w:rsidTr="50B5A393">
        <w:trPr>
          <w:trHeight w:val="285"/>
        </w:trPr>
        <w:tc>
          <w:tcPr>
            <w:tcW w:w="974" w:type="dxa"/>
            <w:tcMar>
              <w:top w:w="15" w:type="dxa"/>
              <w:left w:w="15" w:type="dxa"/>
              <w:right w:w="15" w:type="dxa"/>
            </w:tcMar>
            <w:vAlign w:val="bottom"/>
          </w:tcPr>
          <w:p w14:paraId="47A5A19E" w14:textId="7FEBF0AD"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4</w:t>
            </w:r>
          </w:p>
        </w:tc>
        <w:tc>
          <w:tcPr>
            <w:tcW w:w="2104" w:type="dxa"/>
            <w:tcBorders>
              <w:top w:val="nil"/>
              <w:bottom w:val="nil"/>
              <w:right w:val="nil"/>
            </w:tcBorders>
            <w:tcMar>
              <w:top w:w="15" w:type="dxa"/>
              <w:left w:w="15" w:type="dxa"/>
              <w:right w:w="15" w:type="dxa"/>
            </w:tcMar>
            <w:vAlign w:val="bottom"/>
          </w:tcPr>
          <w:p w14:paraId="7F4FDCD4" w14:textId="7D24287A"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Retail and Wholesale</w:t>
            </w:r>
          </w:p>
        </w:tc>
        <w:tc>
          <w:tcPr>
            <w:tcW w:w="2502" w:type="dxa"/>
            <w:tcBorders>
              <w:top w:val="nil"/>
              <w:left w:val="nil"/>
              <w:bottom w:val="nil"/>
              <w:right w:val="nil"/>
            </w:tcBorders>
            <w:tcMar>
              <w:top w:w="15" w:type="dxa"/>
              <w:left w:w="15" w:type="dxa"/>
              <w:right w:w="15" w:type="dxa"/>
            </w:tcMar>
            <w:vAlign w:val="bottom"/>
          </w:tcPr>
          <w:p w14:paraId="7EFF9AA7" w14:textId="05C140B9"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Logistics Director</w:t>
            </w:r>
          </w:p>
        </w:tc>
        <w:tc>
          <w:tcPr>
            <w:tcW w:w="1260" w:type="dxa"/>
            <w:tcBorders>
              <w:top w:val="nil"/>
              <w:left w:val="nil"/>
              <w:bottom w:val="nil"/>
              <w:right w:val="nil"/>
            </w:tcBorders>
            <w:vAlign w:val="center"/>
          </w:tcPr>
          <w:p w14:paraId="46016895" w14:textId="0A8792F6" w:rsidR="006954CD" w:rsidRPr="00A3182C" w:rsidRDefault="007D39C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E.U.</w:t>
            </w:r>
          </w:p>
        </w:tc>
        <w:tc>
          <w:tcPr>
            <w:tcW w:w="1710" w:type="dxa"/>
            <w:tcBorders>
              <w:top w:val="nil"/>
              <w:left w:val="nil"/>
              <w:bottom w:val="nil"/>
              <w:right w:val="nil"/>
            </w:tcBorders>
            <w:tcMar>
              <w:top w:w="15" w:type="dxa"/>
              <w:left w:w="15" w:type="dxa"/>
              <w:right w:w="15" w:type="dxa"/>
            </w:tcMar>
            <w:vAlign w:val="center"/>
          </w:tcPr>
          <w:p w14:paraId="4EBFEE4C" w14:textId="61F3188B"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32</w:t>
            </w:r>
          </w:p>
        </w:tc>
      </w:tr>
      <w:tr w:rsidR="006954CD" w14:paraId="0BED463F" w14:textId="77777777" w:rsidTr="50B5A393">
        <w:trPr>
          <w:trHeight w:val="285"/>
        </w:trPr>
        <w:tc>
          <w:tcPr>
            <w:tcW w:w="974" w:type="dxa"/>
            <w:tcMar>
              <w:top w:w="15" w:type="dxa"/>
              <w:left w:w="15" w:type="dxa"/>
              <w:right w:w="15" w:type="dxa"/>
            </w:tcMar>
            <w:vAlign w:val="bottom"/>
          </w:tcPr>
          <w:p w14:paraId="497A971D" w14:textId="197D25BF"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5</w:t>
            </w:r>
          </w:p>
        </w:tc>
        <w:tc>
          <w:tcPr>
            <w:tcW w:w="2104" w:type="dxa"/>
            <w:tcBorders>
              <w:top w:val="nil"/>
              <w:bottom w:val="nil"/>
              <w:right w:val="nil"/>
            </w:tcBorders>
            <w:tcMar>
              <w:top w:w="15" w:type="dxa"/>
              <w:left w:w="15" w:type="dxa"/>
              <w:right w:w="15" w:type="dxa"/>
            </w:tcMar>
            <w:vAlign w:val="bottom"/>
          </w:tcPr>
          <w:p w14:paraId="7C144076" w14:textId="5E8C11BA"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 xml:space="preserve">Tourism and Retail </w:t>
            </w:r>
          </w:p>
        </w:tc>
        <w:tc>
          <w:tcPr>
            <w:tcW w:w="2502" w:type="dxa"/>
            <w:tcBorders>
              <w:top w:val="nil"/>
              <w:left w:val="nil"/>
              <w:bottom w:val="nil"/>
              <w:right w:val="nil"/>
            </w:tcBorders>
            <w:tcMar>
              <w:top w:w="15" w:type="dxa"/>
              <w:left w:w="15" w:type="dxa"/>
              <w:right w:w="15" w:type="dxa"/>
            </w:tcMar>
            <w:vAlign w:val="bottom"/>
          </w:tcPr>
          <w:p w14:paraId="395E159B" w14:textId="6439F4AE"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 xml:space="preserve">Digital Operations Manager </w:t>
            </w:r>
          </w:p>
        </w:tc>
        <w:tc>
          <w:tcPr>
            <w:tcW w:w="1260" w:type="dxa"/>
            <w:tcBorders>
              <w:top w:val="nil"/>
              <w:left w:val="nil"/>
              <w:bottom w:val="nil"/>
              <w:right w:val="nil"/>
            </w:tcBorders>
            <w:vAlign w:val="center"/>
          </w:tcPr>
          <w:p w14:paraId="243EB1FB" w14:textId="5333563A" w:rsidR="006954CD" w:rsidRPr="00A3182C" w:rsidRDefault="007D39C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E.U.</w:t>
            </w:r>
          </w:p>
        </w:tc>
        <w:tc>
          <w:tcPr>
            <w:tcW w:w="1710" w:type="dxa"/>
            <w:tcBorders>
              <w:top w:val="nil"/>
              <w:left w:val="nil"/>
              <w:bottom w:val="nil"/>
              <w:right w:val="nil"/>
            </w:tcBorders>
            <w:tcMar>
              <w:top w:w="15" w:type="dxa"/>
              <w:left w:w="15" w:type="dxa"/>
              <w:right w:w="15" w:type="dxa"/>
            </w:tcMar>
            <w:vAlign w:val="center"/>
          </w:tcPr>
          <w:p w14:paraId="12A7D50F" w14:textId="0FFAD15E"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13</w:t>
            </w:r>
          </w:p>
        </w:tc>
      </w:tr>
      <w:tr w:rsidR="006954CD" w14:paraId="267B0212" w14:textId="77777777" w:rsidTr="50B5A393">
        <w:trPr>
          <w:trHeight w:val="285"/>
        </w:trPr>
        <w:tc>
          <w:tcPr>
            <w:tcW w:w="974" w:type="dxa"/>
            <w:tcBorders>
              <w:left w:val="nil"/>
              <w:bottom w:val="nil"/>
              <w:right w:val="nil"/>
            </w:tcBorders>
            <w:tcMar>
              <w:top w:w="15" w:type="dxa"/>
              <w:left w:w="15" w:type="dxa"/>
              <w:right w:w="15" w:type="dxa"/>
            </w:tcMar>
            <w:vAlign w:val="bottom"/>
          </w:tcPr>
          <w:p w14:paraId="6046D5D2" w14:textId="2F048C0C"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6</w:t>
            </w:r>
          </w:p>
        </w:tc>
        <w:tc>
          <w:tcPr>
            <w:tcW w:w="2104" w:type="dxa"/>
            <w:tcBorders>
              <w:top w:val="nil"/>
              <w:left w:val="nil"/>
              <w:bottom w:val="nil"/>
              <w:right w:val="nil"/>
            </w:tcBorders>
            <w:tcMar>
              <w:top w:w="15" w:type="dxa"/>
              <w:left w:w="15" w:type="dxa"/>
              <w:right w:w="15" w:type="dxa"/>
            </w:tcMar>
            <w:vAlign w:val="bottom"/>
          </w:tcPr>
          <w:p w14:paraId="740A1156" w14:textId="5B76CD01"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Retail</w:t>
            </w:r>
          </w:p>
        </w:tc>
        <w:tc>
          <w:tcPr>
            <w:tcW w:w="2502" w:type="dxa"/>
            <w:tcBorders>
              <w:top w:val="nil"/>
              <w:left w:val="nil"/>
              <w:bottom w:val="nil"/>
              <w:right w:val="nil"/>
            </w:tcBorders>
            <w:tcMar>
              <w:top w:w="15" w:type="dxa"/>
              <w:left w:w="15" w:type="dxa"/>
              <w:right w:w="15" w:type="dxa"/>
            </w:tcMar>
            <w:vAlign w:val="bottom"/>
          </w:tcPr>
          <w:p w14:paraId="5DD8156C" w14:textId="7E3C8149"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Area Manager</w:t>
            </w:r>
          </w:p>
        </w:tc>
        <w:tc>
          <w:tcPr>
            <w:tcW w:w="1260" w:type="dxa"/>
            <w:tcBorders>
              <w:top w:val="nil"/>
              <w:left w:val="nil"/>
              <w:bottom w:val="nil"/>
              <w:right w:val="nil"/>
            </w:tcBorders>
            <w:vAlign w:val="center"/>
          </w:tcPr>
          <w:p w14:paraId="7C0D9E71" w14:textId="249BD101" w:rsidR="006954CD" w:rsidRPr="00A3182C" w:rsidRDefault="007D39C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E.U.</w:t>
            </w:r>
          </w:p>
        </w:tc>
        <w:tc>
          <w:tcPr>
            <w:tcW w:w="1710" w:type="dxa"/>
            <w:tcBorders>
              <w:top w:val="nil"/>
              <w:left w:val="nil"/>
              <w:bottom w:val="nil"/>
              <w:right w:val="nil"/>
            </w:tcBorders>
            <w:tcMar>
              <w:top w:w="15" w:type="dxa"/>
              <w:left w:w="15" w:type="dxa"/>
              <w:right w:w="15" w:type="dxa"/>
            </w:tcMar>
            <w:vAlign w:val="center"/>
          </w:tcPr>
          <w:p w14:paraId="472BF10D" w14:textId="43786027"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15</w:t>
            </w:r>
          </w:p>
        </w:tc>
      </w:tr>
      <w:tr w:rsidR="006954CD" w14:paraId="18D06E6B" w14:textId="77777777" w:rsidTr="50B5A393">
        <w:trPr>
          <w:trHeight w:val="285"/>
        </w:trPr>
        <w:tc>
          <w:tcPr>
            <w:tcW w:w="974" w:type="dxa"/>
            <w:tcBorders>
              <w:top w:val="nil"/>
              <w:left w:val="nil"/>
              <w:bottom w:val="nil"/>
              <w:right w:val="nil"/>
            </w:tcBorders>
            <w:tcMar>
              <w:top w:w="15" w:type="dxa"/>
              <w:left w:w="15" w:type="dxa"/>
              <w:right w:w="15" w:type="dxa"/>
            </w:tcMar>
            <w:vAlign w:val="bottom"/>
          </w:tcPr>
          <w:p w14:paraId="3BB2B8A6" w14:textId="7D0D67C0"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7</w:t>
            </w:r>
          </w:p>
        </w:tc>
        <w:tc>
          <w:tcPr>
            <w:tcW w:w="2104" w:type="dxa"/>
            <w:tcBorders>
              <w:top w:val="nil"/>
              <w:left w:val="nil"/>
              <w:bottom w:val="nil"/>
              <w:right w:val="nil"/>
            </w:tcBorders>
            <w:tcMar>
              <w:top w:w="15" w:type="dxa"/>
              <w:left w:w="15" w:type="dxa"/>
              <w:right w:w="15" w:type="dxa"/>
            </w:tcMar>
            <w:vAlign w:val="bottom"/>
          </w:tcPr>
          <w:p w14:paraId="729C4DC4" w14:textId="6B3996F1"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Retail</w:t>
            </w:r>
          </w:p>
        </w:tc>
        <w:tc>
          <w:tcPr>
            <w:tcW w:w="2502" w:type="dxa"/>
            <w:tcBorders>
              <w:top w:val="nil"/>
              <w:left w:val="nil"/>
              <w:bottom w:val="nil"/>
              <w:right w:val="nil"/>
            </w:tcBorders>
            <w:tcMar>
              <w:top w:w="15" w:type="dxa"/>
              <w:left w:w="15" w:type="dxa"/>
              <w:right w:w="15" w:type="dxa"/>
            </w:tcMar>
            <w:vAlign w:val="bottom"/>
          </w:tcPr>
          <w:p w14:paraId="67E0EBF6" w14:textId="6DB9F2A4"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General Manager</w:t>
            </w:r>
          </w:p>
        </w:tc>
        <w:tc>
          <w:tcPr>
            <w:tcW w:w="1260" w:type="dxa"/>
            <w:tcBorders>
              <w:top w:val="nil"/>
              <w:left w:val="nil"/>
              <w:bottom w:val="nil"/>
              <w:right w:val="nil"/>
            </w:tcBorders>
            <w:vAlign w:val="center"/>
          </w:tcPr>
          <w:p w14:paraId="1AB2F796" w14:textId="480708FA" w:rsidR="006954CD" w:rsidRPr="00A3182C" w:rsidRDefault="007D39C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E.U.</w:t>
            </w:r>
          </w:p>
        </w:tc>
        <w:tc>
          <w:tcPr>
            <w:tcW w:w="1710" w:type="dxa"/>
            <w:tcBorders>
              <w:top w:val="nil"/>
              <w:left w:val="nil"/>
              <w:bottom w:val="nil"/>
              <w:right w:val="nil"/>
            </w:tcBorders>
            <w:tcMar>
              <w:top w:w="15" w:type="dxa"/>
              <w:left w:w="15" w:type="dxa"/>
              <w:right w:w="15" w:type="dxa"/>
            </w:tcMar>
            <w:vAlign w:val="center"/>
          </w:tcPr>
          <w:p w14:paraId="51613EB1" w14:textId="6FA4A74C"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20</w:t>
            </w:r>
          </w:p>
        </w:tc>
      </w:tr>
      <w:tr w:rsidR="006954CD" w14:paraId="2EF10C3F" w14:textId="77777777" w:rsidTr="50B5A393">
        <w:trPr>
          <w:trHeight w:val="285"/>
        </w:trPr>
        <w:tc>
          <w:tcPr>
            <w:tcW w:w="974" w:type="dxa"/>
            <w:tcBorders>
              <w:top w:val="nil"/>
              <w:left w:val="nil"/>
              <w:bottom w:val="nil"/>
              <w:right w:val="nil"/>
            </w:tcBorders>
            <w:tcMar>
              <w:top w:w="15" w:type="dxa"/>
              <w:left w:w="15" w:type="dxa"/>
              <w:right w:w="15" w:type="dxa"/>
            </w:tcMar>
            <w:vAlign w:val="bottom"/>
          </w:tcPr>
          <w:p w14:paraId="7B8B898A" w14:textId="01F790CD" w:rsidR="006954CD" w:rsidRPr="00A3182C" w:rsidRDefault="006954CD"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8</w:t>
            </w:r>
          </w:p>
        </w:tc>
        <w:tc>
          <w:tcPr>
            <w:tcW w:w="2104" w:type="dxa"/>
            <w:tcBorders>
              <w:top w:val="nil"/>
              <w:left w:val="nil"/>
              <w:bottom w:val="nil"/>
              <w:right w:val="nil"/>
            </w:tcBorders>
            <w:tcMar>
              <w:top w:w="15" w:type="dxa"/>
              <w:left w:w="15" w:type="dxa"/>
              <w:right w:w="15" w:type="dxa"/>
            </w:tcMar>
            <w:vAlign w:val="bottom"/>
          </w:tcPr>
          <w:p w14:paraId="33287DC0" w14:textId="542051F8"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Computer</w:t>
            </w:r>
            <w:r w:rsidR="00137470">
              <w:rPr>
                <w:rFonts w:ascii="Times New Roman" w:eastAsia="Times New Roman" w:hAnsi="Times New Roman" w:cs="Times New Roman"/>
                <w:color w:val="000000" w:themeColor="text1"/>
                <w:sz w:val="21"/>
                <w:szCs w:val="21"/>
              </w:rPr>
              <w:t xml:space="preserve"> manufacturing</w:t>
            </w:r>
          </w:p>
        </w:tc>
        <w:tc>
          <w:tcPr>
            <w:tcW w:w="2502" w:type="dxa"/>
            <w:tcBorders>
              <w:top w:val="nil"/>
              <w:left w:val="nil"/>
              <w:bottom w:val="nil"/>
              <w:right w:val="nil"/>
            </w:tcBorders>
            <w:tcMar>
              <w:top w:w="15" w:type="dxa"/>
              <w:left w:w="15" w:type="dxa"/>
              <w:right w:w="15" w:type="dxa"/>
            </w:tcMar>
            <w:vAlign w:val="bottom"/>
          </w:tcPr>
          <w:p w14:paraId="336D0A17" w14:textId="29BAD3B9" w:rsidR="006954CD" w:rsidRPr="00A3182C" w:rsidRDefault="006954CD">
            <w:pP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Vice President</w:t>
            </w:r>
          </w:p>
        </w:tc>
        <w:tc>
          <w:tcPr>
            <w:tcW w:w="1260" w:type="dxa"/>
            <w:tcBorders>
              <w:top w:val="nil"/>
              <w:left w:val="nil"/>
              <w:bottom w:val="nil"/>
              <w:right w:val="nil"/>
            </w:tcBorders>
            <w:vAlign w:val="center"/>
          </w:tcPr>
          <w:p w14:paraId="36009A53" w14:textId="2546C74D" w:rsidR="006954CD" w:rsidRPr="00A3182C" w:rsidRDefault="00003FAC"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U.S.</w:t>
            </w:r>
          </w:p>
        </w:tc>
        <w:tc>
          <w:tcPr>
            <w:tcW w:w="1710" w:type="dxa"/>
            <w:tcBorders>
              <w:top w:val="nil"/>
              <w:left w:val="nil"/>
              <w:bottom w:val="nil"/>
              <w:right w:val="nil"/>
            </w:tcBorders>
            <w:tcMar>
              <w:top w:w="15" w:type="dxa"/>
              <w:left w:w="15" w:type="dxa"/>
              <w:right w:w="15" w:type="dxa"/>
            </w:tcMar>
            <w:vAlign w:val="center"/>
          </w:tcPr>
          <w:p w14:paraId="7928D7F0" w14:textId="2C0267BD" w:rsidR="006954CD" w:rsidRPr="00A3182C" w:rsidRDefault="00003FAC" w:rsidP="00A3182C">
            <w:pPr>
              <w:jc w:val="center"/>
              <w:rPr>
                <w:rFonts w:ascii="Times New Roman" w:eastAsia="Times New Roman" w:hAnsi="Times New Roman" w:cs="Times New Roman"/>
                <w:color w:val="000000" w:themeColor="text1"/>
                <w:sz w:val="21"/>
                <w:szCs w:val="21"/>
              </w:rPr>
            </w:pPr>
            <w:r w:rsidRPr="00A3182C">
              <w:rPr>
                <w:rFonts w:ascii="Times New Roman" w:eastAsia="Times New Roman" w:hAnsi="Times New Roman" w:cs="Times New Roman"/>
                <w:color w:val="000000" w:themeColor="text1"/>
                <w:sz w:val="21"/>
                <w:szCs w:val="21"/>
              </w:rPr>
              <w:t>26</w:t>
            </w:r>
          </w:p>
        </w:tc>
      </w:tr>
      <w:tr w:rsidR="007D39CA" w14:paraId="268AC1D2" w14:textId="77777777" w:rsidTr="50B5A393">
        <w:trPr>
          <w:trHeight w:val="285"/>
        </w:trPr>
        <w:tc>
          <w:tcPr>
            <w:tcW w:w="974" w:type="dxa"/>
            <w:tcBorders>
              <w:top w:val="nil"/>
              <w:left w:val="nil"/>
              <w:bottom w:val="nil"/>
              <w:right w:val="nil"/>
            </w:tcBorders>
            <w:tcMar>
              <w:top w:w="15" w:type="dxa"/>
              <w:left w:w="15" w:type="dxa"/>
              <w:right w:w="15" w:type="dxa"/>
            </w:tcMar>
            <w:vAlign w:val="bottom"/>
          </w:tcPr>
          <w:p w14:paraId="6E7DA76D" w14:textId="6C9A2E13" w:rsidR="007D39CA" w:rsidRPr="007D39CA" w:rsidRDefault="007D39C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9</w:t>
            </w:r>
          </w:p>
        </w:tc>
        <w:tc>
          <w:tcPr>
            <w:tcW w:w="2104" w:type="dxa"/>
            <w:tcBorders>
              <w:top w:val="nil"/>
              <w:left w:val="nil"/>
              <w:bottom w:val="nil"/>
              <w:right w:val="nil"/>
            </w:tcBorders>
            <w:tcMar>
              <w:top w:w="15" w:type="dxa"/>
              <w:left w:w="15" w:type="dxa"/>
              <w:right w:w="15" w:type="dxa"/>
            </w:tcMar>
            <w:vAlign w:val="bottom"/>
          </w:tcPr>
          <w:p w14:paraId="658CFCE7" w14:textId="6F652770" w:rsidR="007D39CA" w:rsidRPr="007D39CA" w:rsidRDefault="003E59BA">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Retail</w:t>
            </w:r>
          </w:p>
        </w:tc>
        <w:tc>
          <w:tcPr>
            <w:tcW w:w="2502" w:type="dxa"/>
            <w:tcBorders>
              <w:top w:val="nil"/>
              <w:left w:val="nil"/>
              <w:bottom w:val="nil"/>
              <w:right w:val="nil"/>
            </w:tcBorders>
            <w:tcMar>
              <w:top w:w="15" w:type="dxa"/>
              <w:left w:w="15" w:type="dxa"/>
              <w:right w:w="15" w:type="dxa"/>
            </w:tcMar>
            <w:vAlign w:val="bottom"/>
          </w:tcPr>
          <w:p w14:paraId="6CCF10F1" w14:textId="48A8EDF6" w:rsidR="007D39CA" w:rsidRPr="007D39CA" w:rsidRDefault="003E59BA">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Director</w:t>
            </w:r>
          </w:p>
        </w:tc>
        <w:tc>
          <w:tcPr>
            <w:tcW w:w="1260" w:type="dxa"/>
            <w:tcBorders>
              <w:top w:val="nil"/>
              <w:left w:val="nil"/>
              <w:bottom w:val="nil"/>
              <w:right w:val="nil"/>
            </w:tcBorders>
            <w:vAlign w:val="center"/>
          </w:tcPr>
          <w:p w14:paraId="5EC9E463" w14:textId="0B9E1B4E" w:rsidR="007D39CA" w:rsidRPr="007D39CA" w:rsidRDefault="003E59B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U.S.</w:t>
            </w:r>
          </w:p>
        </w:tc>
        <w:tc>
          <w:tcPr>
            <w:tcW w:w="1710" w:type="dxa"/>
            <w:tcBorders>
              <w:top w:val="nil"/>
              <w:left w:val="nil"/>
              <w:bottom w:val="nil"/>
              <w:right w:val="nil"/>
            </w:tcBorders>
            <w:tcMar>
              <w:top w:w="15" w:type="dxa"/>
              <w:left w:w="15" w:type="dxa"/>
              <w:right w:w="15" w:type="dxa"/>
            </w:tcMar>
            <w:vAlign w:val="center"/>
          </w:tcPr>
          <w:p w14:paraId="024B871B" w14:textId="308E8988" w:rsidR="003E59BA" w:rsidRPr="007D39CA" w:rsidRDefault="003E59BA" w:rsidP="00A3182C">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18</w:t>
            </w:r>
          </w:p>
        </w:tc>
      </w:tr>
      <w:tr w:rsidR="003E59BA" w14:paraId="4D80C44B" w14:textId="77777777" w:rsidTr="50B5A393">
        <w:trPr>
          <w:trHeight w:val="285"/>
        </w:trPr>
        <w:tc>
          <w:tcPr>
            <w:tcW w:w="974" w:type="dxa"/>
            <w:tcBorders>
              <w:top w:val="nil"/>
              <w:left w:val="nil"/>
              <w:bottom w:val="nil"/>
              <w:right w:val="nil"/>
            </w:tcBorders>
            <w:tcMar>
              <w:top w:w="15" w:type="dxa"/>
              <w:left w:w="15" w:type="dxa"/>
              <w:right w:w="15" w:type="dxa"/>
            </w:tcMar>
            <w:vAlign w:val="bottom"/>
          </w:tcPr>
          <w:p w14:paraId="5B10124D" w14:textId="3E1CE7CC" w:rsidR="003E59BA" w:rsidRDefault="003E59BA" w:rsidP="0019669F">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10</w:t>
            </w:r>
          </w:p>
        </w:tc>
        <w:tc>
          <w:tcPr>
            <w:tcW w:w="2104" w:type="dxa"/>
            <w:tcBorders>
              <w:top w:val="nil"/>
              <w:left w:val="nil"/>
              <w:bottom w:val="nil"/>
              <w:right w:val="nil"/>
            </w:tcBorders>
            <w:tcMar>
              <w:top w:w="15" w:type="dxa"/>
              <w:left w:w="15" w:type="dxa"/>
              <w:right w:w="15" w:type="dxa"/>
            </w:tcMar>
            <w:vAlign w:val="bottom"/>
          </w:tcPr>
          <w:p w14:paraId="129AF3A9" w14:textId="2E6918B7" w:rsidR="003E59BA" w:rsidRDefault="00FB5830">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R</w:t>
            </w:r>
            <w:r w:rsidR="00A36D7C">
              <w:rPr>
                <w:rFonts w:ascii="Times New Roman" w:eastAsia="Times New Roman" w:hAnsi="Times New Roman" w:cs="Times New Roman"/>
                <w:color w:val="000000" w:themeColor="text1"/>
                <w:sz w:val="21"/>
                <w:szCs w:val="21"/>
              </w:rPr>
              <w:t>ecycling</w:t>
            </w:r>
          </w:p>
        </w:tc>
        <w:tc>
          <w:tcPr>
            <w:tcW w:w="2502" w:type="dxa"/>
            <w:tcBorders>
              <w:top w:val="nil"/>
              <w:left w:val="nil"/>
              <w:bottom w:val="nil"/>
              <w:right w:val="nil"/>
            </w:tcBorders>
            <w:tcMar>
              <w:top w:w="15" w:type="dxa"/>
              <w:left w:w="15" w:type="dxa"/>
              <w:right w:w="15" w:type="dxa"/>
            </w:tcMar>
            <w:vAlign w:val="bottom"/>
          </w:tcPr>
          <w:p w14:paraId="5D824C25" w14:textId="04F7F534" w:rsidR="003E59BA" w:rsidRDefault="00A36D7C">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Chief Commercial Officer</w:t>
            </w:r>
          </w:p>
        </w:tc>
        <w:tc>
          <w:tcPr>
            <w:tcW w:w="1260" w:type="dxa"/>
            <w:tcBorders>
              <w:top w:val="nil"/>
              <w:left w:val="nil"/>
              <w:bottom w:val="nil"/>
              <w:right w:val="nil"/>
            </w:tcBorders>
            <w:vAlign w:val="center"/>
          </w:tcPr>
          <w:p w14:paraId="6AB018A8" w14:textId="67FED974" w:rsidR="003E59BA" w:rsidRDefault="00A36D7C" w:rsidP="0019669F">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U.S.</w:t>
            </w:r>
          </w:p>
        </w:tc>
        <w:tc>
          <w:tcPr>
            <w:tcW w:w="1710" w:type="dxa"/>
            <w:tcBorders>
              <w:top w:val="nil"/>
              <w:left w:val="nil"/>
              <w:bottom w:val="nil"/>
              <w:right w:val="nil"/>
            </w:tcBorders>
            <w:tcMar>
              <w:top w:w="15" w:type="dxa"/>
              <w:left w:w="15" w:type="dxa"/>
              <w:right w:w="15" w:type="dxa"/>
            </w:tcMar>
            <w:vAlign w:val="center"/>
          </w:tcPr>
          <w:p w14:paraId="00AED07C" w14:textId="1A5E0941" w:rsidR="003E59BA" w:rsidRDefault="00890829" w:rsidP="003E59BA">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28</w:t>
            </w:r>
          </w:p>
        </w:tc>
      </w:tr>
      <w:tr w:rsidR="00890829" w14:paraId="7097AB63" w14:textId="77777777" w:rsidTr="00072B2F">
        <w:trPr>
          <w:trHeight w:val="285"/>
        </w:trPr>
        <w:tc>
          <w:tcPr>
            <w:tcW w:w="974" w:type="dxa"/>
            <w:tcBorders>
              <w:top w:val="nil"/>
              <w:left w:val="nil"/>
              <w:bottom w:val="nil"/>
              <w:right w:val="nil"/>
            </w:tcBorders>
            <w:tcMar>
              <w:top w:w="15" w:type="dxa"/>
              <w:left w:w="15" w:type="dxa"/>
              <w:right w:w="15" w:type="dxa"/>
            </w:tcMar>
            <w:vAlign w:val="bottom"/>
          </w:tcPr>
          <w:p w14:paraId="2CDDF430" w14:textId="6C59E441" w:rsidR="00890829" w:rsidRDefault="00890829" w:rsidP="0019669F">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11</w:t>
            </w:r>
          </w:p>
        </w:tc>
        <w:tc>
          <w:tcPr>
            <w:tcW w:w="2104" w:type="dxa"/>
            <w:tcBorders>
              <w:top w:val="nil"/>
              <w:left w:val="nil"/>
              <w:bottom w:val="nil"/>
              <w:right w:val="nil"/>
            </w:tcBorders>
            <w:tcMar>
              <w:top w:w="15" w:type="dxa"/>
              <w:left w:w="15" w:type="dxa"/>
              <w:right w:w="15" w:type="dxa"/>
            </w:tcMar>
            <w:vAlign w:val="bottom"/>
          </w:tcPr>
          <w:p w14:paraId="59EDAE00" w14:textId="1E21DBE1" w:rsidR="00890829" w:rsidRDefault="002D3CE8">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Retail</w:t>
            </w:r>
          </w:p>
        </w:tc>
        <w:tc>
          <w:tcPr>
            <w:tcW w:w="2502" w:type="dxa"/>
            <w:tcBorders>
              <w:top w:val="nil"/>
              <w:left w:val="nil"/>
              <w:bottom w:val="nil"/>
              <w:right w:val="nil"/>
            </w:tcBorders>
            <w:tcMar>
              <w:top w:w="15" w:type="dxa"/>
              <w:left w:w="15" w:type="dxa"/>
              <w:right w:w="15" w:type="dxa"/>
            </w:tcMar>
            <w:vAlign w:val="bottom"/>
          </w:tcPr>
          <w:p w14:paraId="0E392AAB" w14:textId="5467FEF1" w:rsidR="00890829" w:rsidRDefault="00CD25A3">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Senior Vice President</w:t>
            </w:r>
          </w:p>
        </w:tc>
        <w:tc>
          <w:tcPr>
            <w:tcW w:w="1260" w:type="dxa"/>
            <w:tcBorders>
              <w:top w:val="nil"/>
              <w:left w:val="nil"/>
              <w:bottom w:val="nil"/>
              <w:right w:val="nil"/>
            </w:tcBorders>
            <w:vAlign w:val="center"/>
          </w:tcPr>
          <w:p w14:paraId="42268E7B" w14:textId="765EB558" w:rsidR="00890829" w:rsidRDefault="00CD25A3" w:rsidP="0019669F">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U.S.</w:t>
            </w:r>
          </w:p>
        </w:tc>
        <w:tc>
          <w:tcPr>
            <w:tcW w:w="1710" w:type="dxa"/>
            <w:tcBorders>
              <w:top w:val="nil"/>
              <w:left w:val="nil"/>
              <w:bottom w:val="nil"/>
              <w:right w:val="nil"/>
            </w:tcBorders>
            <w:tcMar>
              <w:top w:w="15" w:type="dxa"/>
              <w:left w:w="15" w:type="dxa"/>
              <w:right w:w="15" w:type="dxa"/>
            </w:tcMar>
            <w:vAlign w:val="center"/>
          </w:tcPr>
          <w:p w14:paraId="5C34CC8A" w14:textId="18AE9467" w:rsidR="00890829" w:rsidRDefault="00CD25A3" w:rsidP="003E59BA">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27</w:t>
            </w:r>
          </w:p>
        </w:tc>
      </w:tr>
      <w:tr w:rsidR="00CD25A3" w14:paraId="4C387EB4" w14:textId="77777777" w:rsidTr="00072B2F">
        <w:trPr>
          <w:trHeight w:val="285"/>
        </w:trPr>
        <w:tc>
          <w:tcPr>
            <w:tcW w:w="974" w:type="dxa"/>
            <w:tcBorders>
              <w:top w:val="nil"/>
              <w:left w:val="nil"/>
              <w:bottom w:val="single" w:sz="4" w:space="0" w:color="auto"/>
              <w:right w:val="nil"/>
            </w:tcBorders>
            <w:tcMar>
              <w:top w:w="15" w:type="dxa"/>
              <w:left w:w="15" w:type="dxa"/>
              <w:right w:w="15" w:type="dxa"/>
            </w:tcMar>
            <w:vAlign w:val="bottom"/>
          </w:tcPr>
          <w:p w14:paraId="6C936B7C" w14:textId="53627DDD" w:rsidR="00CD25A3" w:rsidRDefault="00CD25A3" w:rsidP="0019669F">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12</w:t>
            </w:r>
          </w:p>
        </w:tc>
        <w:tc>
          <w:tcPr>
            <w:tcW w:w="2104" w:type="dxa"/>
            <w:tcBorders>
              <w:top w:val="nil"/>
              <w:left w:val="nil"/>
              <w:bottom w:val="single" w:sz="4" w:space="0" w:color="auto"/>
              <w:right w:val="nil"/>
            </w:tcBorders>
            <w:tcMar>
              <w:top w:w="15" w:type="dxa"/>
              <w:left w:w="15" w:type="dxa"/>
              <w:right w:w="15" w:type="dxa"/>
            </w:tcMar>
            <w:vAlign w:val="bottom"/>
          </w:tcPr>
          <w:p w14:paraId="6E8F5620" w14:textId="1A2178A0" w:rsidR="00CD25A3" w:rsidRDefault="00137470">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Computer manufacturing</w:t>
            </w:r>
          </w:p>
        </w:tc>
        <w:tc>
          <w:tcPr>
            <w:tcW w:w="2502" w:type="dxa"/>
            <w:tcBorders>
              <w:top w:val="nil"/>
              <w:left w:val="nil"/>
              <w:bottom w:val="single" w:sz="4" w:space="0" w:color="auto"/>
              <w:right w:val="nil"/>
            </w:tcBorders>
            <w:tcMar>
              <w:top w:w="15" w:type="dxa"/>
              <w:left w:w="15" w:type="dxa"/>
              <w:right w:w="15" w:type="dxa"/>
            </w:tcMar>
            <w:vAlign w:val="bottom"/>
          </w:tcPr>
          <w:p w14:paraId="0BE800FD" w14:textId="5773F97A" w:rsidR="00CD25A3" w:rsidRDefault="00137470">
            <w:pP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Director</w:t>
            </w:r>
          </w:p>
        </w:tc>
        <w:tc>
          <w:tcPr>
            <w:tcW w:w="1260" w:type="dxa"/>
            <w:tcBorders>
              <w:top w:val="nil"/>
              <w:left w:val="nil"/>
              <w:bottom w:val="single" w:sz="4" w:space="0" w:color="auto"/>
              <w:right w:val="nil"/>
            </w:tcBorders>
            <w:vAlign w:val="center"/>
          </w:tcPr>
          <w:p w14:paraId="5E7AAB05" w14:textId="32E3FC03" w:rsidR="00CD25A3" w:rsidRDefault="00137470" w:rsidP="0019669F">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U.S.</w:t>
            </w:r>
          </w:p>
        </w:tc>
        <w:tc>
          <w:tcPr>
            <w:tcW w:w="1710" w:type="dxa"/>
            <w:tcBorders>
              <w:top w:val="nil"/>
              <w:left w:val="nil"/>
              <w:bottom w:val="single" w:sz="4" w:space="0" w:color="auto"/>
              <w:right w:val="nil"/>
            </w:tcBorders>
            <w:tcMar>
              <w:top w:w="15" w:type="dxa"/>
              <w:left w:w="15" w:type="dxa"/>
              <w:right w:w="15" w:type="dxa"/>
            </w:tcMar>
            <w:vAlign w:val="center"/>
          </w:tcPr>
          <w:p w14:paraId="22FFD91A" w14:textId="1E7A243F" w:rsidR="00CD25A3" w:rsidRDefault="006A4D59" w:rsidP="003E59BA">
            <w:pPr>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19</w:t>
            </w:r>
          </w:p>
        </w:tc>
      </w:tr>
      <w:tr w:rsidR="00154E61" w14:paraId="22904A51" w14:textId="77777777" w:rsidTr="00072B2F">
        <w:trPr>
          <w:trHeight w:val="285"/>
        </w:trPr>
        <w:tc>
          <w:tcPr>
            <w:tcW w:w="8550" w:type="dxa"/>
            <w:gridSpan w:val="5"/>
            <w:tcBorders>
              <w:top w:val="single" w:sz="4" w:space="0" w:color="auto"/>
              <w:left w:val="nil"/>
              <w:bottom w:val="single" w:sz="4" w:space="0" w:color="auto"/>
              <w:right w:val="nil"/>
            </w:tcBorders>
            <w:tcMar>
              <w:top w:w="15" w:type="dxa"/>
              <w:left w:w="15" w:type="dxa"/>
              <w:right w:w="15" w:type="dxa"/>
            </w:tcMar>
            <w:vAlign w:val="center"/>
          </w:tcPr>
          <w:p w14:paraId="0B6E53C4" w14:textId="19BA5578" w:rsidR="00154E61" w:rsidRDefault="50B5A393" w:rsidP="50B5A393">
            <w:pPr>
              <w:rPr>
                <w:rFonts w:ascii="Times New Roman" w:eastAsia="Times New Roman" w:hAnsi="Times New Roman" w:cs="Times New Roman"/>
                <w:color w:val="000000" w:themeColor="text1"/>
                <w:sz w:val="21"/>
                <w:szCs w:val="21"/>
              </w:rPr>
            </w:pPr>
            <w:r w:rsidRPr="50B5A393">
              <w:rPr>
                <w:rFonts w:ascii="Times New Roman" w:hAnsi="Times New Roman" w:cs="Times New Roman"/>
                <w:b/>
                <w:bCs/>
                <w:sz w:val="22"/>
                <w:szCs w:val="22"/>
              </w:rPr>
              <w:t>Source(s):</w:t>
            </w:r>
            <w:r w:rsidRPr="50B5A393">
              <w:rPr>
                <w:rFonts w:ascii="Times New Roman" w:hAnsi="Times New Roman" w:cs="Times New Roman"/>
                <w:sz w:val="22"/>
                <w:szCs w:val="22"/>
              </w:rPr>
              <w:t xml:space="preserve"> Table created by authors</w:t>
            </w:r>
          </w:p>
        </w:tc>
      </w:tr>
    </w:tbl>
    <w:p w14:paraId="337FF48B" w14:textId="77777777" w:rsidR="00A3182C" w:rsidRDefault="00A3182C" w:rsidP="00240696">
      <w:pPr>
        <w:jc w:val="center"/>
        <w:rPr>
          <w:rFonts w:ascii="Times New Roman" w:hAnsi="Times New Roman" w:cs="Times New Roman"/>
          <w:b/>
          <w:bCs/>
        </w:rPr>
      </w:pPr>
    </w:p>
    <w:p w14:paraId="7C552C66" w14:textId="633ADF28" w:rsidR="50B5A393" w:rsidRDefault="50B5A393" w:rsidP="50B5A393">
      <w:pPr>
        <w:jc w:val="center"/>
        <w:rPr>
          <w:rFonts w:ascii="Times New Roman" w:hAnsi="Times New Roman" w:cs="Times New Roman"/>
          <w:b/>
          <w:bCs/>
        </w:rPr>
      </w:pPr>
    </w:p>
    <w:p w14:paraId="12B621C2" w14:textId="713792A8" w:rsidR="50B5A393" w:rsidRDefault="50B5A393" w:rsidP="50B5A393">
      <w:pPr>
        <w:jc w:val="center"/>
        <w:rPr>
          <w:rFonts w:ascii="Times New Roman" w:hAnsi="Times New Roman" w:cs="Times New Roman"/>
          <w:b/>
          <w:bCs/>
        </w:rPr>
      </w:pPr>
    </w:p>
    <w:p w14:paraId="6C8349EF" w14:textId="0AF1E20F" w:rsidR="50B5A393" w:rsidRDefault="50B5A393" w:rsidP="50B5A393">
      <w:pPr>
        <w:rPr>
          <w:rFonts w:ascii="Times New Roman" w:hAnsi="Times New Roman" w:cs="Times New Roman"/>
          <w:b/>
          <w:bCs/>
        </w:rPr>
      </w:pPr>
    </w:p>
    <w:p w14:paraId="31E0110E" w14:textId="02E82C61" w:rsidR="50B5A393" w:rsidRDefault="50B5A393">
      <w:r>
        <w:br w:type="page"/>
      </w:r>
    </w:p>
    <w:p w14:paraId="027E4936" w14:textId="723E1C8E" w:rsidR="50B5A393" w:rsidRDefault="50B5A393" w:rsidP="50B5A393">
      <w:pPr>
        <w:rPr>
          <w:rFonts w:ascii="Times New Roman" w:hAnsi="Times New Roman" w:cs="Times New Roman"/>
          <w:b/>
          <w:bCs/>
        </w:rPr>
      </w:pPr>
      <w:r w:rsidRPr="50B5A393">
        <w:rPr>
          <w:rFonts w:ascii="Times New Roman" w:hAnsi="Times New Roman" w:cs="Times New Roman"/>
          <w:b/>
          <w:bCs/>
        </w:rPr>
        <w:lastRenderedPageBreak/>
        <w:t>Supplementary File S1 References</w:t>
      </w:r>
    </w:p>
    <w:p w14:paraId="4D63CD9C" w14:textId="326F0F70" w:rsidR="50B5A393" w:rsidRDefault="50B5A393" w:rsidP="50B5A393">
      <w:pPr>
        <w:rPr>
          <w:rFonts w:ascii="Times New Roman" w:hAnsi="Times New Roman" w:cs="Times New Roman"/>
          <w:b/>
          <w:bCs/>
        </w:rPr>
      </w:pPr>
    </w:p>
    <w:p w14:paraId="60C05571" w14:textId="36309B57" w:rsidR="50B5A393" w:rsidRDefault="3EC9761B" w:rsidP="3EC9761B">
      <w:pPr>
        <w:pStyle w:val="Bibliography"/>
        <w:spacing w:after="240"/>
        <w:ind w:left="720" w:hanging="720"/>
        <w:rPr>
          <w:lang w:val="en-GB"/>
        </w:rPr>
      </w:pPr>
      <w:proofErr w:type="spellStart"/>
      <w:r w:rsidRPr="3EC9761B">
        <w:rPr>
          <w:rFonts w:ascii="Times New Roman" w:eastAsia="Times New Roman" w:hAnsi="Times New Roman" w:cs="Times New Roman"/>
          <w:color w:val="000000" w:themeColor="text1"/>
          <w:lang w:val="en-GB"/>
        </w:rPr>
        <w:t>Ambilkar</w:t>
      </w:r>
      <w:proofErr w:type="spellEnd"/>
      <w:r w:rsidRPr="3EC9761B">
        <w:rPr>
          <w:rFonts w:ascii="Times New Roman" w:eastAsia="Times New Roman" w:hAnsi="Times New Roman" w:cs="Times New Roman"/>
          <w:color w:val="000000" w:themeColor="text1"/>
          <w:lang w:val="en-GB"/>
        </w:rPr>
        <w:t xml:space="preserve">, P., </w:t>
      </w:r>
      <w:proofErr w:type="spellStart"/>
      <w:r w:rsidRPr="3EC9761B">
        <w:rPr>
          <w:rFonts w:ascii="Times New Roman" w:eastAsia="Times New Roman" w:hAnsi="Times New Roman" w:cs="Times New Roman"/>
          <w:color w:val="000000" w:themeColor="text1"/>
          <w:lang w:val="en-GB"/>
        </w:rPr>
        <w:t>Dohale</w:t>
      </w:r>
      <w:proofErr w:type="spellEnd"/>
      <w:r w:rsidRPr="3EC9761B">
        <w:rPr>
          <w:rFonts w:ascii="Times New Roman" w:eastAsia="Times New Roman" w:hAnsi="Times New Roman" w:cs="Times New Roman"/>
          <w:color w:val="000000" w:themeColor="text1"/>
          <w:lang w:val="en-GB"/>
        </w:rPr>
        <w:t xml:space="preserve">, V., Gunasekaran, A., and </w:t>
      </w:r>
      <w:proofErr w:type="spellStart"/>
      <w:r w:rsidRPr="3EC9761B">
        <w:rPr>
          <w:rFonts w:ascii="Times New Roman" w:eastAsia="Times New Roman" w:hAnsi="Times New Roman" w:cs="Times New Roman"/>
          <w:color w:val="000000" w:themeColor="text1"/>
          <w:lang w:val="en-GB"/>
        </w:rPr>
        <w:t>Bilolikar</w:t>
      </w:r>
      <w:proofErr w:type="spellEnd"/>
      <w:r w:rsidRPr="3EC9761B">
        <w:rPr>
          <w:rFonts w:ascii="Times New Roman" w:eastAsia="Times New Roman" w:hAnsi="Times New Roman" w:cs="Times New Roman"/>
          <w:color w:val="000000" w:themeColor="text1"/>
          <w:lang w:val="en-GB"/>
        </w:rPr>
        <w:t xml:space="preserve">, V. (2022), “Product returns management: a comprehensive review and future research agenda”, </w:t>
      </w:r>
      <w:r w:rsidRPr="3EC9761B">
        <w:rPr>
          <w:rFonts w:ascii="Times New Roman" w:eastAsia="Times New Roman" w:hAnsi="Times New Roman" w:cs="Times New Roman"/>
          <w:i/>
          <w:iCs/>
          <w:color w:val="000000" w:themeColor="text1"/>
          <w:lang w:val="en-GB"/>
        </w:rPr>
        <w:t>International Journal of Production Research</w:t>
      </w:r>
      <w:r w:rsidRPr="3EC9761B">
        <w:rPr>
          <w:rFonts w:ascii="Times New Roman" w:eastAsia="Times New Roman" w:hAnsi="Times New Roman" w:cs="Times New Roman"/>
          <w:color w:val="000000" w:themeColor="text1"/>
          <w:lang w:val="en-GB"/>
        </w:rPr>
        <w:t>, Vol. 60 No. 12, pp. 3920–3944. https://doi.org/10.1080/00207543.2021.1933645</w:t>
      </w:r>
      <w:r w:rsidRPr="3EC9761B">
        <w:rPr>
          <w:lang w:val="en-GB"/>
        </w:rPr>
        <w:t xml:space="preserve"> </w:t>
      </w:r>
    </w:p>
    <w:p w14:paraId="2F5A4042" w14:textId="3AADB308" w:rsidR="50B5A393" w:rsidRDefault="3EC9761B" w:rsidP="3EC9761B">
      <w:pPr>
        <w:pStyle w:val="Bibliography"/>
        <w:spacing w:after="240"/>
        <w:ind w:left="720" w:hanging="720"/>
        <w:rPr>
          <w:rFonts w:ascii="Times New Roman" w:eastAsia="Times New Roman" w:hAnsi="Times New Roman" w:cs="Times New Roman"/>
          <w:lang w:val="en-GB"/>
        </w:rPr>
      </w:pPr>
      <w:r w:rsidRPr="3EC9761B">
        <w:rPr>
          <w:rFonts w:ascii="Times New Roman" w:eastAsia="Times New Roman" w:hAnsi="Times New Roman" w:cs="Times New Roman"/>
          <w:color w:val="000000" w:themeColor="text1"/>
          <w:lang w:val="en-GB"/>
        </w:rPr>
        <w:t xml:space="preserve">Bernon, M., Rossi, S., and Cullen, J. (2011), “Retail reverse logistics: a call and grounding framework for research”, </w:t>
      </w:r>
      <w:r w:rsidRPr="3EC9761B">
        <w:rPr>
          <w:rFonts w:ascii="Times New Roman" w:eastAsia="Times New Roman" w:hAnsi="Times New Roman" w:cs="Times New Roman"/>
          <w:i/>
          <w:iCs/>
          <w:color w:val="000000" w:themeColor="text1"/>
          <w:lang w:val="en-GB"/>
        </w:rPr>
        <w:t>International Journal of Physical Distribution &amp; Logistics Management</w:t>
      </w:r>
      <w:r w:rsidRPr="3EC9761B">
        <w:rPr>
          <w:rFonts w:ascii="Times New Roman" w:eastAsia="Times New Roman" w:hAnsi="Times New Roman" w:cs="Times New Roman"/>
          <w:color w:val="000000" w:themeColor="text1"/>
          <w:lang w:val="en-GB"/>
        </w:rPr>
        <w:t xml:space="preserve">, Vol. 41 No. 5, pp. 484-510. </w:t>
      </w:r>
      <w:r w:rsidRPr="3EC9761B">
        <w:rPr>
          <w:rFonts w:ascii="Times New Roman" w:eastAsia="Times New Roman" w:hAnsi="Times New Roman" w:cs="Times New Roman"/>
          <w:lang w:val="en-GB"/>
        </w:rPr>
        <w:t>https://doi.org/10.1108/09600031111138835</w:t>
      </w:r>
    </w:p>
    <w:p w14:paraId="3088948C" w14:textId="10AD1A74" w:rsidR="50B5A393" w:rsidRDefault="3EC9761B" w:rsidP="3EC9761B">
      <w:pPr>
        <w:pStyle w:val="Bibliography"/>
        <w:spacing w:after="240"/>
        <w:ind w:left="720" w:hanging="720"/>
        <w:rPr>
          <w:rFonts w:ascii="Times New Roman" w:eastAsia="Times New Roman" w:hAnsi="Times New Roman" w:cs="Times New Roman"/>
          <w:color w:val="000000" w:themeColor="text1"/>
          <w:lang w:val="en-GB"/>
        </w:rPr>
      </w:pPr>
      <w:r w:rsidRPr="3EC9761B">
        <w:rPr>
          <w:rFonts w:ascii="Times New Roman" w:eastAsia="Times New Roman" w:hAnsi="Times New Roman" w:cs="Times New Roman"/>
          <w:color w:val="000000" w:themeColor="text1"/>
          <w:lang w:val="en-GB"/>
        </w:rPr>
        <w:t xml:space="preserve">Bernon, M., Cullen, J., and Gorst, J. (2016), “Online retail returns management: integration within an omni-channel distribution context”, </w:t>
      </w:r>
      <w:r w:rsidRPr="3EC9761B">
        <w:rPr>
          <w:rFonts w:ascii="Times New Roman" w:eastAsia="Times New Roman" w:hAnsi="Times New Roman" w:cs="Times New Roman"/>
          <w:i/>
          <w:iCs/>
          <w:color w:val="000000" w:themeColor="text1"/>
          <w:lang w:val="en-GB"/>
        </w:rPr>
        <w:t>International Journal of Physical Distribution &amp; Logistics Management</w:t>
      </w:r>
      <w:r w:rsidRPr="3EC9761B">
        <w:rPr>
          <w:rFonts w:ascii="Times New Roman" w:eastAsia="Times New Roman" w:hAnsi="Times New Roman" w:cs="Times New Roman"/>
          <w:color w:val="000000" w:themeColor="text1"/>
          <w:lang w:val="en-GB"/>
        </w:rPr>
        <w:t xml:space="preserve">, Vol. 46 No. 6/7, pp. 584–605. </w:t>
      </w:r>
      <w:r w:rsidRPr="3EC9761B">
        <w:rPr>
          <w:rFonts w:ascii="Times New Roman" w:eastAsia="Times New Roman" w:hAnsi="Times New Roman" w:cs="Times New Roman"/>
          <w:lang w:val="en-GB"/>
        </w:rPr>
        <w:t xml:space="preserve">https://doi.org/10.1108/IJPDLM-01-2015-0010 </w:t>
      </w:r>
    </w:p>
    <w:p w14:paraId="5CCAF8D2" w14:textId="25EE13DA" w:rsidR="50B5A393" w:rsidRDefault="3EC9761B" w:rsidP="26F57B4B">
      <w:pPr>
        <w:pStyle w:val="Bibliography"/>
        <w:spacing w:after="240"/>
        <w:ind w:left="720" w:hanging="720"/>
        <w:rPr>
          <w:rFonts w:ascii="Times New Roman" w:eastAsia="Times New Roman" w:hAnsi="Times New Roman" w:cs="Times New Roman"/>
        </w:rPr>
      </w:pPr>
      <w:r w:rsidRPr="3EC9761B">
        <w:rPr>
          <w:rFonts w:ascii="Times New Roman" w:eastAsia="Times New Roman" w:hAnsi="Times New Roman" w:cs="Times New Roman"/>
          <w:color w:val="000000" w:themeColor="text1"/>
          <w:lang w:val="en-GB"/>
        </w:rPr>
        <w:t xml:space="preserve">Carter, C. R., and </w:t>
      </w:r>
      <w:proofErr w:type="spellStart"/>
      <w:r w:rsidRPr="3EC9761B">
        <w:rPr>
          <w:rFonts w:ascii="Times New Roman" w:eastAsia="Times New Roman" w:hAnsi="Times New Roman" w:cs="Times New Roman"/>
          <w:color w:val="000000" w:themeColor="text1"/>
          <w:lang w:val="en-GB"/>
        </w:rPr>
        <w:t>Ellram</w:t>
      </w:r>
      <w:proofErr w:type="spellEnd"/>
      <w:r w:rsidRPr="3EC9761B">
        <w:rPr>
          <w:rFonts w:ascii="Times New Roman" w:eastAsia="Times New Roman" w:hAnsi="Times New Roman" w:cs="Times New Roman"/>
          <w:color w:val="000000" w:themeColor="text1"/>
          <w:lang w:val="en-GB"/>
        </w:rPr>
        <w:t>, L. M. (1998), “Reverse logistics: A review of the literature and framework for future investigation”, </w:t>
      </w:r>
      <w:r w:rsidRPr="3EC9761B">
        <w:rPr>
          <w:rFonts w:ascii="Times New Roman" w:eastAsia="Times New Roman" w:hAnsi="Times New Roman" w:cs="Times New Roman"/>
          <w:i/>
          <w:iCs/>
          <w:color w:val="000000" w:themeColor="text1"/>
          <w:lang w:val="en-GB"/>
        </w:rPr>
        <w:t>Journal of Business Logistics</w:t>
      </w:r>
      <w:r w:rsidRPr="3EC9761B">
        <w:rPr>
          <w:rFonts w:ascii="Times New Roman" w:eastAsia="Times New Roman" w:hAnsi="Times New Roman" w:cs="Times New Roman"/>
          <w:color w:val="000000" w:themeColor="text1"/>
          <w:lang w:val="en-GB"/>
        </w:rPr>
        <w:t xml:space="preserve">, Vol. 19 No. 1, pp. 85–102. </w:t>
      </w:r>
      <w:r w:rsidRPr="3EC9761B">
        <w:rPr>
          <w:rFonts w:ascii="Times New Roman" w:eastAsia="Times New Roman" w:hAnsi="Times New Roman" w:cs="Times New Roman"/>
        </w:rPr>
        <w:t xml:space="preserve"> </w:t>
      </w:r>
    </w:p>
    <w:p w14:paraId="5089CA2A" w14:textId="0DEB5D16" w:rsidR="50B5A393" w:rsidRDefault="3EC9761B" w:rsidP="3EC9761B">
      <w:pPr>
        <w:pStyle w:val="Bibliography"/>
        <w:spacing w:after="240"/>
        <w:ind w:left="720" w:hanging="720"/>
        <w:rPr>
          <w:rFonts w:ascii="Times New Roman" w:eastAsia="Times New Roman" w:hAnsi="Times New Roman" w:cs="Times New Roman"/>
          <w:lang w:val="en-GB"/>
        </w:rPr>
      </w:pPr>
      <w:r w:rsidRPr="3EC9761B">
        <w:rPr>
          <w:rFonts w:ascii="Times New Roman" w:eastAsia="Times New Roman" w:hAnsi="Times New Roman" w:cs="Times New Roman"/>
          <w:color w:val="000000" w:themeColor="text1"/>
          <w:lang w:val="en-GB"/>
        </w:rPr>
        <w:t xml:space="preserve">Chen, H., Anselmi, K., Falasca, M., and Tian, Y. (2017), “Measuring returns management orientation”, </w:t>
      </w:r>
      <w:r w:rsidRPr="3EC9761B">
        <w:rPr>
          <w:rFonts w:ascii="Times New Roman" w:eastAsia="Times New Roman" w:hAnsi="Times New Roman" w:cs="Times New Roman"/>
          <w:i/>
          <w:iCs/>
          <w:color w:val="000000" w:themeColor="text1"/>
          <w:lang w:val="en-GB"/>
        </w:rPr>
        <w:t>International Journal of Logistics Management</w:t>
      </w:r>
      <w:r w:rsidRPr="3EC9761B">
        <w:rPr>
          <w:rFonts w:ascii="Times New Roman" w:eastAsia="Times New Roman" w:hAnsi="Times New Roman" w:cs="Times New Roman"/>
          <w:color w:val="000000" w:themeColor="text1"/>
          <w:lang w:val="en-GB"/>
        </w:rPr>
        <w:t>, Vol. 28 No. 2, pp. 251–265. https://doi.org/10.1108/IJLM-06-2015-0095</w:t>
      </w:r>
      <w:r w:rsidRPr="3EC9761B">
        <w:rPr>
          <w:rFonts w:ascii="Times New Roman" w:eastAsia="Times New Roman" w:hAnsi="Times New Roman" w:cs="Times New Roman"/>
          <w:lang w:val="en-GB"/>
        </w:rPr>
        <w:t xml:space="preserve"> </w:t>
      </w:r>
    </w:p>
    <w:p w14:paraId="5684B586" w14:textId="5FC3C04D" w:rsidR="50B5A393" w:rsidRDefault="3EC9761B" w:rsidP="3EC9761B">
      <w:pPr>
        <w:spacing w:after="240"/>
        <w:ind w:left="720" w:hanging="720"/>
      </w:pPr>
      <w:proofErr w:type="spellStart"/>
      <w:r w:rsidRPr="3EC9761B">
        <w:rPr>
          <w:rFonts w:ascii="Times New Roman" w:eastAsia="Times New Roman" w:hAnsi="Times New Roman" w:cs="Times New Roman"/>
          <w:color w:val="000000" w:themeColor="text1"/>
          <w:lang w:val="en-GB"/>
        </w:rPr>
        <w:t>Dapiran</w:t>
      </w:r>
      <w:proofErr w:type="spellEnd"/>
      <w:r w:rsidRPr="3EC9761B">
        <w:rPr>
          <w:rFonts w:ascii="Times New Roman" w:eastAsia="Times New Roman" w:hAnsi="Times New Roman" w:cs="Times New Roman"/>
          <w:color w:val="000000" w:themeColor="text1"/>
          <w:lang w:val="en-GB"/>
        </w:rPr>
        <w:t xml:space="preserve">, G. P., and Kam, B. H. (2017), “Value creation and appropriation in product returns management”, </w:t>
      </w:r>
      <w:r w:rsidRPr="3EC9761B">
        <w:rPr>
          <w:rFonts w:ascii="Times New Roman" w:eastAsia="Times New Roman" w:hAnsi="Times New Roman" w:cs="Times New Roman"/>
          <w:i/>
          <w:iCs/>
          <w:color w:val="000000" w:themeColor="text1"/>
          <w:lang w:val="en-GB"/>
        </w:rPr>
        <w:t>International Journal of Logistics Management</w:t>
      </w:r>
      <w:r w:rsidRPr="3EC9761B">
        <w:rPr>
          <w:rFonts w:ascii="Times New Roman" w:eastAsia="Times New Roman" w:hAnsi="Times New Roman" w:cs="Times New Roman"/>
          <w:color w:val="000000" w:themeColor="text1"/>
          <w:lang w:val="en-GB"/>
        </w:rPr>
        <w:t>, Vol. 28 No. 3, pp. 821–840. https://doi.org/10.1108/IJLM-11-2015-0199</w:t>
      </w:r>
      <w:r w:rsidRPr="3EC9761B">
        <w:rPr>
          <w:rFonts w:ascii="Times New Roman" w:eastAsia="Times New Roman" w:hAnsi="Times New Roman" w:cs="Times New Roman"/>
          <w:lang w:val="en-GB"/>
        </w:rPr>
        <w:t xml:space="preserve"> </w:t>
      </w:r>
    </w:p>
    <w:p w14:paraId="788501BB" w14:textId="7A1CB18E" w:rsidR="50B5A393" w:rsidRDefault="3EC9761B" w:rsidP="3EC9761B">
      <w:pPr>
        <w:spacing w:after="240"/>
        <w:ind w:left="810" w:hanging="810"/>
      </w:pPr>
      <w:r w:rsidRPr="3EC9761B">
        <w:rPr>
          <w:rFonts w:ascii="Times New Roman" w:eastAsia="Times New Roman" w:hAnsi="Times New Roman" w:cs="Times New Roman"/>
          <w:color w:val="000000" w:themeColor="text1"/>
          <w:lang w:val="en-GB"/>
        </w:rPr>
        <w:t>de Leeuw, S</w:t>
      </w:r>
      <w:r w:rsidRPr="3EC9761B">
        <w:rPr>
          <w:rFonts w:ascii="Times New Roman" w:eastAsia="Times New Roman" w:hAnsi="Times New Roman" w:cs="Times New Roman"/>
          <w:color w:val="222222"/>
          <w:lang w:val="en-GB"/>
        </w:rPr>
        <w:t xml:space="preserve">., Minguela-Rata, B., Sabet, E., Boter, J., and Sigurðardóttir, R. (2016), “Trade-offs in managing commercial consumer returns for online apparel retail,” </w:t>
      </w:r>
      <w:r w:rsidRPr="3EC9761B">
        <w:rPr>
          <w:rFonts w:ascii="Times New Roman" w:eastAsia="Times New Roman" w:hAnsi="Times New Roman" w:cs="Times New Roman"/>
          <w:i/>
          <w:iCs/>
          <w:color w:val="222222"/>
          <w:lang w:val="en-GB"/>
        </w:rPr>
        <w:t>International Journal of Operations &amp; Production Management</w:t>
      </w:r>
      <w:r w:rsidRPr="3EC9761B">
        <w:rPr>
          <w:rFonts w:ascii="Times New Roman" w:eastAsia="Times New Roman" w:hAnsi="Times New Roman" w:cs="Times New Roman"/>
          <w:color w:val="222222"/>
          <w:lang w:val="en-GB"/>
        </w:rPr>
        <w:t xml:space="preserve">, Vol. </w:t>
      </w:r>
      <w:r w:rsidRPr="3EC9761B">
        <w:rPr>
          <w:rFonts w:ascii="Times New Roman" w:eastAsia="Times New Roman" w:hAnsi="Times New Roman" w:cs="Times New Roman"/>
          <w:i/>
          <w:iCs/>
          <w:color w:val="222222"/>
          <w:lang w:val="en-GB"/>
        </w:rPr>
        <w:t>36</w:t>
      </w:r>
      <w:r w:rsidRPr="3EC9761B">
        <w:rPr>
          <w:rFonts w:ascii="Times New Roman" w:eastAsia="Times New Roman" w:hAnsi="Times New Roman" w:cs="Times New Roman"/>
          <w:color w:val="222222"/>
          <w:lang w:val="en-GB"/>
        </w:rPr>
        <w:t xml:space="preserve"> No. 6, pp. 710</w:t>
      </w:r>
      <w:r w:rsidRPr="3EC9761B">
        <w:rPr>
          <w:rFonts w:ascii="Times New Roman" w:eastAsia="Times New Roman" w:hAnsi="Times New Roman" w:cs="Times New Roman"/>
          <w:color w:val="000000" w:themeColor="text1"/>
          <w:lang w:val="en-GB"/>
        </w:rPr>
        <w:t>–</w:t>
      </w:r>
      <w:r w:rsidRPr="3EC9761B">
        <w:rPr>
          <w:rFonts w:ascii="Times New Roman" w:eastAsia="Times New Roman" w:hAnsi="Times New Roman" w:cs="Times New Roman"/>
          <w:color w:val="222222"/>
          <w:lang w:val="en-GB"/>
        </w:rPr>
        <w:t>731. https://doi.org/10.1108/IJOPM-01-2015-0010</w:t>
      </w:r>
      <w:r w:rsidRPr="3EC9761B">
        <w:rPr>
          <w:lang w:val="en-GB"/>
        </w:rPr>
        <w:t xml:space="preserve"> </w:t>
      </w:r>
    </w:p>
    <w:p w14:paraId="1924FFEA" w14:textId="39CE4CA9"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Dowlatshahi, S. (2000), “Developing a theory of reverse logistics”, </w:t>
      </w:r>
      <w:r w:rsidRPr="3EC9761B">
        <w:rPr>
          <w:rFonts w:ascii="Times New Roman" w:eastAsia="Times New Roman" w:hAnsi="Times New Roman" w:cs="Times New Roman"/>
          <w:i/>
          <w:iCs/>
          <w:color w:val="000000" w:themeColor="text1"/>
          <w:lang w:val="en-GB"/>
        </w:rPr>
        <w:t>Interfaces</w:t>
      </w:r>
      <w:r w:rsidRPr="3EC9761B">
        <w:rPr>
          <w:rFonts w:ascii="Times New Roman" w:eastAsia="Times New Roman" w:hAnsi="Times New Roman" w:cs="Times New Roman"/>
          <w:color w:val="000000" w:themeColor="text1"/>
          <w:lang w:val="en-GB"/>
        </w:rPr>
        <w:t>, Vol. 30 No. 3, pp. 143–155. https://doi.org/10.1287/inte.30.3.143.11670</w:t>
      </w:r>
      <w:r w:rsidRPr="3EC9761B">
        <w:rPr>
          <w:lang w:val="en-GB"/>
        </w:rPr>
        <w:t xml:space="preserve"> </w:t>
      </w:r>
    </w:p>
    <w:p w14:paraId="0E22C976" w14:textId="00B474B4"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Ferrer, G. and </w:t>
      </w:r>
      <w:proofErr w:type="spellStart"/>
      <w:r w:rsidRPr="3EC9761B">
        <w:rPr>
          <w:rFonts w:ascii="Times New Roman" w:eastAsia="Times New Roman" w:hAnsi="Times New Roman" w:cs="Times New Roman"/>
          <w:color w:val="000000" w:themeColor="text1"/>
          <w:lang w:val="en-GB"/>
        </w:rPr>
        <w:t>Ketzenberg</w:t>
      </w:r>
      <w:proofErr w:type="spellEnd"/>
      <w:r w:rsidRPr="3EC9761B">
        <w:rPr>
          <w:rFonts w:ascii="Times New Roman" w:eastAsia="Times New Roman" w:hAnsi="Times New Roman" w:cs="Times New Roman"/>
          <w:color w:val="000000" w:themeColor="text1"/>
          <w:lang w:val="en-GB"/>
        </w:rPr>
        <w:t xml:space="preserve">, M. E. (2004), “Value of information in remanufacturing complex products”, </w:t>
      </w:r>
      <w:r w:rsidRPr="3EC9761B">
        <w:rPr>
          <w:rFonts w:ascii="Times New Roman" w:eastAsia="Times New Roman" w:hAnsi="Times New Roman" w:cs="Times New Roman"/>
          <w:i/>
          <w:iCs/>
          <w:color w:val="000000" w:themeColor="text1"/>
          <w:lang w:val="en-GB"/>
        </w:rPr>
        <w:t>IIE Transactions</w:t>
      </w:r>
      <w:r w:rsidRPr="3EC9761B">
        <w:rPr>
          <w:rFonts w:ascii="Times New Roman" w:eastAsia="Times New Roman" w:hAnsi="Times New Roman" w:cs="Times New Roman"/>
          <w:color w:val="000000" w:themeColor="text1"/>
          <w:lang w:val="en-GB"/>
        </w:rPr>
        <w:t>, Vol. 36 No. 3, pp. 265–277. https://doi.org/10.1080/07408170490274223</w:t>
      </w:r>
      <w:r w:rsidRPr="3EC9761B">
        <w:rPr>
          <w:lang w:val="en-GB"/>
        </w:rPr>
        <w:t xml:space="preserve"> </w:t>
      </w:r>
    </w:p>
    <w:p w14:paraId="4C693936" w14:textId="41E156FB"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Fleischmann, M., Beullens, P., Bloemhof‐</w:t>
      </w:r>
      <w:proofErr w:type="spellStart"/>
      <w:r w:rsidRPr="3EC9761B">
        <w:rPr>
          <w:rFonts w:ascii="Times New Roman" w:eastAsia="Times New Roman" w:hAnsi="Times New Roman" w:cs="Times New Roman"/>
          <w:color w:val="000000" w:themeColor="text1"/>
          <w:lang w:val="en-GB"/>
        </w:rPr>
        <w:t>Ruwaard</w:t>
      </w:r>
      <w:proofErr w:type="spellEnd"/>
      <w:r w:rsidRPr="3EC9761B">
        <w:rPr>
          <w:rFonts w:ascii="Times New Roman" w:eastAsia="Times New Roman" w:hAnsi="Times New Roman" w:cs="Times New Roman"/>
          <w:color w:val="000000" w:themeColor="text1"/>
          <w:lang w:val="en-GB"/>
        </w:rPr>
        <w:t xml:space="preserve">, J. M., and Van Wassenhove, L. N. (2001), “The impact of product recovery on logistics network design”, </w:t>
      </w:r>
      <w:r w:rsidRPr="3EC9761B">
        <w:rPr>
          <w:rFonts w:ascii="Times New Roman" w:eastAsia="Times New Roman" w:hAnsi="Times New Roman" w:cs="Times New Roman"/>
          <w:i/>
          <w:iCs/>
          <w:color w:val="000000" w:themeColor="text1"/>
          <w:lang w:val="en-GB"/>
        </w:rPr>
        <w:t>Production and Operations Management</w:t>
      </w:r>
      <w:r w:rsidRPr="3EC9761B">
        <w:rPr>
          <w:rFonts w:ascii="Times New Roman" w:eastAsia="Times New Roman" w:hAnsi="Times New Roman" w:cs="Times New Roman"/>
          <w:color w:val="000000" w:themeColor="text1"/>
          <w:lang w:val="en-GB"/>
        </w:rPr>
        <w:t>, Vol. 10 No. 2, pp. 156–173. https://doi.org/10.1111/j.1937-5956.2001.tb00076.x</w:t>
      </w:r>
      <w:r w:rsidRPr="3EC9761B">
        <w:rPr>
          <w:lang w:val="en-GB"/>
        </w:rPr>
        <w:t xml:space="preserve"> </w:t>
      </w:r>
    </w:p>
    <w:p w14:paraId="31B6871A" w14:textId="08A97711" w:rsidR="50B5A393" w:rsidRDefault="3EC9761B" w:rsidP="3EC9761B">
      <w:pPr>
        <w:pStyle w:val="Bibliography"/>
        <w:spacing w:after="240"/>
        <w:ind w:left="720" w:hanging="720"/>
        <w:rPr>
          <w:rFonts w:ascii="Times New Roman" w:eastAsia="Times New Roman" w:hAnsi="Times New Roman" w:cs="Times New Roman"/>
        </w:rPr>
      </w:pPr>
      <w:r w:rsidRPr="3EC9761B">
        <w:rPr>
          <w:rFonts w:ascii="Times New Roman" w:eastAsia="Times New Roman" w:hAnsi="Times New Roman" w:cs="Times New Roman"/>
          <w:color w:val="000000" w:themeColor="text1"/>
          <w:lang w:val="en-GB"/>
        </w:rPr>
        <w:t xml:space="preserve">Fleischmann, M., Krikke, H. R., Dekker, R., and Flapper, S. D. P. (2000), “A characterisation of logistics networks for product recovery”, </w:t>
      </w:r>
      <w:r w:rsidRPr="3EC9761B">
        <w:rPr>
          <w:rFonts w:ascii="Times New Roman" w:eastAsia="Times New Roman" w:hAnsi="Times New Roman" w:cs="Times New Roman"/>
          <w:i/>
          <w:iCs/>
          <w:color w:val="000000" w:themeColor="text1"/>
          <w:lang w:val="en-GB"/>
        </w:rPr>
        <w:t>Omega</w:t>
      </w:r>
      <w:r w:rsidRPr="3EC9761B">
        <w:rPr>
          <w:rFonts w:ascii="Times New Roman" w:eastAsia="Times New Roman" w:hAnsi="Times New Roman" w:cs="Times New Roman"/>
          <w:color w:val="000000" w:themeColor="text1"/>
          <w:lang w:val="en-GB"/>
        </w:rPr>
        <w:t>, Vol. 28 No. 6, pp. 653–666. https://doi.org/10.1016/S0305-0483(00)00022-0</w:t>
      </w:r>
    </w:p>
    <w:p w14:paraId="0A157558" w14:textId="1A42DD73"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lastRenderedPageBreak/>
        <w:t xml:space="preserve">Griffis, S. E., Rao, S., Goldsby, T. J., and Niranjan, T. T. (2012), “The customer consequences of returns in online retailing: an empirical analysis.” </w:t>
      </w:r>
      <w:r w:rsidRPr="3EC9761B">
        <w:rPr>
          <w:rFonts w:ascii="Times New Roman" w:eastAsia="Times New Roman" w:hAnsi="Times New Roman" w:cs="Times New Roman"/>
          <w:i/>
          <w:iCs/>
          <w:color w:val="000000" w:themeColor="text1"/>
          <w:lang w:val="en-GB"/>
        </w:rPr>
        <w:t>Journal of Operations Management</w:t>
      </w:r>
      <w:r w:rsidRPr="3EC9761B">
        <w:rPr>
          <w:rFonts w:ascii="Times New Roman" w:eastAsia="Times New Roman" w:hAnsi="Times New Roman" w:cs="Times New Roman"/>
          <w:color w:val="000000" w:themeColor="text1"/>
          <w:lang w:val="en-GB"/>
        </w:rPr>
        <w:t>, Vol. 30 No. 4, pp. 282–294. https://doi.org/10.1016/j.jom.2012.02.002</w:t>
      </w:r>
      <w:r w:rsidRPr="3EC9761B">
        <w:rPr>
          <w:lang w:val="en-GB"/>
        </w:rPr>
        <w:t xml:space="preserve"> </w:t>
      </w:r>
    </w:p>
    <w:p w14:paraId="26B677D7" w14:textId="0F6899CB" w:rsidR="50B5A393" w:rsidRDefault="3EC9761B" w:rsidP="3EC9761B">
      <w:pPr>
        <w:pStyle w:val="Bibliography"/>
        <w:spacing w:after="240"/>
        <w:ind w:left="720" w:hanging="720"/>
        <w:rPr>
          <w:rFonts w:ascii="Times New Roman" w:eastAsia="Times New Roman" w:hAnsi="Times New Roman" w:cs="Times New Roman"/>
          <w:lang w:val="en-GB"/>
        </w:rPr>
      </w:pPr>
      <w:r w:rsidRPr="3EC9761B">
        <w:rPr>
          <w:rFonts w:ascii="Times New Roman" w:eastAsia="Times New Roman" w:hAnsi="Times New Roman" w:cs="Times New Roman"/>
          <w:color w:val="000000" w:themeColor="text1"/>
          <w:lang w:val="en-GB"/>
        </w:rPr>
        <w:t xml:space="preserve">Guide Jr, V. D. R., Jayaraman, V., Srivastava, R., and Benton, W. (2000), “Supply-chain management for recoverable manufacturing systems”, </w:t>
      </w:r>
      <w:r w:rsidRPr="3EC9761B">
        <w:rPr>
          <w:rFonts w:ascii="Times New Roman" w:eastAsia="Times New Roman" w:hAnsi="Times New Roman" w:cs="Times New Roman"/>
          <w:i/>
          <w:iCs/>
          <w:color w:val="000000" w:themeColor="text1"/>
          <w:lang w:val="en-GB"/>
        </w:rPr>
        <w:t>Interfaces</w:t>
      </w:r>
      <w:r w:rsidRPr="3EC9761B">
        <w:rPr>
          <w:rFonts w:ascii="Times New Roman" w:eastAsia="Times New Roman" w:hAnsi="Times New Roman" w:cs="Times New Roman"/>
          <w:color w:val="000000" w:themeColor="text1"/>
          <w:lang w:val="en-GB"/>
        </w:rPr>
        <w:t xml:space="preserve">, Vol. 30 No. 3, pp. 125–142. </w:t>
      </w:r>
      <w:r w:rsidRPr="3EC9761B">
        <w:rPr>
          <w:rFonts w:ascii="Times New Roman" w:eastAsia="Times New Roman" w:hAnsi="Times New Roman" w:cs="Times New Roman"/>
          <w:lang w:val="en-GB"/>
        </w:rPr>
        <w:t>https://doi.org/10.1287/inte.30.3.125.11656</w:t>
      </w:r>
    </w:p>
    <w:p w14:paraId="38359BE4" w14:textId="3D15543F" w:rsidR="50B5A393" w:rsidRDefault="3EC9761B" w:rsidP="3EC9761B">
      <w:pPr>
        <w:pStyle w:val="Bibliography"/>
        <w:spacing w:after="240"/>
        <w:ind w:left="720" w:hanging="720"/>
        <w:rPr>
          <w:rFonts w:ascii="Times New Roman" w:eastAsia="Times New Roman" w:hAnsi="Times New Roman" w:cs="Times New Roman"/>
          <w:lang w:val="en-GB"/>
        </w:rPr>
      </w:pPr>
      <w:r w:rsidRPr="3EC9761B">
        <w:rPr>
          <w:rFonts w:ascii="Times New Roman" w:eastAsia="Times New Roman" w:hAnsi="Times New Roman" w:cs="Times New Roman"/>
          <w:color w:val="000000" w:themeColor="text1"/>
          <w:lang w:val="en-GB"/>
        </w:rPr>
        <w:t xml:space="preserve">Guide Jr, V. D. R. and Van Wassenhove, L. N. (2009), “OR FORUM—The evolution of closed-loop supply chain research”, </w:t>
      </w:r>
      <w:r w:rsidRPr="3EC9761B">
        <w:rPr>
          <w:rFonts w:ascii="Times New Roman" w:eastAsia="Times New Roman" w:hAnsi="Times New Roman" w:cs="Times New Roman"/>
          <w:i/>
          <w:iCs/>
          <w:color w:val="000000" w:themeColor="text1"/>
          <w:lang w:val="en-GB"/>
        </w:rPr>
        <w:t>Operations Research</w:t>
      </w:r>
      <w:r w:rsidRPr="3EC9761B">
        <w:rPr>
          <w:rFonts w:ascii="Times New Roman" w:eastAsia="Times New Roman" w:hAnsi="Times New Roman" w:cs="Times New Roman"/>
          <w:color w:val="000000" w:themeColor="text1"/>
          <w:lang w:val="en-GB"/>
        </w:rPr>
        <w:t xml:space="preserve">, Vol. 57 No. 1, pp. 10–18. </w:t>
      </w:r>
      <w:r w:rsidRPr="3EC9761B">
        <w:rPr>
          <w:rFonts w:ascii="Times New Roman" w:eastAsia="Times New Roman" w:hAnsi="Times New Roman" w:cs="Times New Roman"/>
          <w:lang w:val="en-GB"/>
        </w:rPr>
        <w:t>https://doi.org/10.1287/opre.1080.0628</w:t>
      </w:r>
    </w:p>
    <w:p w14:paraId="2B4AE11B" w14:textId="7EE211D4"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Hazen, B. T., Cegielski, C., and Hanna, J. B. (2011), “Diffusion of green supply chain management”, </w:t>
      </w:r>
      <w:r w:rsidRPr="3EC9761B">
        <w:rPr>
          <w:rFonts w:ascii="Times New Roman" w:eastAsia="Times New Roman" w:hAnsi="Times New Roman" w:cs="Times New Roman"/>
          <w:i/>
          <w:iCs/>
          <w:color w:val="000000" w:themeColor="text1"/>
          <w:lang w:val="en-GB"/>
        </w:rPr>
        <w:t>The International Journal of Logistics Management</w:t>
      </w:r>
      <w:r w:rsidRPr="3EC9761B">
        <w:rPr>
          <w:rFonts w:ascii="Times New Roman" w:eastAsia="Times New Roman" w:hAnsi="Times New Roman" w:cs="Times New Roman"/>
          <w:color w:val="000000" w:themeColor="text1"/>
          <w:lang w:val="en-GB"/>
        </w:rPr>
        <w:t>, Vol. 22 No. 3, pp. 373–389. https://doi.org/10.1108/09574091111181372</w:t>
      </w:r>
      <w:r w:rsidRPr="3EC9761B">
        <w:rPr>
          <w:lang w:val="en-GB"/>
        </w:rPr>
        <w:t xml:space="preserve"> </w:t>
      </w:r>
    </w:p>
    <w:p w14:paraId="01E3D624" w14:textId="605969B1"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Hjort, K., Hellström, D., Karlsson, S., and </w:t>
      </w:r>
      <w:proofErr w:type="spellStart"/>
      <w:r w:rsidRPr="3EC9761B">
        <w:rPr>
          <w:rFonts w:ascii="Times New Roman" w:eastAsia="Times New Roman" w:hAnsi="Times New Roman" w:cs="Times New Roman"/>
          <w:color w:val="000000" w:themeColor="text1"/>
          <w:lang w:val="en-GB"/>
        </w:rPr>
        <w:t>Oghazi</w:t>
      </w:r>
      <w:proofErr w:type="spellEnd"/>
      <w:r w:rsidRPr="3EC9761B">
        <w:rPr>
          <w:rFonts w:ascii="Times New Roman" w:eastAsia="Times New Roman" w:hAnsi="Times New Roman" w:cs="Times New Roman"/>
          <w:color w:val="000000" w:themeColor="text1"/>
          <w:lang w:val="en-GB"/>
        </w:rPr>
        <w:t xml:space="preserve">, P. (2019), “Typology of practices for managing consumer returns in internet retailing”, </w:t>
      </w:r>
      <w:r w:rsidRPr="3EC9761B">
        <w:rPr>
          <w:rFonts w:ascii="Times New Roman" w:eastAsia="Times New Roman" w:hAnsi="Times New Roman" w:cs="Times New Roman"/>
          <w:i/>
          <w:iCs/>
          <w:color w:val="000000" w:themeColor="text1"/>
          <w:lang w:val="en-GB"/>
        </w:rPr>
        <w:t>International Journal of Physical Distribution &amp; Logistics Management</w:t>
      </w:r>
      <w:r w:rsidRPr="3EC9761B">
        <w:rPr>
          <w:rFonts w:ascii="Times New Roman" w:eastAsia="Times New Roman" w:hAnsi="Times New Roman" w:cs="Times New Roman"/>
          <w:color w:val="000000" w:themeColor="text1"/>
          <w:lang w:val="en-GB"/>
        </w:rPr>
        <w:t>, Vol. 49 No. 7, pp. 767–790. https://doi.org/10.1108/IJPDLM-12-2017-0368</w:t>
      </w:r>
      <w:r w:rsidRPr="3EC9761B">
        <w:rPr>
          <w:lang w:val="en-GB"/>
        </w:rPr>
        <w:t xml:space="preserve"> </w:t>
      </w:r>
    </w:p>
    <w:p w14:paraId="635EC717" w14:textId="5C4FE628"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Huscroft, J. R., Hazen, B. T., Hall, D. J., Skipper, J. B., and Hanna, J. B. (2013), “Reverse logistics: past research, current management issues, and future directions”, </w:t>
      </w:r>
      <w:r w:rsidRPr="3EC9761B">
        <w:rPr>
          <w:rFonts w:ascii="Times New Roman" w:eastAsia="Times New Roman" w:hAnsi="Times New Roman" w:cs="Times New Roman"/>
          <w:i/>
          <w:iCs/>
          <w:color w:val="000000" w:themeColor="text1"/>
          <w:lang w:val="en-GB"/>
        </w:rPr>
        <w:t>The International Journal of Logistics Management</w:t>
      </w:r>
      <w:r w:rsidRPr="3EC9761B">
        <w:rPr>
          <w:rFonts w:ascii="Times New Roman" w:eastAsia="Times New Roman" w:hAnsi="Times New Roman" w:cs="Times New Roman"/>
          <w:color w:val="000000" w:themeColor="text1"/>
          <w:lang w:val="en-GB"/>
        </w:rPr>
        <w:t>, Vol. 24 No. 3, pp. 304–327. https://doi.org/10.1108/IJLM-04-2012-0024</w:t>
      </w:r>
      <w:r w:rsidRPr="3EC9761B">
        <w:rPr>
          <w:lang w:val="en-GB"/>
        </w:rPr>
        <w:t xml:space="preserve"> </w:t>
      </w:r>
    </w:p>
    <w:p w14:paraId="107E8F47" w14:textId="50CC3295" w:rsidR="50B5A393" w:rsidRDefault="3EC9761B" w:rsidP="3EC9761B">
      <w:pPr>
        <w:pStyle w:val="Bibliography"/>
        <w:spacing w:after="240"/>
        <w:ind w:left="720" w:hanging="720"/>
        <w:rPr>
          <w:lang w:val="en-GB"/>
        </w:rPr>
      </w:pPr>
      <w:proofErr w:type="spellStart"/>
      <w:r w:rsidRPr="3EC9761B">
        <w:rPr>
          <w:rFonts w:ascii="Times New Roman" w:eastAsia="Times New Roman" w:hAnsi="Times New Roman" w:cs="Times New Roman"/>
          <w:color w:val="000000" w:themeColor="text1"/>
          <w:lang w:val="en-GB"/>
        </w:rPr>
        <w:t>Ketzenberg</w:t>
      </w:r>
      <w:proofErr w:type="spellEnd"/>
      <w:r w:rsidRPr="3EC9761B">
        <w:rPr>
          <w:rFonts w:ascii="Times New Roman" w:eastAsia="Times New Roman" w:hAnsi="Times New Roman" w:cs="Times New Roman"/>
          <w:color w:val="000000" w:themeColor="text1"/>
          <w:lang w:val="en-GB"/>
        </w:rPr>
        <w:t xml:space="preserve">, M. E., Van Der Laan, E., and </w:t>
      </w:r>
      <w:proofErr w:type="spellStart"/>
      <w:r w:rsidRPr="3EC9761B">
        <w:rPr>
          <w:rFonts w:ascii="Times New Roman" w:eastAsia="Times New Roman" w:hAnsi="Times New Roman" w:cs="Times New Roman"/>
          <w:color w:val="000000" w:themeColor="text1"/>
          <w:lang w:val="en-GB"/>
        </w:rPr>
        <w:t>Teunter</w:t>
      </w:r>
      <w:proofErr w:type="spellEnd"/>
      <w:r w:rsidRPr="3EC9761B">
        <w:rPr>
          <w:rFonts w:ascii="Times New Roman" w:eastAsia="Times New Roman" w:hAnsi="Times New Roman" w:cs="Times New Roman"/>
          <w:color w:val="000000" w:themeColor="text1"/>
          <w:lang w:val="en-GB"/>
        </w:rPr>
        <w:t xml:space="preserve">, R. H. (2006), “Value of information in closed loop supply chains”, </w:t>
      </w:r>
      <w:r w:rsidRPr="3EC9761B">
        <w:rPr>
          <w:rFonts w:ascii="Times New Roman" w:eastAsia="Times New Roman" w:hAnsi="Times New Roman" w:cs="Times New Roman"/>
          <w:i/>
          <w:iCs/>
          <w:color w:val="000000" w:themeColor="text1"/>
          <w:lang w:val="en-GB"/>
        </w:rPr>
        <w:t>Production and Operations Management</w:t>
      </w:r>
      <w:r w:rsidRPr="3EC9761B">
        <w:rPr>
          <w:rFonts w:ascii="Times New Roman" w:eastAsia="Times New Roman" w:hAnsi="Times New Roman" w:cs="Times New Roman"/>
          <w:color w:val="000000" w:themeColor="text1"/>
          <w:lang w:val="en-GB"/>
        </w:rPr>
        <w:t>, Vol. 15 No. 3, pp. 393–406. https://doi.org/10.1111/j.1937-5956.2006.tb00253.x</w:t>
      </w:r>
      <w:r w:rsidRPr="3EC9761B">
        <w:rPr>
          <w:lang w:val="en-GB"/>
        </w:rPr>
        <w:t xml:space="preserve"> </w:t>
      </w:r>
    </w:p>
    <w:p w14:paraId="1D167790" w14:textId="060C13EC" w:rsidR="50B5A393" w:rsidRDefault="3EC9761B" w:rsidP="3EC9761B">
      <w:pPr>
        <w:spacing w:after="240"/>
        <w:ind w:left="720" w:hanging="720"/>
      </w:pPr>
      <w:r w:rsidRPr="3EC9761B">
        <w:rPr>
          <w:rFonts w:ascii="Times New Roman" w:eastAsia="Times New Roman" w:hAnsi="Times New Roman" w:cs="Times New Roman"/>
          <w:color w:val="000000" w:themeColor="text1"/>
          <w:lang w:val="en-GB"/>
        </w:rPr>
        <w:t xml:space="preserve">Lechner, G. and Reimann, M. (2020), “Integrated decision-making in reverse logistics: an optimisation of interacting acquisition, grading and disposition processes”, </w:t>
      </w:r>
      <w:r w:rsidRPr="3EC9761B">
        <w:rPr>
          <w:rFonts w:ascii="Times New Roman" w:eastAsia="Times New Roman" w:hAnsi="Times New Roman" w:cs="Times New Roman"/>
          <w:i/>
          <w:iCs/>
          <w:color w:val="000000" w:themeColor="text1"/>
          <w:lang w:val="en-GB"/>
        </w:rPr>
        <w:t>International Journal of Production Research,</w:t>
      </w:r>
      <w:r w:rsidRPr="3EC9761B">
        <w:rPr>
          <w:rFonts w:ascii="Times New Roman" w:eastAsia="Times New Roman" w:hAnsi="Times New Roman" w:cs="Times New Roman"/>
          <w:color w:val="000000" w:themeColor="text1"/>
          <w:lang w:val="en-GB"/>
        </w:rPr>
        <w:t xml:space="preserve"> Vol. 58 No. 19, pp. 5786–5805. https://doi.org/10.1080/00207543.2019.1659518</w:t>
      </w:r>
      <w:r w:rsidRPr="3EC9761B">
        <w:rPr>
          <w:lang w:val="en-GB"/>
        </w:rPr>
        <w:t xml:space="preserve"> </w:t>
      </w:r>
    </w:p>
    <w:p w14:paraId="39BDFBBE" w14:textId="09919DB3" w:rsidR="50B5A393" w:rsidRDefault="3EC9761B" w:rsidP="3EC9761B">
      <w:pPr>
        <w:spacing w:after="240"/>
        <w:ind w:left="720" w:hanging="720"/>
      </w:pPr>
      <w:r w:rsidRPr="3EC9761B">
        <w:rPr>
          <w:rFonts w:ascii="Times New Roman" w:eastAsia="Times New Roman" w:hAnsi="Times New Roman" w:cs="Times New Roman"/>
          <w:color w:val="222222"/>
          <w:lang w:val="en-GB"/>
        </w:rPr>
        <w:t xml:space="preserve">Marriott, J., Bektaş, T., Leung, E. K. H., and Lyons, A. (2025), “The billion-pound question in fashion E-commerce: Investigating the anatomy of returns,” </w:t>
      </w:r>
      <w:r w:rsidRPr="3EC9761B">
        <w:rPr>
          <w:rFonts w:ascii="Times New Roman" w:eastAsia="Times New Roman" w:hAnsi="Times New Roman" w:cs="Times New Roman"/>
          <w:i/>
          <w:iCs/>
          <w:color w:val="222222"/>
          <w:lang w:val="en-GB"/>
        </w:rPr>
        <w:t>Transportation Research Part E: Logistics and Transportation Review</w:t>
      </w:r>
      <w:r w:rsidRPr="3EC9761B">
        <w:rPr>
          <w:rFonts w:ascii="Times New Roman" w:eastAsia="Times New Roman" w:hAnsi="Times New Roman" w:cs="Times New Roman"/>
          <w:color w:val="222222"/>
          <w:lang w:val="en-GB"/>
        </w:rPr>
        <w:t xml:space="preserve">, Vol. </w:t>
      </w:r>
      <w:r w:rsidRPr="3EC9761B">
        <w:rPr>
          <w:rFonts w:ascii="Times New Roman" w:eastAsia="Times New Roman" w:hAnsi="Times New Roman" w:cs="Times New Roman"/>
          <w:i/>
          <w:iCs/>
          <w:color w:val="222222"/>
          <w:lang w:val="en-GB"/>
        </w:rPr>
        <w:t>194</w:t>
      </w:r>
      <w:r w:rsidRPr="3EC9761B">
        <w:rPr>
          <w:rFonts w:ascii="Times New Roman" w:eastAsia="Times New Roman" w:hAnsi="Times New Roman" w:cs="Times New Roman"/>
          <w:color w:val="222222"/>
          <w:lang w:val="en-GB"/>
        </w:rPr>
        <w:t>, 103904. https://doi.org/10.1016/j.tre.2024.103904</w:t>
      </w:r>
      <w:r w:rsidRPr="3EC9761B">
        <w:rPr>
          <w:lang w:val="en-GB"/>
        </w:rPr>
        <w:t xml:space="preserve"> </w:t>
      </w:r>
    </w:p>
    <w:p w14:paraId="3A17939A" w14:textId="0C691678"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Mollenkopf, D. A., Frankel, R., and Russo, I. (2011), “Creating value through returns management: exploring the marketing–operations interface”, </w:t>
      </w:r>
      <w:r w:rsidRPr="3EC9761B">
        <w:rPr>
          <w:rFonts w:ascii="Times New Roman" w:eastAsia="Times New Roman" w:hAnsi="Times New Roman" w:cs="Times New Roman"/>
          <w:i/>
          <w:iCs/>
          <w:color w:val="000000" w:themeColor="text1"/>
          <w:lang w:val="en-GB"/>
        </w:rPr>
        <w:t>Journal of Operations Management</w:t>
      </w:r>
      <w:r w:rsidRPr="3EC9761B">
        <w:rPr>
          <w:rFonts w:ascii="Times New Roman" w:eastAsia="Times New Roman" w:hAnsi="Times New Roman" w:cs="Times New Roman"/>
          <w:color w:val="000000" w:themeColor="text1"/>
          <w:lang w:val="en-GB"/>
        </w:rPr>
        <w:t>, Vol. 29 No. 5, pp. 391–403. https://doi.org/10.1016/j.jom.2010.11.004</w:t>
      </w:r>
      <w:r w:rsidRPr="3EC9761B">
        <w:rPr>
          <w:lang w:val="en-GB"/>
        </w:rPr>
        <w:t xml:space="preserve"> </w:t>
      </w:r>
    </w:p>
    <w:p w14:paraId="7A209FE9" w14:textId="2FCF5FE7"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Pokharel, S. and Mutha, A. (2009), “Perspectives in reverse logistics: a review”, </w:t>
      </w:r>
      <w:r w:rsidRPr="3EC9761B">
        <w:rPr>
          <w:rFonts w:ascii="Times New Roman" w:eastAsia="Times New Roman" w:hAnsi="Times New Roman" w:cs="Times New Roman"/>
          <w:i/>
          <w:iCs/>
          <w:color w:val="000000" w:themeColor="text1"/>
          <w:lang w:val="en-GB"/>
        </w:rPr>
        <w:t>Resources, Conservation and Recycling</w:t>
      </w:r>
      <w:r w:rsidRPr="3EC9761B">
        <w:rPr>
          <w:rFonts w:ascii="Times New Roman" w:eastAsia="Times New Roman" w:hAnsi="Times New Roman" w:cs="Times New Roman"/>
          <w:color w:val="000000" w:themeColor="text1"/>
          <w:lang w:val="en-GB"/>
        </w:rPr>
        <w:t>, Vol. 53 No. 4, pp. 175–182. https://doi.org/10.1016/j.resconrec.2008.11.006</w:t>
      </w:r>
      <w:r w:rsidRPr="3EC9761B">
        <w:rPr>
          <w:lang w:val="en-GB"/>
        </w:rPr>
        <w:t xml:space="preserve"> </w:t>
      </w:r>
    </w:p>
    <w:p w14:paraId="4510BA8E" w14:textId="7B017394"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lastRenderedPageBreak/>
        <w:t xml:space="preserve">Rogers, D. S., Lambert, D. M., Croxton, K. L., and García-Dastugue, S. J. (2002), “The returns management process”, </w:t>
      </w:r>
      <w:r w:rsidRPr="3EC9761B">
        <w:rPr>
          <w:rFonts w:ascii="Times New Roman" w:eastAsia="Times New Roman" w:hAnsi="Times New Roman" w:cs="Times New Roman"/>
          <w:i/>
          <w:iCs/>
          <w:color w:val="000000" w:themeColor="text1"/>
          <w:lang w:val="en-GB"/>
        </w:rPr>
        <w:t>The International Journal of Logistics Management</w:t>
      </w:r>
      <w:r w:rsidRPr="3EC9761B">
        <w:rPr>
          <w:rFonts w:ascii="Times New Roman" w:eastAsia="Times New Roman" w:hAnsi="Times New Roman" w:cs="Times New Roman"/>
          <w:color w:val="000000" w:themeColor="text1"/>
          <w:lang w:val="en-GB"/>
        </w:rPr>
        <w:t>, Vol. 13 No. 2, pp. 1–18. https://doi.org/10.1108/09574090210806397</w:t>
      </w:r>
      <w:r w:rsidRPr="3EC9761B">
        <w:rPr>
          <w:lang w:val="en-GB"/>
        </w:rPr>
        <w:t xml:space="preserve"> </w:t>
      </w:r>
    </w:p>
    <w:p w14:paraId="32B88822" w14:textId="6A450E84" w:rsidR="50B5A393" w:rsidRDefault="3EC9761B" w:rsidP="3EC9761B">
      <w:pPr>
        <w:pStyle w:val="Bibliography"/>
        <w:spacing w:after="240"/>
        <w:ind w:left="720" w:hanging="720"/>
        <w:rPr>
          <w:rFonts w:ascii="Times New Roman" w:eastAsia="Times New Roman" w:hAnsi="Times New Roman" w:cs="Times New Roman"/>
        </w:rPr>
      </w:pPr>
      <w:r w:rsidRPr="3EC9761B">
        <w:rPr>
          <w:rFonts w:ascii="Times New Roman" w:eastAsia="Times New Roman" w:hAnsi="Times New Roman" w:cs="Times New Roman"/>
          <w:color w:val="000000" w:themeColor="text1"/>
          <w:lang w:val="en-GB"/>
        </w:rPr>
        <w:t xml:space="preserve">Rogers, D. S., and Tibben‐Lembke, R. (2001), “An examination of reverse logistics practices”, </w:t>
      </w:r>
      <w:r w:rsidRPr="3EC9761B">
        <w:rPr>
          <w:rFonts w:ascii="Times New Roman" w:eastAsia="Times New Roman" w:hAnsi="Times New Roman" w:cs="Times New Roman"/>
          <w:i/>
          <w:iCs/>
          <w:color w:val="000000" w:themeColor="text1"/>
          <w:lang w:val="en-GB"/>
        </w:rPr>
        <w:t>Journal of Business Logistics</w:t>
      </w:r>
      <w:r w:rsidRPr="3EC9761B">
        <w:rPr>
          <w:rFonts w:ascii="Times New Roman" w:eastAsia="Times New Roman" w:hAnsi="Times New Roman" w:cs="Times New Roman"/>
          <w:color w:val="000000" w:themeColor="text1"/>
          <w:lang w:val="en-GB"/>
        </w:rPr>
        <w:t>, Vol. 22 No. 2, pp. 129–148. https://doi.org/10.1002/j.2158-1592.2001.tb00007.x</w:t>
      </w:r>
    </w:p>
    <w:p w14:paraId="2B4A794E" w14:textId="11F0089F"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Rubio, S., Chamorro, A., and Miranda, F. J. (2008), “Characteristics of the research on reverse logistics (1995–2005)”, </w:t>
      </w:r>
      <w:r w:rsidRPr="3EC9761B">
        <w:rPr>
          <w:rFonts w:ascii="Times New Roman" w:eastAsia="Times New Roman" w:hAnsi="Times New Roman" w:cs="Times New Roman"/>
          <w:i/>
          <w:iCs/>
          <w:color w:val="000000" w:themeColor="text1"/>
          <w:lang w:val="en-GB"/>
        </w:rPr>
        <w:t>International Journal of Production Research</w:t>
      </w:r>
      <w:r w:rsidRPr="3EC9761B">
        <w:rPr>
          <w:rFonts w:ascii="Times New Roman" w:eastAsia="Times New Roman" w:hAnsi="Times New Roman" w:cs="Times New Roman"/>
          <w:color w:val="000000" w:themeColor="text1"/>
          <w:lang w:val="en-GB"/>
        </w:rPr>
        <w:t>, Vol. 46 No. 4, pp. 1099–1120. https://doi.org/10.1080/00207540600943977</w:t>
      </w:r>
      <w:r w:rsidRPr="3EC9761B">
        <w:rPr>
          <w:lang w:val="en-GB"/>
        </w:rPr>
        <w:t xml:space="preserve"> </w:t>
      </w:r>
    </w:p>
    <w:p w14:paraId="6534F9EF" w14:textId="684B2FC7"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Russo, I., </w:t>
      </w:r>
      <w:proofErr w:type="spellStart"/>
      <w:r w:rsidRPr="3EC9761B">
        <w:rPr>
          <w:rFonts w:ascii="Times New Roman" w:eastAsia="Times New Roman" w:hAnsi="Times New Roman" w:cs="Times New Roman"/>
          <w:color w:val="000000" w:themeColor="text1"/>
          <w:lang w:val="en-GB"/>
        </w:rPr>
        <w:t>Confente</w:t>
      </w:r>
      <w:proofErr w:type="spellEnd"/>
      <w:r w:rsidRPr="3EC9761B">
        <w:rPr>
          <w:rFonts w:ascii="Times New Roman" w:eastAsia="Times New Roman" w:hAnsi="Times New Roman" w:cs="Times New Roman"/>
          <w:color w:val="000000" w:themeColor="text1"/>
          <w:lang w:val="en-GB"/>
        </w:rPr>
        <w:t xml:space="preserve">, I., Gligor, D., and Cobelli, N. (2019), “A roadmap for applying qualitative comparative analysis in supply chain research: the reverse supply chain case”, </w:t>
      </w:r>
      <w:r w:rsidRPr="3EC9761B">
        <w:rPr>
          <w:rFonts w:ascii="Times New Roman" w:eastAsia="Times New Roman" w:hAnsi="Times New Roman" w:cs="Times New Roman"/>
          <w:i/>
          <w:iCs/>
          <w:color w:val="000000" w:themeColor="text1"/>
          <w:lang w:val="en-GB"/>
        </w:rPr>
        <w:t>International Journal of Physical Distribution &amp; Logistics Management</w:t>
      </w:r>
      <w:r w:rsidRPr="3EC9761B">
        <w:rPr>
          <w:rFonts w:ascii="Times New Roman" w:eastAsia="Times New Roman" w:hAnsi="Times New Roman" w:cs="Times New Roman"/>
          <w:color w:val="000000" w:themeColor="text1"/>
          <w:lang w:val="en-GB"/>
        </w:rPr>
        <w:t>, Vol. 49 No. 1, pp. 99–120. https://doi.org/10.1108/IJPDLM-02-2018-0056</w:t>
      </w:r>
      <w:r w:rsidRPr="3EC9761B">
        <w:rPr>
          <w:lang w:val="en-GB"/>
        </w:rPr>
        <w:t xml:space="preserve"> </w:t>
      </w:r>
    </w:p>
    <w:p w14:paraId="3075D7BE" w14:textId="6F6FA6CA" w:rsidR="50B5A393" w:rsidRDefault="3EC9761B" w:rsidP="3EC9761B">
      <w:pPr>
        <w:pStyle w:val="Bibliography"/>
        <w:spacing w:after="240"/>
        <w:ind w:left="720" w:hanging="720"/>
        <w:rPr>
          <w:rFonts w:ascii="Times New Roman" w:eastAsia="Times New Roman" w:hAnsi="Times New Roman" w:cs="Times New Roman"/>
          <w:lang w:val="en-GB"/>
        </w:rPr>
      </w:pPr>
      <w:r w:rsidRPr="3EC9761B">
        <w:rPr>
          <w:rFonts w:ascii="Times New Roman" w:eastAsia="Times New Roman" w:hAnsi="Times New Roman" w:cs="Times New Roman"/>
          <w:color w:val="000000" w:themeColor="text1"/>
          <w:lang w:val="en-GB"/>
        </w:rPr>
        <w:t>Srivastava, S. K. (2007), “Green supply</w:t>
      </w:r>
      <w:r w:rsidRPr="3EC9761B">
        <w:rPr>
          <w:rFonts w:ascii="Times New Roman" w:eastAsia="Times New Roman" w:hAnsi="Times New Roman" w:cs="Times New Roman"/>
          <w:color w:val="000000" w:themeColor="text1"/>
        </w:rPr>
        <w:t>-</w:t>
      </w:r>
      <w:r w:rsidRPr="3EC9761B">
        <w:rPr>
          <w:rFonts w:ascii="Times New Roman" w:eastAsia="Times New Roman" w:hAnsi="Times New Roman" w:cs="Times New Roman"/>
          <w:color w:val="000000" w:themeColor="text1"/>
          <w:lang w:val="en-GB"/>
        </w:rPr>
        <w:t>chain management: a state</w:t>
      </w:r>
      <w:r w:rsidRPr="3EC9761B">
        <w:rPr>
          <w:rFonts w:ascii="Times New Roman" w:eastAsia="Times New Roman" w:hAnsi="Times New Roman" w:cs="Times New Roman"/>
          <w:color w:val="000000" w:themeColor="text1"/>
        </w:rPr>
        <w:t>-</w:t>
      </w:r>
      <w:r w:rsidRPr="3EC9761B">
        <w:rPr>
          <w:rFonts w:ascii="Times New Roman" w:eastAsia="Times New Roman" w:hAnsi="Times New Roman" w:cs="Times New Roman"/>
          <w:color w:val="000000" w:themeColor="text1"/>
          <w:lang w:val="en-GB"/>
        </w:rPr>
        <w:t>of</w:t>
      </w:r>
      <w:r w:rsidRPr="3EC9761B">
        <w:rPr>
          <w:rFonts w:ascii="Times New Roman" w:eastAsia="Times New Roman" w:hAnsi="Times New Roman" w:cs="Times New Roman"/>
          <w:color w:val="000000" w:themeColor="text1"/>
        </w:rPr>
        <w:t>-</w:t>
      </w:r>
      <w:r w:rsidRPr="3EC9761B">
        <w:rPr>
          <w:rFonts w:ascii="Times New Roman" w:eastAsia="Times New Roman" w:hAnsi="Times New Roman" w:cs="Times New Roman"/>
          <w:color w:val="000000" w:themeColor="text1"/>
          <w:lang w:val="en-GB"/>
        </w:rPr>
        <w:t>the</w:t>
      </w:r>
      <w:r w:rsidRPr="3EC9761B">
        <w:rPr>
          <w:rFonts w:ascii="Times New Roman" w:eastAsia="Times New Roman" w:hAnsi="Times New Roman" w:cs="Times New Roman"/>
          <w:color w:val="000000" w:themeColor="text1"/>
        </w:rPr>
        <w:t>-</w:t>
      </w:r>
      <w:r w:rsidRPr="3EC9761B">
        <w:rPr>
          <w:rFonts w:ascii="Times New Roman" w:eastAsia="Times New Roman" w:hAnsi="Times New Roman" w:cs="Times New Roman"/>
          <w:color w:val="000000" w:themeColor="text1"/>
          <w:lang w:val="en-GB"/>
        </w:rPr>
        <w:t xml:space="preserve">art literature review”, </w:t>
      </w:r>
      <w:r w:rsidRPr="3EC9761B">
        <w:rPr>
          <w:rFonts w:ascii="Times New Roman" w:eastAsia="Times New Roman" w:hAnsi="Times New Roman" w:cs="Times New Roman"/>
          <w:i/>
          <w:iCs/>
          <w:color w:val="000000" w:themeColor="text1"/>
          <w:lang w:val="en-GB"/>
        </w:rPr>
        <w:t>International Journal of Management Reviews</w:t>
      </w:r>
      <w:r w:rsidRPr="3EC9761B">
        <w:rPr>
          <w:rFonts w:ascii="Times New Roman" w:eastAsia="Times New Roman" w:hAnsi="Times New Roman" w:cs="Times New Roman"/>
          <w:color w:val="000000" w:themeColor="text1"/>
          <w:lang w:val="en-GB"/>
        </w:rPr>
        <w:t xml:space="preserve">, Vol. 9 No. 1, pp. 53–80. </w:t>
      </w:r>
      <w:r w:rsidRPr="3EC9761B">
        <w:rPr>
          <w:rFonts w:ascii="Times New Roman" w:eastAsia="Times New Roman" w:hAnsi="Times New Roman" w:cs="Times New Roman"/>
          <w:lang w:val="en-GB"/>
        </w:rPr>
        <w:t>https://doi.org/10.1111/j.1468-2370.2007.00202.x</w:t>
      </w:r>
    </w:p>
    <w:p w14:paraId="2C906D04" w14:textId="56F3A51F" w:rsidR="50B5A393" w:rsidRDefault="3EC9761B" w:rsidP="3EC9761B">
      <w:pPr>
        <w:pStyle w:val="Bibliography"/>
        <w:spacing w:after="240"/>
        <w:ind w:left="720" w:hanging="720"/>
        <w:rPr>
          <w:rFonts w:ascii="Times New Roman" w:eastAsia="Times New Roman" w:hAnsi="Times New Roman" w:cs="Times New Roman"/>
          <w:color w:val="000000" w:themeColor="text1"/>
          <w:lang w:val="en-GB"/>
        </w:rPr>
      </w:pPr>
      <w:r w:rsidRPr="3EC9761B">
        <w:rPr>
          <w:rFonts w:ascii="Times New Roman" w:eastAsia="Times New Roman" w:hAnsi="Times New Roman" w:cs="Times New Roman"/>
          <w:color w:val="000000" w:themeColor="text1"/>
          <w:lang w:val="en-GB"/>
        </w:rPr>
        <w:t xml:space="preserve">Srivastava, S. K. (2008), “Network design for reverse logistics”, </w:t>
      </w:r>
      <w:r w:rsidRPr="3EC9761B">
        <w:rPr>
          <w:rFonts w:ascii="Times New Roman" w:eastAsia="Times New Roman" w:hAnsi="Times New Roman" w:cs="Times New Roman"/>
          <w:i/>
          <w:iCs/>
          <w:color w:val="000000" w:themeColor="text1"/>
          <w:lang w:val="en-GB"/>
        </w:rPr>
        <w:t>Omega</w:t>
      </w:r>
      <w:r w:rsidRPr="3EC9761B">
        <w:rPr>
          <w:rFonts w:ascii="Times New Roman" w:eastAsia="Times New Roman" w:hAnsi="Times New Roman" w:cs="Times New Roman"/>
          <w:color w:val="000000" w:themeColor="text1"/>
          <w:lang w:val="en-GB"/>
        </w:rPr>
        <w:t xml:space="preserve">, Vol. 36 No. 4, pp. 535–548. </w:t>
      </w:r>
      <w:r w:rsidRPr="3EC9761B">
        <w:rPr>
          <w:rFonts w:ascii="Times New Roman" w:eastAsia="Times New Roman" w:hAnsi="Times New Roman" w:cs="Times New Roman"/>
          <w:lang w:val="en-GB"/>
        </w:rPr>
        <w:t xml:space="preserve">https://doi.org/10.1016/j.omega.2006.11.012 </w:t>
      </w:r>
    </w:p>
    <w:p w14:paraId="30D6DE3A" w14:textId="57593317" w:rsidR="50B5A393" w:rsidRDefault="3EC9761B" w:rsidP="3EC9761B">
      <w:pPr>
        <w:pStyle w:val="Bibliography"/>
        <w:spacing w:after="240"/>
        <w:ind w:left="720" w:hanging="720"/>
        <w:rPr>
          <w:lang w:val="en-GB"/>
        </w:rPr>
      </w:pPr>
      <w:r w:rsidRPr="3EC9761B">
        <w:rPr>
          <w:rFonts w:ascii="Times New Roman" w:eastAsia="Times New Roman" w:hAnsi="Times New Roman" w:cs="Times New Roman"/>
          <w:color w:val="000000" w:themeColor="text1"/>
          <w:lang w:val="en-GB"/>
        </w:rPr>
        <w:t xml:space="preserve">Stock, J. R. and Mulki, J. P. (2009), “Product returns processing: an examination of practices of manufacturers, wholesalers/distributors, and retailers”, </w:t>
      </w:r>
      <w:r w:rsidRPr="3EC9761B">
        <w:rPr>
          <w:rFonts w:ascii="Times New Roman" w:eastAsia="Times New Roman" w:hAnsi="Times New Roman" w:cs="Times New Roman"/>
          <w:i/>
          <w:iCs/>
          <w:color w:val="000000" w:themeColor="text1"/>
          <w:lang w:val="en-GB"/>
        </w:rPr>
        <w:t>Journal of Business Logistics</w:t>
      </w:r>
      <w:r w:rsidRPr="3EC9761B">
        <w:rPr>
          <w:rFonts w:ascii="Times New Roman" w:eastAsia="Times New Roman" w:hAnsi="Times New Roman" w:cs="Times New Roman"/>
          <w:color w:val="000000" w:themeColor="text1"/>
          <w:lang w:val="en-GB"/>
        </w:rPr>
        <w:t>, Vol. 30 No. 1, pp. 33–62. https://doi.org/10.1002/j.2158-1592.2009.tb00098.x</w:t>
      </w:r>
      <w:r w:rsidRPr="3EC9761B">
        <w:rPr>
          <w:lang w:val="en-GB"/>
        </w:rPr>
        <w:t xml:space="preserve"> </w:t>
      </w:r>
    </w:p>
    <w:p w14:paraId="112F91BB" w14:textId="759D8867" w:rsidR="50B5A393" w:rsidRDefault="3EC9761B" w:rsidP="7F2C47FD">
      <w:pPr>
        <w:pStyle w:val="Bibliography"/>
        <w:spacing w:after="240"/>
        <w:ind w:left="720" w:hanging="720"/>
        <w:rPr>
          <w:rFonts w:ascii="Times New Roman" w:eastAsia="Times New Roman" w:hAnsi="Times New Roman" w:cs="Times New Roman"/>
        </w:rPr>
      </w:pPr>
      <w:r w:rsidRPr="3EC9761B">
        <w:rPr>
          <w:rFonts w:ascii="Times New Roman" w:eastAsia="Times New Roman" w:hAnsi="Times New Roman" w:cs="Times New Roman"/>
          <w:color w:val="000000" w:themeColor="text1"/>
          <w:lang w:val="en-GB"/>
        </w:rPr>
        <w:t xml:space="preserve">Stock, J., Speh, T., and Shear, H. (2006), “Managing product returns for competitive advantage”, </w:t>
      </w:r>
      <w:r w:rsidRPr="3EC9761B">
        <w:rPr>
          <w:rFonts w:ascii="Times New Roman" w:eastAsia="Times New Roman" w:hAnsi="Times New Roman" w:cs="Times New Roman"/>
          <w:i/>
          <w:iCs/>
          <w:color w:val="000000" w:themeColor="text1"/>
          <w:lang w:val="en-GB"/>
        </w:rPr>
        <w:t>MIT Sloan Management Review</w:t>
      </w:r>
      <w:r w:rsidRPr="3EC9761B">
        <w:rPr>
          <w:rFonts w:ascii="Times New Roman" w:eastAsia="Times New Roman" w:hAnsi="Times New Roman" w:cs="Times New Roman"/>
          <w:color w:val="000000" w:themeColor="text1"/>
          <w:lang w:val="en-GB"/>
        </w:rPr>
        <w:t xml:space="preserve">, Vol. 48 No. 1, p. 57. </w:t>
      </w:r>
      <w:r w:rsidRPr="3EC9761B">
        <w:rPr>
          <w:rFonts w:ascii="Times New Roman" w:eastAsia="Times New Roman" w:hAnsi="Times New Roman" w:cs="Times New Roman"/>
        </w:rPr>
        <w:t xml:space="preserve"> </w:t>
      </w:r>
    </w:p>
    <w:p w14:paraId="38C7BA79" w14:textId="12BCF353" w:rsidR="50B5A393" w:rsidRDefault="3EC9761B" w:rsidP="3EC9761B">
      <w:pPr>
        <w:pStyle w:val="Bibliography"/>
        <w:spacing w:after="240"/>
        <w:ind w:left="720" w:hanging="720"/>
        <w:rPr>
          <w:rFonts w:ascii="Times New Roman" w:eastAsia="Times New Roman" w:hAnsi="Times New Roman" w:cs="Times New Roman"/>
        </w:rPr>
      </w:pPr>
      <w:r w:rsidRPr="3EC9761B">
        <w:rPr>
          <w:rFonts w:ascii="Times New Roman" w:eastAsia="Times New Roman" w:hAnsi="Times New Roman" w:cs="Times New Roman"/>
          <w:color w:val="000000" w:themeColor="text1"/>
          <w:lang w:val="en-GB"/>
        </w:rPr>
        <w:t xml:space="preserve">Thierry, M., Salomon, M., Van Nunen, J., and Van Wassenhove, L. (1995), “Strategic issues in product recovery management”, </w:t>
      </w:r>
      <w:r w:rsidRPr="3EC9761B">
        <w:rPr>
          <w:rFonts w:ascii="Times New Roman" w:eastAsia="Times New Roman" w:hAnsi="Times New Roman" w:cs="Times New Roman"/>
          <w:i/>
          <w:iCs/>
          <w:color w:val="000000" w:themeColor="text1"/>
          <w:lang w:val="en-GB"/>
        </w:rPr>
        <w:t>California Management Review</w:t>
      </w:r>
      <w:r w:rsidRPr="3EC9761B">
        <w:rPr>
          <w:rFonts w:ascii="Times New Roman" w:eastAsia="Times New Roman" w:hAnsi="Times New Roman" w:cs="Times New Roman"/>
          <w:color w:val="000000" w:themeColor="text1"/>
          <w:lang w:val="en-GB"/>
        </w:rPr>
        <w:t>, Vol. 37 No. 2, pp. 114–136. https://doi.org/10.2307/41165792</w:t>
      </w:r>
    </w:p>
    <w:p w14:paraId="68740288" w14:textId="38FCA1A2" w:rsidR="00A3182C" w:rsidRDefault="00A3182C" w:rsidP="45BA1AAA">
      <w:pPr>
        <w:ind w:left="720" w:hanging="720"/>
        <w:rPr>
          <w:rFonts w:ascii="Times New Roman" w:hAnsi="Times New Roman" w:cs="Times New Roman"/>
          <w:b/>
          <w:bCs/>
        </w:rPr>
      </w:pPr>
    </w:p>
    <w:p w14:paraId="0CCE31C5" w14:textId="77777777" w:rsidR="00072B2F" w:rsidRDefault="00072B2F">
      <w:pPr>
        <w:rPr>
          <w:rFonts w:ascii="Times New Roman" w:hAnsi="Times New Roman" w:cs="Times New Roman"/>
          <w:b/>
          <w:bCs/>
        </w:rPr>
      </w:pPr>
      <w:r>
        <w:rPr>
          <w:rFonts w:ascii="Times New Roman" w:hAnsi="Times New Roman" w:cs="Times New Roman"/>
          <w:b/>
          <w:bCs/>
        </w:rPr>
        <w:br w:type="page"/>
      </w:r>
    </w:p>
    <w:p w14:paraId="55B28ED4" w14:textId="6C4ACE03" w:rsidR="00240696" w:rsidRDefault="50B5A393" w:rsidP="00240696">
      <w:pPr>
        <w:jc w:val="center"/>
        <w:rPr>
          <w:rFonts w:ascii="Times New Roman" w:hAnsi="Times New Roman" w:cs="Times New Roman"/>
          <w:b/>
          <w:bCs/>
        </w:rPr>
      </w:pPr>
      <w:r w:rsidRPr="50B5A393">
        <w:rPr>
          <w:rFonts w:ascii="Times New Roman" w:hAnsi="Times New Roman" w:cs="Times New Roman"/>
          <w:b/>
          <w:bCs/>
        </w:rPr>
        <w:lastRenderedPageBreak/>
        <w:t>SUPPLEMENTARY FILE S2a: STUDY 1 INTERVIEW GUIDE</w:t>
      </w:r>
    </w:p>
    <w:p w14:paraId="1328DD07" w14:textId="77777777" w:rsidR="00240696" w:rsidRPr="00240696" w:rsidRDefault="00240696" w:rsidP="00240696">
      <w:pPr>
        <w:jc w:val="center"/>
        <w:rPr>
          <w:rFonts w:ascii="Times New Roman" w:eastAsia="Calibri" w:hAnsi="Times New Roman" w:cs="Times New Roman"/>
          <w:b/>
          <w:sz w:val="22"/>
        </w:rPr>
      </w:pPr>
    </w:p>
    <w:p w14:paraId="3E1E4B8F" w14:textId="77777777" w:rsidR="00240696" w:rsidRPr="00240696" w:rsidRDefault="00240696" w:rsidP="00240696">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2"/>
        </w:rPr>
      </w:pPr>
    </w:p>
    <w:p w14:paraId="2B45800C" w14:textId="77777777" w:rsidR="00240696" w:rsidRPr="00240696" w:rsidRDefault="00240696" w:rsidP="00240696">
      <w:pPr>
        <w:pBdr>
          <w:top w:val="single" w:sz="4" w:space="1" w:color="auto"/>
          <w:left w:val="single" w:sz="4" w:space="4" w:color="auto"/>
          <w:bottom w:val="single" w:sz="4" w:space="1" w:color="auto"/>
          <w:right w:val="single" w:sz="4" w:space="4" w:color="auto"/>
        </w:pBdr>
        <w:spacing w:line="360" w:lineRule="auto"/>
        <w:jc w:val="both"/>
        <w:rPr>
          <w:rFonts w:ascii="Times New Roman" w:eastAsia="Calibri" w:hAnsi="Times New Roman" w:cs="Times New Roman"/>
          <w:sz w:val="22"/>
        </w:rPr>
      </w:pPr>
      <w:r w:rsidRPr="00240696">
        <w:rPr>
          <w:rFonts w:ascii="Times New Roman" w:eastAsia="Calibri" w:hAnsi="Times New Roman" w:cs="Times New Roman"/>
          <w:sz w:val="22"/>
        </w:rPr>
        <w:t>Interview with: ______________________________</w:t>
      </w:r>
      <w:proofErr w:type="gramStart"/>
      <w:r w:rsidRPr="00240696">
        <w:rPr>
          <w:rFonts w:ascii="Times New Roman" w:eastAsia="Calibri" w:hAnsi="Times New Roman" w:cs="Times New Roman"/>
          <w:sz w:val="22"/>
        </w:rPr>
        <w:t>By</w:t>
      </w:r>
      <w:proofErr w:type="gramEnd"/>
      <w:r w:rsidRPr="00240696">
        <w:rPr>
          <w:rFonts w:ascii="Times New Roman" w:eastAsia="Calibri" w:hAnsi="Times New Roman" w:cs="Times New Roman"/>
          <w:sz w:val="22"/>
        </w:rPr>
        <w:t xml:space="preserve"> ________________ </w:t>
      </w:r>
      <w:proofErr w:type="gramStart"/>
      <w:r w:rsidRPr="00240696">
        <w:rPr>
          <w:rFonts w:ascii="Times New Roman" w:eastAsia="Calibri" w:hAnsi="Times New Roman" w:cs="Times New Roman"/>
          <w:sz w:val="22"/>
        </w:rPr>
        <w:t>On</w:t>
      </w:r>
      <w:proofErr w:type="gramEnd"/>
      <w:r w:rsidRPr="00240696">
        <w:rPr>
          <w:rFonts w:ascii="Times New Roman" w:eastAsia="Calibri" w:hAnsi="Times New Roman" w:cs="Times New Roman"/>
          <w:sz w:val="22"/>
        </w:rPr>
        <w:t xml:space="preserve"> _____________</w:t>
      </w:r>
    </w:p>
    <w:p w14:paraId="244E10B2"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240696">
        <w:rPr>
          <w:rFonts w:ascii="Times New Roman" w:eastAsia="Calibri" w:hAnsi="Times New Roman" w:cs="Times New Roman"/>
          <w:sz w:val="22"/>
        </w:rPr>
        <w:t xml:space="preserve">In general, capabilities </w:t>
      </w:r>
      <w:proofErr w:type="gramStart"/>
      <w:r w:rsidRPr="00240696">
        <w:rPr>
          <w:rFonts w:ascii="Times New Roman" w:eastAsia="Calibri" w:hAnsi="Times New Roman" w:cs="Times New Roman"/>
          <w:sz w:val="22"/>
        </w:rPr>
        <w:t>refers</w:t>
      </w:r>
      <w:proofErr w:type="gramEnd"/>
      <w:r w:rsidRPr="00240696">
        <w:rPr>
          <w:rFonts w:ascii="Times New Roman" w:eastAsia="Calibri" w:hAnsi="Times New Roman" w:cs="Times New Roman"/>
          <w:sz w:val="22"/>
        </w:rPr>
        <w:t xml:space="preserve"> to what a firm can do </w:t>
      </w:r>
      <w:proofErr w:type="gramStart"/>
      <w:r w:rsidRPr="00240696">
        <w:rPr>
          <w:rFonts w:ascii="Times New Roman" w:eastAsia="Calibri" w:hAnsi="Times New Roman" w:cs="Times New Roman"/>
          <w:sz w:val="22"/>
        </w:rPr>
        <w:t>as a result of</w:t>
      </w:r>
      <w:proofErr w:type="gramEnd"/>
      <w:r w:rsidRPr="00240696">
        <w:rPr>
          <w:rFonts w:ascii="Times New Roman" w:eastAsia="Calibri" w:hAnsi="Times New Roman" w:cs="Times New Roman"/>
          <w:sz w:val="22"/>
        </w:rPr>
        <w:t xml:space="preserve"> the way they assemble and employ resources.  In other words, </w:t>
      </w:r>
      <w:r w:rsidRPr="00240696">
        <w:rPr>
          <w:rFonts w:ascii="Times New Roman" w:eastAsia="Calibri" w:hAnsi="Times New Roman" w:cs="Times New Roman"/>
          <w:i/>
          <w:sz w:val="22"/>
        </w:rPr>
        <w:t>what they do with the resources</w:t>
      </w:r>
      <w:r w:rsidRPr="00240696">
        <w:rPr>
          <w:rFonts w:ascii="Times New Roman" w:eastAsia="Calibri" w:hAnsi="Times New Roman" w:cs="Times New Roman"/>
          <w:sz w:val="22"/>
        </w:rPr>
        <w:t xml:space="preserve"> available is critical. </w:t>
      </w:r>
    </w:p>
    <w:p w14:paraId="61E34950"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240696">
        <w:rPr>
          <w:rFonts w:ascii="Times New Roman" w:eastAsia="Calibri" w:hAnsi="Times New Roman" w:cs="Times New Roman"/>
          <w:sz w:val="22"/>
        </w:rPr>
        <w:t xml:space="preserve">Our specific focus of this research is on </w:t>
      </w:r>
      <w:r w:rsidRPr="00240696">
        <w:rPr>
          <w:rFonts w:ascii="Times New Roman" w:eastAsia="Calibri" w:hAnsi="Times New Roman" w:cs="Times New Roman"/>
          <w:b/>
          <w:sz w:val="22"/>
        </w:rPr>
        <w:t>returns management</w:t>
      </w:r>
      <w:r w:rsidRPr="00240696">
        <w:rPr>
          <w:rFonts w:ascii="Times New Roman" w:eastAsia="Calibri" w:hAnsi="Times New Roman" w:cs="Times New Roman"/>
          <w:sz w:val="22"/>
        </w:rPr>
        <w:t xml:space="preserve"> and the capabilities that a company needs to develop </w:t>
      </w:r>
      <w:proofErr w:type="gramStart"/>
      <w:r w:rsidRPr="00240696">
        <w:rPr>
          <w:rFonts w:ascii="Times New Roman" w:eastAsia="Calibri" w:hAnsi="Times New Roman" w:cs="Times New Roman"/>
          <w:sz w:val="22"/>
        </w:rPr>
        <w:t>in order to</w:t>
      </w:r>
      <w:proofErr w:type="gramEnd"/>
      <w:r w:rsidRPr="00240696">
        <w:rPr>
          <w:rFonts w:ascii="Times New Roman" w:eastAsia="Calibri" w:hAnsi="Times New Roman" w:cs="Times New Roman"/>
          <w:sz w:val="22"/>
        </w:rPr>
        <w:t xml:space="preserve"> be highly effective and efficient in handling returned products.</w:t>
      </w:r>
    </w:p>
    <w:p w14:paraId="67807B4B"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4706E867"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b/>
          <w:sz w:val="22"/>
        </w:rPr>
      </w:pPr>
      <w:r w:rsidRPr="00240696">
        <w:rPr>
          <w:rFonts w:ascii="Times New Roman" w:eastAsia="Calibri" w:hAnsi="Times New Roman" w:cs="Times New Roman"/>
          <w:b/>
          <w:sz w:val="22"/>
        </w:rPr>
        <w:t xml:space="preserve">Questions: </w:t>
      </w:r>
    </w:p>
    <w:p w14:paraId="6F0E906E"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240696">
        <w:rPr>
          <w:rFonts w:ascii="Times New Roman" w:eastAsia="Calibri" w:hAnsi="Times New Roman" w:cs="Times New Roman"/>
          <w:sz w:val="22"/>
        </w:rPr>
        <w:t>1. Your company’s returns management background. a) B2B or direct to consumers, b) Volume, c) Type of products, d) Return policies, e) Primary reason for returns, and d) Trends for returns</w:t>
      </w:r>
    </w:p>
    <w:p w14:paraId="1CC7C413"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36B9C6F9"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240696">
        <w:rPr>
          <w:rFonts w:ascii="Times New Roman" w:eastAsia="Calibri" w:hAnsi="Times New Roman" w:cs="Times New Roman"/>
          <w:sz w:val="22"/>
        </w:rPr>
        <w:t xml:space="preserve">2. Please explain the specific capabilities needed to be effective in handling returns in your </w:t>
      </w:r>
      <w:proofErr w:type="gramStart"/>
      <w:r w:rsidRPr="00240696">
        <w:rPr>
          <w:rFonts w:ascii="Times New Roman" w:eastAsia="Calibri" w:hAnsi="Times New Roman" w:cs="Times New Roman"/>
          <w:sz w:val="22"/>
        </w:rPr>
        <w:t>opinion?</w:t>
      </w:r>
      <w:proofErr w:type="gramEnd"/>
      <w:r w:rsidRPr="00240696">
        <w:rPr>
          <w:rFonts w:ascii="Times New Roman" w:eastAsia="Calibri" w:hAnsi="Times New Roman" w:cs="Times New Roman"/>
          <w:sz w:val="22"/>
        </w:rPr>
        <w:t xml:space="preserve"> </w:t>
      </w:r>
    </w:p>
    <w:p w14:paraId="10130F88"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46479C6A"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240696">
        <w:rPr>
          <w:rFonts w:ascii="Times New Roman" w:eastAsia="Calibri" w:hAnsi="Times New Roman" w:cs="Times New Roman"/>
          <w:sz w:val="22"/>
        </w:rPr>
        <w:t xml:space="preserve">3. How </w:t>
      </w:r>
      <w:proofErr w:type="gramStart"/>
      <w:r w:rsidRPr="00240696">
        <w:rPr>
          <w:rFonts w:ascii="Times New Roman" w:eastAsia="Calibri" w:hAnsi="Times New Roman" w:cs="Times New Roman"/>
          <w:sz w:val="22"/>
        </w:rPr>
        <w:t>good of</w:t>
      </w:r>
      <w:proofErr w:type="gramEnd"/>
      <w:r w:rsidRPr="00240696">
        <w:rPr>
          <w:rFonts w:ascii="Times New Roman" w:eastAsia="Calibri" w:hAnsi="Times New Roman" w:cs="Times New Roman"/>
          <w:sz w:val="22"/>
        </w:rPr>
        <w:t xml:space="preserve"> </w:t>
      </w:r>
      <w:proofErr w:type="gramStart"/>
      <w:r w:rsidRPr="00240696">
        <w:rPr>
          <w:rFonts w:ascii="Times New Roman" w:eastAsia="Calibri" w:hAnsi="Times New Roman" w:cs="Times New Roman"/>
          <w:sz w:val="22"/>
        </w:rPr>
        <w:t>a job is</w:t>
      </w:r>
      <w:proofErr w:type="gramEnd"/>
      <w:r w:rsidRPr="00240696">
        <w:rPr>
          <w:rFonts w:ascii="Times New Roman" w:eastAsia="Calibri" w:hAnsi="Times New Roman" w:cs="Times New Roman"/>
          <w:sz w:val="22"/>
        </w:rPr>
        <w:t xml:space="preserve"> your company </w:t>
      </w:r>
      <w:proofErr w:type="gramStart"/>
      <w:r w:rsidRPr="00240696">
        <w:rPr>
          <w:rFonts w:ascii="Times New Roman" w:eastAsia="Calibri" w:hAnsi="Times New Roman" w:cs="Times New Roman"/>
          <w:sz w:val="22"/>
        </w:rPr>
        <w:t>doing</w:t>
      </w:r>
      <w:proofErr w:type="gramEnd"/>
      <w:r w:rsidRPr="00240696">
        <w:rPr>
          <w:rFonts w:ascii="Times New Roman" w:eastAsia="Calibri" w:hAnsi="Times New Roman" w:cs="Times New Roman"/>
          <w:sz w:val="22"/>
        </w:rPr>
        <w:t>? In which capabilities do you excel? Which capabilities do you struggle with?</w:t>
      </w:r>
    </w:p>
    <w:p w14:paraId="44485757"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264B6D5D"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240696">
        <w:rPr>
          <w:rFonts w:ascii="Times New Roman" w:eastAsia="Calibri" w:hAnsi="Times New Roman" w:cs="Times New Roman"/>
          <w:sz w:val="22"/>
        </w:rPr>
        <w:t xml:space="preserve">4. Do you have any other comments to add? </w:t>
      </w:r>
    </w:p>
    <w:p w14:paraId="36AF4A93" w14:textId="77777777" w:rsidR="00240696" w:rsidRPr="00240696" w:rsidRDefault="00240696" w:rsidP="00240696">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7DCCAF4F" w14:textId="77777777" w:rsidR="00240696" w:rsidRPr="00240696" w:rsidRDefault="00240696" w:rsidP="00240696">
      <w:pPr>
        <w:rPr>
          <w:rFonts w:ascii="Times New Roman" w:eastAsia="Times New Roman" w:hAnsi="Times New Roman" w:cs="Times New Roman"/>
          <w:sz w:val="22"/>
        </w:rPr>
      </w:pPr>
    </w:p>
    <w:p w14:paraId="306E5599" w14:textId="236EA3A9" w:rsidR="00240696" w:rsidRPr="008C7832" w:rsidRDefault="008C7832" w:rsidP="00240696">
      <w:pPr>
        <w:rPr>
          <w:rFonts w:ascii="Times New Roman" w:eastAsia="Times New Roman" w:hAnsi="Times New Roman" w:cs="Times New Roman"/>
          <w:sz w:val="22"/>
        </w:rPr>
      </w:pPr>
      <w:r w:rsidRPr="008C7832">
        <w:rPr>
          <w:rFonts w:ascii="Times New Roman" w:eastAsia="Times New Roman" w:hAnsi="Times New Roman" w:cs="Times New Roman"/>
          <w:b/>
          <w:bCs/>
          <w:sz w:val="22"/>
        </w:rPr>
        <w:t>Source</w:t>
      </w:r>
      <w:r w:rsidRPr="008C7832">
        <w:rPr>
          <w:rFonts w:ascii="Times New Roman" w:eastAsia="Times New Roman" w:hAnsi="Times New Roman" w:cs="Times New Roman"/>
          <w:b/>
          <w:bCs/>
          <w:sz w:val="22"/>
        </w:rPr>
        <w:t>(s)</w:t>
      </w:r>
      <w:r w:rsidRPr="008C7832">
        <w:rPr>
          <w:rFonts w:ascii="Times New Roman" w:eastAsia="Times New Roman" w:hAnsi="Times New Roman" w:cs="Times New Roman"/>
          <w:b/>
          <w:bCs/>
          <w:sz w:val="22"/>
        </w:rPr>
        <w:t>:</w:t>
      </w:r>
      <w:r w:rsidRPr="008C7832">
        <w:rPr>
          <w:rFonts w:ascii="Times New Roman" w:eastAsia="Times New Roman" w:hAnsi="Times New Roman" w:cs="Times New Roman"/>
          <w:sz w:val="22"/>
        </w:rPr>
        <w:t xml:space="preserve"> Authors own work</w:t>
      </w:r>
    </w:p>
    <w:p w14:paraId="13D697A4" w14:textId="0BF60B9D" w:rsidR="007A5BDD" w:rsidRDefault="007A5BDD">
      <w:pPr>
        <w:rPr>
          <w:rFonts w:eastAsia="Times New Roman" w:cs="Times New Roman"/>
          <w:sz w:val="22"/>
        </w:rPr>
      </w:pPr>
      <w:r>
        <w:rPr>
          <w:rFonts w:eastAsia="Times New Roman" w:cs="Times New Roman"/>
          <w:sz w:val="22"/>
        </w:rPr>
        <w:br w:type="page"/>
      </w:r>
    </w:p>
    <w:p w14:paraId="18C0D744" w14:textId="3A454E37" w:rsidR="007C6C31" w:rsidRDefault="50B5A393" w:rsidP="007C6C31">
      <w:pPr>
        <w:jc w:val="center"/>
        <w:rPr>
          <w:rFonts w:ascii="Times New Roman" w:hAnsi="Times New Roman" w:cs="Times New Roman"/>
          <w:b/>
          <w:bCs/>
        </w:rPr>
      </w:pPr>
      <w:r w:rsidRPr="50B5A393">
        <w:rPr>
          <w:rFonts w:ascii="Times New Roman" w:hAnsi="Times New Roman" w:cs="Times New Roman"/>
          <w:b/>
          <w:bCs/>
        </w:rPr>
        <w:lastRenderedPageBreak/>
        <w:t>SUPPLEMENTARY FILE S2b: STUDY 3 INTERVIEW GUIDE</w:t>
      </w:r>
    </w:p>
    <w:p w14:paraId="390F1090" w14:textId="77777777" w:rsidR="007C6C31" w:rsidRPr="00240696" w:rsidRDefault="007C6C31" w:rsidP="007C6C31">
      <w:pPr>
        <w:jc w:val="center"/>
        <w:rPr>
          <w:rFonts w:ascii="Times New Roman" w:eastAsia="Calibri" w:hAnsi="Times New Roman" w:cs="Times New Roman"/>
          <w:b/>
          <w:sz w:val="22"/>
        </w:rPr>
      </w:pPr>
    </w:p>
    <w:p w14:paraId="11FB3B62" w14:textId="77777777" w:rsidR="007C6C31" w:rsidRPr="00240696" w:rsidRDefault="007C6C31" w:rsidP="007C6C31">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2"/>
        </w:rPr>
      </w:pPr>
    </w:p>
    <w:p w14:paraId="6E21D49F" w14:textId="77777777" w:rsidR="007C6C31" w:rsidRPr="00240696" w:rsidRDefault="007C6C31" w:rsidP="007C6C31">
      <w:pPr>
        <w:pBdr>
          <w:top w:val="single" w:sz="4" w:space="1" w:color="auto"/>
          <w:left w:val="single" w:sz="4" w:space="4" w:color="auto"/>
          <w:bottom w:val="single" w:sz="4" w:space="1" w:color="auto"/>
          <w:right w:val="single" w:sz="4" w:space="4" w:color="auto"/>
        </w:pBdr>
        <w:spacing w:line="360" w:lineRule="auto"/>
        <w:jc w:val="both"/>
        <w:rPr>
          <w:rFonts w:ascii="Times New Roman" w:eastAsia="Calibri" w:hAnsi="Times New Roman" w:cs="Times New Roman"/>
          <w:sz w:val="22"/>
        </w:rPr>
      </w:pPr>
      <w:r w:rsidRPr="00240696">
        <w:rPr>
          <w:rFonts w:ascii="Times New Roman" w:eastAsia="Calibri" w:hAnsi="Times New Roman" w:cs="Times New Roman"/>
          <w:sz w:val="22"/>
        </w:rPr>
        <w:t>Interview with: ______________________________</w:t>
      </w:r>
      <w:proofErr w:type="gramStart"/>
      <w:r w:rsidRPr="00240696">
        <w:rPr>
          <w:rFonts w:ascii="Times New Roman" w:eastAsia="Calibri" w:hAnsi="Times New Roman" w:cs="Times New Roman"/>
          <w:sz w:val="22"/>
        </w:rPr>
        <w:t>By</w:t>
      </w:r>
      <w:proofErr w:type="gramEnd"/>
      <w:r w:rsidRPr="00240696">
        <w:rPr>
          <w:rFonts w:ascii="Times New Roman" w:eastAsia="Calibri" w:hAnsi="Times New Roman" w:cs="Times New Roman"/>
          <w:sz w:val="22"/>
        </w:rPr>
        <w:t xml:space="preserve"> ________________ </w:t>
      </w:r>
      <w:proofErr w:type="gramStart"/>
      <w:r w:rsidRPr="00240696">
        <w:rPr>
          <w:rFonts w:ascii="Times New Roman" w:eastAsia="Calibri" w:hAnsi="Times New Roman" w:cs="Times New Roman"/>
          <w:sz w:val="22"/>
        </w:rPr>
        <w:t>On</w:t>
      </w:r>
      <w:proofErr w:type="gramEnd"/>
      <w:r w:rsidRPr="00240696">
        <w:rPr>
          <w:rFonts w:ascii="Times New Roman" w:eastAsia="Calibri" w:hAnsi="Times New Roman" w:cs="Times New Roman"/>
          <w:sz w:val="22"/>
        </w:rPr>
        <w:t xml:space="preserve"> _____________</w:t>
      </w:r>
    </w:p>
    <w:p w14:paraId="2B3C602B" w14:textId="15FA1EAE" w:rsidR="007A5BDD" w:rsidRDefault="007A5BDD" w:rsidP="007C6C3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We think about R</w:t>
      </w:r>
      <w:r>
        <w:rPr>
          <w:rFonts w:ascii="Times New Roman" w:eastAsia="Calibri" w:hAnsi="Times New Roman" w:cs="Times New Roman"/>
          <w:sz w:val="22"/>
        </w:rPr>
        <w:t xml:space="preserve">eturns </w:t>
      </w:r>
      <w:r w:rsidRPr="00A3182C">
        <w:rPr>
          <w:rFonts w:ascii="Times New Roman" w:eastAsia="Calibri" w:hAnsi="Times New Roman" w:cs="Times New Roman"/>
          <w:sz w:val="22"/>
        </w:rPr>
        <w:t>M</w:t>
      </w:r>
      <w:r>
        <w:rPr>
          <w:rFonts w:ascii="Times New Roman" w:eastAsia="Calibri" w:hAnsi="Times New Roman" w:cs="Times New Roman"/>
          <w:sz w:val="22"/>
        </w:rPr>
        <w:t xml:space="preserve">anagement </w:t>
      </w:r>
      <w:r w:rsidRPr="00A3182C">
        <w:rPr>
          <w:rFonts w:ascii="Times New Roman" w:eastAsia="Calibri" w:hAnsi="Times New Roman" w:cs="Times New Roman"/>
          <w:sz w:val="22"/>
        </w:rPr>
        <w:t>C</w:t>
      </w:r>
      <w:r>
        <w:rPr>
          <w:rFonts w:ascii="Times New Roman" w:eastAsia="Calibri" w:hAnsi="Times New Roman" w:cs="Times New Roman"/>
          <w:sz w:val="22"/>
        </w:rPr>
        <w:t>apability (RMC)</w:t>
      </w:r>
      <w:r w:rsidRPr="00A3182C">
        <w:rPr>
          <w:rFonts w:ascii="Times New Roman" w:eastAsia="Calibri" w:hAnsi="Times New Roman" w:cs="Times New Roman"/>
          <w:sz w:val="22"/>
        </w:rPr>
        <w:t xml:space="preserve"> as </w:t>
      </w:r>
      <w:r w:rsidRPr="00A3182C">
        <w:rPr>
          <w:rFonts w:ascii="Times New Roman" w:eastAsia="Calibri" w:hAnsi="Times New Roman" w:cs="Times New Roman"/>
          <w:i/>
          <w:iCs/>
          <w:sz w:val="22"/>
        </w:rPr>
        <w:t>the ability to effectively and efficiently process customer returns</w:t>
      </w:r>
      <w:r w:rsidRPr="00A3182C">
        <w:rPr>
          <w:rFonts w:ascii="Times New Roman" w:eastAsia="Calibri" w:hAnsi="Times New Roman" w:cs="Times New Roman"/>
          <w:sz w:val="22"/>
        </w:rPr>
        <w:t>. Based on our conversations with other SCM professionals and subsequent research, we have identified five dimensions of RMC:</w:t>
      </w:r>
    </w:p>
    <w:p w14:paraId="304DB723" w14:textId="77777777" w:rsidR="007A5BDD" w:rsidRDefault="007A5BDD" w:rsidP="007C6C3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514C278C" w14:textId="562FC94B" w:rsidR="00A972D3"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b/>
          <w:bCs/>
          <w:i/>
          <w:iCs/>
          <w:sz w:val="22"/>
        </w:rPr>
        <w:t>Customer interface</w:t>
      </w:r>
      <w:r w:rsidRPr="00A3182C">
        <w:rPr>
          <w:rFonts w:ascii="Times New Roman" w:eastAsia="Calibri" w:hAnsi="Times New Roman" w:cs="Times New Roman"/>
          <w:b/>
          <w:bCs/>
          <w:sz w:val="22"/>
        </w:rPr>
        <w:t>:</w:t>
      </w:r>
      <w:r w:rsidRPr="00A3182C">
        <w:rPr>
          <w:rFonts w:ascii="Times New Roman" w:eastAsia="Calibri" w:hAnsi="Times New Roman" w:cs="Times New Roman"/>
          <w:sz w:val="22"/>
        </w:rPr>
        <w:t xml:space="preserve"> </w:t>
      </w:r>
      <w:r w:rsidR="00C1018F" w:rsidRPr="00C1018F">
        <w:rPr>
          <w:rFonts w:ascii="Times New Roman" w:eastAsia="Calibri" w:hAnsi="Times New Roman" w:cs="Times New Roman"/>
          <w:sz w:val="22"/>
        </w:rPr>
        <w:t xml:space="preserve">the ability to manage customer interactions during the returns process, including </w:t>
      </w:r>
      <w:r w:rsidR="00A972D3">
        <w:rPr>
          <w:rFonts w:ascii="Times New Roman" w:eastAsia="Calibri" w:hAnsi="Times New Roman" w:cs="Times New Roman"/>
          <w:sz w:val="22"/>
        </w:rPr>
        <w:t xml:space="preserve">tasks such as </w:t>
      </w:r>
      <w:r w:rsidR="00C1018F" w:rsidRPr="00C1018F">
        <w:rPr>
          <w:rFonts w:ascii="Times New Roman" w:eastAsia="Calibri" w:hAnsi="Times New Roman" w:cs="Times New Roman"/>
          <w:sz w:val="22"/>
        </w:rPr>
        <w:t>communicating with customers, designing customer-friendly return processes, and resolving customer disputes</w:t>
      </w:r>
      <w:r w:rsidR="00A972D3">
        <w:rPr>
          <w:rFonts w:ascii="Times New Roman" w:eastAsia="Calibri" w:hAnsi="Times New Roman" w:cs="Times New Roman"/>
          <w:sz w:val="22"/>
        </w:rPr>
        <w:t>.</w:t>
      </w:r>
    </w:p>
    <w:p w14:paraId="0BD7C273" w14:textId="59955CEF"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b/>
          <w:bCs/>
          <w:i/>
          <w:iCs/>
          <w:sz w:val="22"/>
        </w:rPr>
        <w:t>Information systems</w:t>
      </w:r>
      <w:r>
        <w:rPr>
          <w:rFonts w:ascii="Times New Roman" w:eastAsia="Calibri" w:hAnsi="Times New Roman" w:cs="Times New Roman"/>
          <w:b/>
          <w:bCs/>
          <w:i/>
          <w:iCs/>
          <w:sz w:val="22"/>
        </w:rPr>
        <w:t xml:space="preserve"> support</w:t>
      </w:r>
      <w:r w:rsidRPr="00A3182C">
        <w:rPr>
          <w:rFonts w:ascii="Times New Roman" w:eastAsia="Calibri" w:hAnsi="Times New Roman" w:cs="Times New Roman"/>
          <w:b/>
          <w:bCs/>
          <w:sz w:val="22"/>
        </w:rPr>
        <w:t>:</w:t>
      </w:r>
      <w:r w:rsidRPr="00A3182C">
        <w:rPr>
          <w:rFonts w:ascii="Times New Roman" w:eastAsia="Calibri" w:hAnsi="Times New Roman" w:cs="Times New Roman"/>
          <w:sz w:val="22"/>
        </w:rPr>
        <w:t xml:space="preserve"> </w:t>
      </w:r>
      <w:r w:rsidR="00C1018F" w:rsidRPr="00C1018F">
        <w:rPr>
          <w:rFonts w:ascii="Times New Roman" w:eastAsia="Calibri" w:hAnsi="Times New Roman" w:cs="Times New Roman"/>
          <w:sz w:val="22"/>
        </w:rPr>
        <w:t>the ability of a company’s systems to effectively capture information about returned merchandise, consolidate relevant information, and track and report returns management performance</w:t>
      </w:r>
      <w:r w:rsidR="00A972D3">
        <w:rPr>
          <w:rFonts w:ascii="Times New Roman" w:eastAsia="Calibri" w:hAnsi="Times New Roman" w:cs="Times New Roman"/>
          <w:sz w:val="22"/>
        </w:rPr>
        <w:t>.</w:t>
      </w:r>
    </w:p>
    <w:p w14:paraId="28FCF5B0" w14:textId="77777777" w:rsidR="00A972D3"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b/>
          <w:bCs/>
          <w:i/>
          <w:iCs/>
          <w:sz w:val="22"/>
        </w:rPr>
        <w:t>Processing</w:t>
      </w:r>
      <w:r w:rsidRPr="00A3182C">
        <w:rPr>
          <w:rFonts w:ascii="Times New Roman" w:eastAsia="Calibri" w:hAnsi="Times New Roman" w:cs="Times New Roman"/>
          <w:b/>
          <w:bCs/>
          <w:sz w:val="22"/>
        </w:rPr>
        <w:t>:</w:t>
      </w:r>
      <w:r w:rsidRPr="00A3182C">
        <w:rPr>
          <w:rFonts w:ascii="Times New Roman" w:eastAsia="Calibri" w:hAnsi="Times New Roman" w:cs="Times New Roman"/>
          <w:sz w:val="22"/>
        </w:rPr>
        <w:t xml:space="preserve"> </w:t>
      </w:r>
      <w:r w:rsidR="00C1018F" w:rsidRPr="00C1018F">
        <w:rPr>
          <w:rFonts w:ascii="Times New Roman" w:eastAsia="Calibri" w:hAnsi="Times New Roman" w:cs="Times New Roman"/>
          <w:sz w:val="22"/>
        </w:rPr>
        <w:t>the ability to efficiently intake, handle, evaluate, and make disposition decisions on returned products with qualified employees</w:t>
      </w:r>
      <w:r w:rsidR="00C1018F">
        <w:rPr>
          <w:rFonts w:ascii="Times New Roman" w:eastAsia="Calibri" w:hAnsi="Times New Roman" w:cs="Times New Roman"/>
          <w:sz w:val="22"/>
        </w:rPr>
        <w:t xml:space="preserve">. </w:t>
      </w:r>
    </w:p>
    <w:p w14:paraId="3A11DFCC" w14:textId="482D31A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b/>
          <w:bCs/>
          <w:i/>
          <w:iCs/>
          <w:sz w:val="22"/>
        </w:rPr>
        <w:t>Asset recovery</w:t>
      </w:r>
      <w:r w:rsidRPr="00A3182C">
        <w:rPr>
          <w:rFonts w:ascii="Times New Roman" w:eastAsia="Calibri" w:hAnsi="Times New Roman" w:cs="Times New Roman"/>
          <w:b/>
          <w:bCs/>
          <w:sz w:val="22"/>
        </w:rPr>
        <w:t>:</w:t>
      </w:r>
      <w:r w:rsidRPr="00A3182C">
        <w:rPr>
          <w:rFonts w:ascii="Times New Roman" w:eastAsia="Calibri" w:hAnsi="Times New Roman" w:cs="Times New Roman"/>
          <w:sz w:val="22"/>
        </w:rPr>
        <w:t xml:space="preserve"> </w:t>
      </w:r>
      <w:r w:rsidR="00C1018F" w:rsidRPr="00C1018F">
        <w:rPr>
          <w:rFonts w:ascii="Times New Roman" w:eastAsia="Calibri" w:hAnsi="Times New Roman" w:cs="Times New Roman"/>
          <w:sz w:val="22"/>
        </w:rPr>
        <w:t>the ability to effectively recover maximum value from returned products by restoring returned products to resalable condition, distributing remanufactured/refurbished products through proper channels, and reusing materials</w:t>
      </w:r>
      <w:r w:rsidR="00A972D3">
        <w:rPr>
          <w:rFonts w:ascii="Times New Roman" w:eastAsia="Calibri" w:hAnsi="Times New Roman" w:cs="Times New Roman"/>
          <w:sz w:val="22"/>
        </w:rPr>
        <w:t>.</w:t>
      </w:r>
    </w:p>
    <w:p w14:paraId="3D373847" w14:textId="64AE4FCE" w:rsidR="007A5BDD" w:rsidRDefault="007A5BDD" w:rsidP="007C6C3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b/>
          <w:bCs/>
          <w:i/>
          <w:iCs/>
          <w:sz w:val="22"/>
        </w:rPr>
        <w:t>Network design</w:t>
      </w:r>
      <w:r w:rsidRPr="00A3182C">
        <w:rPr>
          <w:rFonts w:ascii="Times New Roman" w:eastAsia="Calibri" w:hAnsi="Times New Roman" w:cs="Times New Roman"/>
          <w:b/>
          <w:bCs/>
          <w:sz w:val="22"/>
        </w:rPr>
        <w:t>:</w:t>
      </w:r>
      <w:r w:rsidRPr="00A3182C">
        <w:rPr>
          <w:rFonts w:ascii="Times New Roman" w:eastAsia="Calibri" w:hAnsi="Times New Roman" w:cs="Times New Roman"/>
          <w:sz w:val="22"/>
        </w:rPr>
        <w:t xml:space="preserve"> </w:t>
      </w:r>
      <w:r w:rsidR="00C1018F" w:rsidRPr="00C1018F">
        <w:rPr>
          <w:rFonts w:ascii="Times New Roman" w:eastAsia="Calibri" w:hAnsi="Times New Roman" w:cs="Times New Roman"/>
          <w:sz w:val="22"/>
        </w:rPr>
        <w:t xml:space="preserve">the ability to plan and implement efficient and effective product returns management networks by designing </w:t>
      </w:r>
      <w:r w:rsidR="00C1018F">
        <w:rPr>
          <w:rFonts w:ascii="Times New Roman" w:eastAsia="Calibri" w:hAnsi="Times New Roman" w:cs="Times New Roman"/>
          <w:sz w:val="22"/>
        </w:rPr>
        <w:t>optimal facility layouts, identifying the most efficient transportation modes and routes, and leveraging</w:t>
      </w:r>
      <w:r w:rsidR="00C1018F" w:rsidRPr="00C1018F">
        <w:rPr>
          <w:rFonts w:ascii="Times New Roman" w:eastAsia="Calibri" w:hAnsi="Times New Roman" w:cs="Times New Roman"/>
          <w:sz w:val="22"/>
        </w:rPr>
        <w:t xml:space="preserve"> forward logistics networks.</w:t>
      </w:r>
    </w:p>
    <w:p w14:paraId="41BF65F2" w14:textId="77777777" w:rsidR="007A5BDD" w:rsidRDefault="007A5BDD" w:rsidP="007C6C3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4CB398E4" w14:textId="31CC18AF" w:rsidR="007A5BDD" w:rsidRPr="007A5BDD" w:rsidRDefault="007C6C31" w:rsidP="007C6C31">
      <w:pPr>
        <w:pBdr>
          <w:top w:val="single" w:sz="4" w:space="1" w:color="auto"/>
          <w:left w:val="single" w:sz="4" w:space="4" w:color="auto"/>
          <w:bottom w:val="single" w:sz="4" w:space="1" w:color="auto"/>
          <w:right w:val="single" w:sz="4" w:space="4" w:color="auto"/>
        </w:pBdr>
        <w:rPr>
          <w:rFonts w:ascii="Times New Roman" w:eastAsia="Calibri" w:hAnsi="Times New Roman" w:cs="Times New Roman"/>
          <w:b/>
          <w:sz w:val="22"/>
        </w:rPr>
      </w:pPr>
      <w:r w:rsidRPr="00240696">
        <w:rPr>
          <w:rFonts w:ascii="Times New Roman" w:eastAsia="Calibri" w:hAnsi="Times New Roman" w:cs="Times New Roman"/>
          <w:b/>
          <w:sz w:val="22"/>
        </w:rPr>
        <w:t xml:space="preserve">Questions: </w:t>
      </w:r>
    </w:p>
    <w:p w14:paraId="7ACD640D" w14:textId="77777777" w:rsidR="007A5BDD" w:rsidRDefault="007A5BDD" w:rsidP="007A5BD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5D696A82" w14:textId="3C0083CF"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How well would you say that these five dimensions describe overall RMC?</w:t>
      </w:r>
    </w:p>
    <w:p w14:paraId="3027DE43"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Do you feel that any of these dimensions are unrelated to RMC?</w:t>
      </w:r>
    </w:p>
    <w:p w14:paraId="04866C70"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Are there additional capabilities that you think should be included?</w:t>
      </w:r>
    </w:p>
    <w:p w14:paraId="33FAABBA"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329ACA66" w14:textId="5E2C3ECB"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i/>
          <w:iCs/>
          <w:sz w:val="22"/>
        </w:rPr>
      </w:pPr>
      <w:r w:rsidRPr="00A3182C">
        <w:rPr>
          <w:rFonts w:ascii="Times New Roman" w:eastAsia="Calibri" w:hAnsi="Times New Roman" w:cs="Times New Roman"/>
          <w:i/>
          <w:iCs/>
          <w:sz w:val="22"/>
        </w:rPr>
        <w:t>When you think about how well you execute</w:t>
      </w:r>
      <w:r>
        <w:rPr>
          <w:rFonts w:ascii="Times New Roman" w:eastAsia="Calibri" w:hAnsi="Times New Roman" w:cs="Times New Roman"/>
          <w:i/>
          <w:iCs/>
          <w:sz w:val="22"/>
        </w:rPr>
        <w:t xml:space="preserve"> </w:t>
      </w:r>
      <w:r w:rsidRPr="00A3182C">
        <w:rPr>
          <w:rFonts w:ascii="Times New Roman" w:eastAsia="Calibri" w:hAnsi="Times New Roman" w:cs="Times New Roman"/>
          <w:i/>
          <w:iCs/>
          <w:sz w:val="22"/>
        </w:rPr>
        <w:t xml:space="preserve">each of these dimensions: </w:t>
      </w:r>
    </w:p>
    <w:p w14:paraId="77537DFF"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What are the key challenges that you are facing within each of these dimensions?</w:t>
      </w:r>
    </w:p>
    <w:p w14:paraId="5915A2C3"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Do these dimensions tend to have an internal or external focus for your company? In other words, who is responsible for improvements along each of these dimensions? Which of the 5 dimensions do you do in-house?</w:t>
      </w:r>
    </w:p>
    <w:p w14:paraId="2E11E7E3" w14:textId="58CD8D56"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7FF9A928"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How do you integrate RMC into your other strategic company initiatives? For example, sustainability goals, channel optimization, etc.</w:t>
      </w:r>
    </w:p>
    <w:p w14:paraId="25C4BE19"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07BD9303" w14:textId="77777777" w:rsidR="007A5BDD" w:rsidRPr="00A3182C" w:rsidRDefault="007A5BDD" w:rsidP="00A3182C">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r w:rsidRPr="00A3182C">
        <w:rPr>
          <w:rFonts w:ascii="Times New Roman" w:eastAsia="Calibri" w:hAnsi="Times New Roman" w:cs="Times New Roman"/>
          <w:sz w:val="22"/>
        </w:rPr>
        <w:t>Do you have any other comments or thoughts to share? </w:t>
      </w:r>
    </w:p>
    <w:p w14:paraId="2E9ADD3E" w14:textId="77777777" w:rsidR="007C6C31" w:rsidRPr="00240696" w:rsidRDefault="007C6C31" w:rsidP="007C6C31">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2"/>
        </w:rPr>
      </w:pPr>
    </w:p>
    <w:p w14:paraId="062662A7" w14:textId="77777777" w:rsidR="007C6C31" w:rsidRPr="00240696" w:rsidRDefault="007C6C31" w:rsidP="007C6C31">
      <w:pPr>
        <w:rPr>
          <w:rFonts w:ascii="Times New Roman" w:eastAsia="Times New Roman" w:hAnsi="Times New Roman" w:cs="Times New Roman"/>
          <w:sz w:val="22"/>
        </w:rPr>
      </w:pPr>
    </w:p>
    <w:p w14:paraId="74FAD1CE" w14:textId="77777777" w:rsidR="008C7832" w:rsidRPr="00016A9E" w:rsidRDefault="008C7832" w:rsidP="008C7832">
      <w:pPr>
        <w:rPr>
          <w:rFonts w:ascii="Times New Roman" w:eastAsia="Times New Roman" w:hAnsi="Times New Roman" w:cs="Times New Roman"/>
          <w:sz w:val="22"/>
        </w:rPr>
      </w:pPr>
      <w:r w:rsidRPr="00016A9E">
        <w:rPr>
          <w:rFonts w:ascii="Times New Roman" w:eastAsia="Times New Roman" w:hAnsi="Times New Roman" w:cs="Times New Roman"/>
          <w:b/>
          <w:bCs/>
          <w:sz w:val="22"/>
        </w:rPr>
        <w:t>Source(s):</w:t>
      </w:r>
      <w:r w:rsidRPr="00016A9E">
        <w:rPr>
          <w:rFonts w:ascii="Times New Roman" w:eastAsia="Times New Roman" w:hAnsi="Times New Roman" w:cs="Times New Roman"/>
          <w:sz w:val="22"/>
        </w:rPr>
        <w:t xml:space="preserve"> Authors own work</w:t>
      </w:r>
    </w:p>
    <w:p w14:paraId="20EF0208" w14:textId="77777777" w:rsidR="00240696" w:rsidRPr="00240696" w:rsidRDefault="00240696" w:rsidP="00240696">
      <w:pPr>
        <w:rPr>
          <w:rFonts w:ascii="Times New Roman" w:hAnsi="Times New Roman" w:cs="Times New Roman"/>
        </w:rPr>
      </w:pPr>
    </w:p>
    <w:p w14:paraId="7183C41A" w14:textId="77777777" w:rsidR="00240696" w:rsidRPr="00240696" w:rsidRDefault="00240696" w:rsidP="00240696">
      <w:pPr>
        <w:rPr>
          <w:rFonts w:ascii="Times New Roman" w:hAnsi="Times New Roman" w:cs="Times New Roman"/>
        </w:rPr>
      </w:pPr>
    </w:p>
    <w:p w14:paraId="174D1D05" w14:textId="7ADDD233" w:rsidR="00FC048C" w:rsidRDefault="00FC048C">
      <w:pPr>
        <w:rPr>
          <w:rFonts w:ascii="Times New Roman" w:hAnsi="Times New Roman" w:cs="Times New Roman"/>
        </w:rPr>
      </w:pPr>
      <w:r w:rsidRPr="50B5A393">
        <w:rPr>
          <w:rFonts w:ascii="Times New Roman" w:hAnsi="Times New Roman" w:cs="Times New Roman"/>
        </w:rPr>
        <w:br w:type="page"/>
      </w:r>
    </w:p>
    <w:p w14:paraId="1A70E5C9" w14:textId="6F99C5F1" w:rsidR="00FC048C" w:rsidRDefault="50B5A393" w:rsidP="50B5A393">
      <w:pPr>
        <w:spacing w:line="259" w:lineRule="auto"/>
        <w:jc w:val="center"/>
        <w:rPr>
          <w:rFonts w:ascii="Times New Roman" w:eastAsia="Times New Roman" w:hAnsi="Times New Roman" w:cs="Times New Roman"/>
        </w:rPr>
      </w:pPr>
      <w:r w:rsidRPr="50B5A393">
        <w:rPr>
          <w:rFonts w:ascii="Times New Roman" w:hAnsi="Times New Roman" w:cs="Times New Roman"/>
          <w:b/>
          <w:bCs/>
        </w:rPr>
        <w:lastRenderedPageBreak/>
        <w:t>SUPPLEMENTARY FILE S3: ADDITIONAL METHODOLOGICAL DETAIL</w:t>
      </w:r>
    </w:p>
    <w:p w14:paraId="6854E765" w14:textId="77777777" w:rsidR="00FC048C" w:rsidRDefault="00FC048C" w:rsidP="00FC048C">
      <w:pPr>
        <w:rPr>
          <w:rFonts w:ascii="Times New Roman" w:hAnsi="Times New Roman" w:cs="Times New Roman"/>
          <w:b/>
          <w:bCs/>
        </w:rPr>
      </w:pPr>
    </w:p>
    <w:p w14:paraId="53F3A244" w14:textId="19548ED6" w:rsidR="00FC048C" w:rsidRDefault="50B5A393" w:rsidP="50B5A393">
      <w:pPr>
        <w:rPr>
          <w:rFonts w:ascii="Times New Roman" w:hAnsi="Times New Roman" w:cs="Times New Roman"/>
          <w:b/>
          <w:bCs/>
        </w:rPr>
      </w:pPr>
      <w:r w:rsidRPr="50B5A393">
        <w:rPr>
          <w:rFonts w:ascii="Times New Roman" w:hAnsi="Times New Roman" w:cs="Times New Roman"/>
          <w:b/>
          <w:bCs/>
        </w:rPr>
        <w:t>1. STUDY 1</w:t>
      </w:r>
    </w:p>
    <w:p w14:paraId="1CEC663F" w14:textId="77777777" w:rsidR="00FC048C" w:rsidRDefault="00FC048C" w:rsidP="00FC048C">
      <w:pPr>
        <w:rPr>
          <w:rFonts w:ascii="Times New Roman" w:hAnsi="Times New Roman" w:cs="Times New Roman"/>
          <w:b/>
          <w:bCs/>
        </w:rPr>
      </w:pPr>
    </w:p>
    <w:p w14:paraId="62E5F46F" w14:textId="761CE33E" w:rsidR="00FC048C" w:rsidRPr="00072B2F" w:rsidRDefault="50B5A393" w:rsidP="50B5A393">
      <w:pPr>
        <w:pStyle w:val="ListParagraph"/>
        <w:numPr>
          <w:ilvl w:val="1"/>
          <w:numId w:val="10"/>
        </w:numPr>
        <w:rPr>
          <w:rFonts w:ascii="Times New Roman" w:hAnsi="Times New Roman" w:cs="Times New Roman"/>
          <w:b/>
          <w:bCs/>
        </w:rPr>
      </w:pPr>
      <w:r w:rsidRPr="50B5A393">
        <w:rPr>
          <w:rFonts w:ascii="Times New Roman" w:hAnsi="Times New Roman" w:cs="Times New Roman"/>
          <w:b/>
          <w:bCs/>
        </w:rPr>
        <w:t>Study 1 literature review details</w:t>
      </w:r>
    </w:p>
    <w:p w14:paraId="29361AA6" w14:textId="77777777" w:rsidR="004B62A7" w:rsidRDefault="004B62A7" w:rsidP="004B62A7">
      <w:pPr>
        <w:rPr>
          <w:rFonts w:ascii="Times New Roman" w:hAnsi="Times New Roman" w:cs="Times New Roman"/>
          <w:b/>
          <w:bCs/>
        </w:rPr>
      </w:pPr>
    </w:p>
    <w:p w14:paraId="01587E4B" w14:textId="0A6DF1D1" w:rsidR="00FC048C" w:rsidRPr="00072B2F" w:rsidRDefault="50B5A393" w:rsidP="50B5A393">
      <w:pPr>
        <w:spacing w:line="480" w:lineRule="auto"/>
        <w:rPr>
          <w:rFonts w:ascii="Times New Roman" w:hAnsi="Times New Roman" w:cs="Times New Roman"/>
        </w:rPr>
      </w:pPr>
      <w:r w:rsidRPr="50B5A393">
        <w:rPr>
          <w:rFonts w:ascii="Times New Roman" w:hAnsi="Times New Roman" w:cs="Times New Roman"/>
        </w:rPr>
        <w:t>The literature review was conducted using major academic databases and Google Scholar to identify articles from leading operations management, logistics, and supply chain journals (</w:t>
      </w:r>
      <w:proofErr w:type="spellStart"/>
      <w:r w:rsidRPr="50B5A393">
        <w:rPr>
          <w:rFonts w:ascii="Times New Roman" w:hAnsi="Times New Roman" w:cs="Times New Roman"/>
        </w:rPr>
        <w:t>Fahimnia</w:t>
      </w:r>
      <w:proofErr w:type="spellEnd"/>
      <w:r w:rsidRPr="50B5A393">
        <w:rPr>
          <w:rFonts w:ascii="Times New Roman" w:hAnsi="Times New Roman" w:cs="Times New Roman"/>
        </w:rPr>
        <w:t xml:space="preserve"> et al., 2019; Kristensen and Jonsson, 2018). The journals included in the initial search were consistent with previous recommendations (Kaufmann and Gaeckler, 2015; Wang et al. 2024): </w:t>
      </w:r>
      <w:r w:rsidRPr="50B5A393">
        <w:rPr>
          <w:rFonts w:ascii="Times New Roman" w:hAnsi="Times New Roman" w:cs="Times New Roman"/>
          <w:i/>
          <w:iCs/>
        </w:rPr>
        <w:t>Decision Sciences</w:t>
      </w:r>
      <w:r w:rsidRPr="50B5A393">
        <w:rPr>
          <w:rFonts w:ascii="Times New Roman" w:hAnsi="Times New Roman" w:cs="Times New Roman"/>
        </w:rPr>
        <w:t xml:space="preserve"> (DSJ), </w:t>
      </w:r>
      <w:r w:rsidRPr="50B5A393">
        <w:rPr>
          <w:rFonts w:ascii="Times New Roman" w:hAnsi="Times New Roman" w:cs="Times New Roman"/>
          <w:i/>
          <w:iCs/>
        </w:rPr>
        <w:t>Industrial Marketing Management</w:t>
      </w:r>
      <w:r w:rsidRPr="50B5A393">
        <w:rPr>
          <w:rFonts w:ascii="Times New Roman" w:hAnsi="Times New Roman" w:cs="Times New Roman"/>
        </w:rPr>
        <w:t xml:space="preserve"> (IMM), </w:t>
      </w:r>
      <w:r w:rsidRPr="50B5A393">
        <w:rPr>
          <w:rFonts w:ascii="Times New Roman" w:hAnsi="Times New Roman" w:cs="Times New Roman"/>
          <w:i/>
          <w:iCs/>
        </w:rPr>
        <w:t>International Journal of Logistics Management</w:t>
      </w:r>
      <w:r w:rsidRPr="50B5A393">
        <w:rPr>
          <w:rFonts w:ascii="Times New Roman" w:hAnsi="Times New Roman" w:cs="Times New Roman"/>
        </w:rPr>
        <w:t xml:space="preserve"> (IJLM), </w:t>
      </w:r>
      <w:r w:rsidRPr="50B5A393">
        <w:rPr>
          <w:rFonts w:ascii="Times New Roman" w:hAnsi="Times New Roman" w:cs="Times New Roman"/>
          <w:i/>
          <w:iCs/>
        </w:rPr>
        <w:t>International Journal of Operations and Production Management</w:t>
      </w:r>
      <w:r w:rsidRPr="50B5A393">
        <w:rPr>
          <w:rFonts w:ascii="Times New Roman" w:hAnsi="Times New Roman" w:cs="Times New Roman"/>
        </w:rPr>
        <w:t xml:space="preserve"> (IJOPM),</w:t>
      </w:r>
      <w:r w:rsidRPr="50B5A393">
        <w:rPr>
          <w:rFonts w:ascii="Times New Roman" w:hAnsi="Times New Roman" w:cs="Times New Roman"/>
          <w:i/>
          <w:iCs/>
        </w:rPr>
        <w:t xml:space="preserve"> International Journal of Physical Distribution &amp; Logistics Management</w:t>
      </w:r>
      <w:r w:rsidRPr="50B5A393">
        <w:rPr>
          <w:rFonts w:ascii="Times New Roman" w:hAnsi="Times New Roman" w:cs="Times New Roman"/>
        </w:rPr>
        <w:t xml:space="preserve"> (IJPDLM),</w:t>
      </w:r>
      <w:r w:rsidRPr="50B5A393">
        <w:rPr>
          <w:rFonts w:ascii="Times New Roman" w:hAnsi="Times New Roman" w:cs="Times New Roman"/>
          <w:i/>
          <w:iCs/>
        </w:rPr>
        <w:t xml:space="preserve"> International Journal of Production Economics</w:t>
      </w:r>
      <w:r w:rsidRPr="50B5A393">
        <w:rPr>
          <w:rFonts w:ascii="Times New Roman" w:hAnsi="Times New Roman" w:cs="Times New Roman"/>
        </w:rPr>
        <w:t xml:space="preserve"> (IJPE),</w:t>
      </w:r>
      <w:r w:rsidRPr="50B5A393">
        <w:rPr>
          <w:rFonts w:ascii="Times New Roman" w:hAnsi="Times New Roman" w:cs="Times New Roman"/>
          <w:i/>
          <w:iCs/>
        </w:rPr>
        <w:t xml:space="preserve"> International Journal of Production Research</w:t>
      </w:r>
      <w:r w:rsidRPr="50B5A393">
        <w:rPr>
          <w:rFonts w:ascii="Times New Roman" w:hAnsi="Times New Roman" w:cs="Times New Roman"/>
        </w:rPr>
        <w:t xml:space="preserve"> (IJPR), </w:t>
      </w:r>
      <w:r w:rsidRPr="50B5A393">
        <w:rPr>
          <w:rFonts w:ascii="Times New Roman" w:hAnsi="Times New Roman" w:cs="Times New Roman"/>
          <w:i/>
          <w:iCs/>
        </w:rPr>
        <w:t xml:space="preserve">Journal of Business Logistics </w:t>
      </w:r>
      <w:r w:rsidRPr="50B5A393">
        <w:rPr>
          <w:rFonts w:ascii="Times New Roman" w:hAnsi="Times New Roman" w:cs="Times New Roman"/>
        </w:rPr>
        <w:t xml:space="preserve">(JBL), </w:t>
      </w:r>
      <w:r w:rsidRPr="50B5A393">
        <w:rPr>
          <w:rFonts w:ascii="Times New Roman" w:hAnsi="Times New Roman" w:cs="Times New Roman"/>
          <w:i/>
          <w:iCs/>
        </w:rPr>
        <w:t>Journal of Operations Management</w:t>
      </w:r>
      <w:r w:rsidRPr="50B5A393">
        <w:rPr>
          <w:rFonts w:ascii="Times New Roman" w:hAnsi="Times New Roman" w:cs="Times New Roman"/>
        </w:rPr>
        <w:t xml:space="preserve"> (JOM),</w:t>
      </w:r>
      <w:r w:rsidRPr="50B5A393">
        <w:rPr>
          <w:rFonts w:ascii="Times New Roman" w:hAnsi="Times New Roman" w:cs="Times New Roman"/>
          <w:i/>
          <w:iCs/>
        </w:rPr>
        <w:t xml:space="preserve"> Journal of Supply Chain Management </w:t>
      </w:r>
      <w:r w:rsidRPr="50B5A393">
        <w:rPr>
          <w:rFonts w:ascii="Times New Roman" w:hAnsi="Times New Roman" w:cs="Times New Roman"/>
        </w:rPr>
        <w:t xml:space="preserve">(JSCM), </w:t>
      </w:r>
      <w:r w:rsidRPr="50B5A393">
        <w:rPr>
          <w:rFonts w:ascii="Times New Roman" w:hAnsi="Times New Roman" w:cs="Times New Roman"/>
          <w:i/>
          <w:iCs/>
        </w:rPr>
        <w:t>Journal of Purchasing and Supply Management</w:t>
      </w:r>
      <w:r w:rsidRPr="50B5A393">
        <w:rPr>
          <w:rFonts w:ascii="Times New Roman" w:hAnsi="Times New Roman" w:cs="Times New Roman"/>
        </w:rPr>
        <w:t xml:space="preserve"> (JPSM), </w:t>
      </w:r>
      <w:r w:rsidRPr="50B5A393">
        <w:rPr>
          <w:rFonts w:ascii="Times New Roman" w:hAnsi="Times New Roman" w:cs="Times New Roman"/>
          <w:i/>
          <w:iCs/>
        </w:rPr>
        <w:t>Management Science</w:t>
      </w:r>
      <w:r w:rsidRPr="50B5A393">
        <w:rPr>
          <w:rFonts w:ascii="Times New Roman" w:hAnsi="Times New Roman" w:cs="Times New Roman"/>
        </w:rPr>
        <w:t xml:space="preserve"> (MS), </w:t>
      </w:r>
      <w:r w:rsidRPr="50B5A393">
        <w:rPr>
          <w:rFonts w:ascii="Times New Roman" w:hAnsi="Times New Roman" w:cs="Times New Roman"/>
          <w:i/>
          <w:iCs/>
        </w:rPr>
        <w:t xml:space="preserve">Production Planning and Control </w:t>
      </w:r>
      <w:r w:rsidRPr="50B5A393">
        <w:rPr>
          <w:rFonts w:ascii="Times New Roman" w:hAnsi="Times New Roman" w:cs="Times New Roman"/>
        </w:rPr>
        <w:t xml:space="preserve">(PPC), </w:t>
      </w:r>
      <w:r w:rsidRPr="50B5A393">
        <w:rPr>
          <w:rFonts w:ascii="Times New Roman" w:hAnsi="Times New Roman" w:cs="Times New Roman"/>
          <w:i/>
          <w:iCs/>
        </w:rPr>
        <w:t>Supply Chain Management: An International Journal</w:t>
      </w:r>
      <w:r w:rsidRPr="50B5A393">
        <w:rPr>
          <w:rFonts w:ascii="Times New Roman" w:hAnsi="Times New Roman" w:cs="Times New Roman"/>
        </w:rPr>
        <w:t xml:space="preserve"> (SCMIJ), and </w:t>
      </w:r>
      <w:r w:rsidRPr="50B5A393">
        <w:rPr>
          <w:rFonts w:ascii="Times New Roman" w:hAnsi="Times New Roman" w:cs="Times New Roman"/>
          <w:i/>
          <w:iCs/>
        </w:rPr>
        <w:t>Transportation Research Part E: The Logistics and Transportation Review</w:t>
      </w:r>
      <w:r w:rsidRPr="50B5A393">
        <w:rPr>
          <w:rFonts w:ascii="Times New Roman" w:hAnsi="Times New Roman" w:cs="Times New Roman"/>
        </w:rPr>
        <w:t xml:space="preserve"> (TRE). Within each journal, articles were identified using the search term “returns management” OR “returns processes” OR “returns processing” OR “returns handling” OR “reverse supply chain operations” OR “reverse logistics operations” OR “reverse supply chain management” OR “reverse logistics management”. </w:t>
      </w:r>
    </w:p>
    <w:p w14:paraId="04EA4510" w14:textId="2AAF98FC" w:rsidR="00FC048C" w:rsidRPr="00CC5559" w:rsidRDefault="50B5A393" w:rsidP="00FC048C">
      <w:pPr>
        <w:rPr>
          <w:rFonts w:ascii="Times New Roman" w:hAnsi="Times New Roman" w:cs="Times New Roman"/>
          <w:b/>
          <w:bCs/>
        </w:rPr>
      </w:pPr>
      <w:r w:rsidRPr="50B5A393">
        <w:rPr>
          <w:rFonts w:ascii="Times New Roman" w:hAnsi="Times New Roman" w:cs="Times New Roman"/>
          <w:b/>
          <w:bCs/>
        </w:rPr>
        <w:t>1.2 Study 1 semi-structured interviews</w:t>
      </w:r>
    </w:p>
    <w:p w14:paraId="405B4B05" w14:textId="77777777" w:rsidR="00FC048C" w:rsidRDefault="00FC048C" w:rsidP="00FC048C">
      <w:pPr>
        <w:rPr>
          <w:rFonts w:ascii="Times New Roman" w:hAnsi="Times New Roman" w:cs="Times New Roman"/>
          <w:b/>
          <w:bCs/>
        </w:rPr>
      </w:pPr>
    </w:p>
    <w:p w14:paraId="424C66A8" w14:textId="1579AAC5" w:rsidR="00CC5559" w:rsidRPr="00072B2F" w:rsidRDefault="50B5A393" w:rsidP="50B5A393">
      <w:pPr>
        <w:spacing w:line="480" w:lineRule="auto"/>
        <w:rPr>
          <w:rFonts w:ascii="Times New Roman" w:hAnsi="Times New Roman" w:cs="Times New Roman"/>
        </w:rPr>
      </w:pPr>
      <w:r w:rsidRPr="50B5A393">
        <w:rPr>
          <w:rFonts w:ascii="Times New Roman" w:hAnsi="Times New Roman" w:cs="Times New Roman"/>
        </w:rPr>
        <w:t xml:space="preserve">Three steps for conducting the content analysis were followed: preparation, organization, and reporting (Elo and </w:t>
      </w:r>
      <w:proofErr w:type="spellStart"/>
      <w:r w:rsidRPr="50B5A393">
        <w:rPr>
          <w:rFonts w:ascii="Times New Roman" w:hAnsi="Times New Roman" w:cs="Times New Roman"/>
        </w:rPr>
        <w:t>Kyngas</w:t>
      </w:r>
      <w:proofErr w:type="spellEnd"/>
      <w:r w:rsidRPr="50B5A393">
        <w:rPr>
          <w:rFonts w:ascii="Times New Roman" w:hAnsi="Times New Roman" w:cs="Times New Roman"/>
        </w:rPr>
        <w:t xml:space="preserve">, 2008). During the preparation phase, interview notes were compared and later consolidated into a final version. In the organization phase, open coding was carried out </w:t>
      </w:r>
      <w:r w:rsidRPr="50B5A393">
        <w:rPr>
          <w:rFonts w:ascii="Times New Roman" w:hAnsi="Times New Roman" w:cs="Times New Roman"/>
        </w:rPr>
        <w:lastRenderedPageBreak/>
        <w:t xml:space="preserve">as part of an iterative, time-intensive data analysis process that resulted in the identification of emerging categories (Saxena et al., 2025; Silverman and </w:t>
      </w:r>
      <w:proofErr w:type="spellStart"/>
      <w:r w:rsidRPr="50B5A393">
        <w:rPr>
          <w:rFonts w:ascii="Times New Roman" w:hAnsi="Times New Roman" w:cs="Times New Roman"/>
        </w:rPr>
        <w:t>Marvasti</w:t>
      </w:r>
      <w:proofErr w:type="spellEnd"/>
      <w:r w:rsidRPr="50B5A393">
        <w:rPr>
          <w:rFonts w:ascii="Times New Roman" w:hAnsi="Times New Roman" w:cs="Times New Roman"/>
        </w:rPr>
        <w:t xml:space="preserve">, 2008). Researchers first identified codes, including recurring words, concepts, or ideas. These codes were then integrated into categories according to emergent, common properties. The analysis process started with a joint session to develop a common coding procedure; agreement on a single codebook with common codes and categories was reached. </w:t>
      </w:r>
    </w:p>
    <w:p w14:paraId="4DFD655B" w14:textId="28923E61" w:rsidR="00FC048C" w:rsidRPr="00072B2F" w:rsidRDefault="50B5A393" w:rsidP="50B5A393">
      <w:pPr>
        <w:spacing w:line="480" w:lineRule="auto"/>
        <w:ind w:firstLine="720"/>
        <w:rPr>
          <w:rFonts w:ascii="Times New Roman" w:hAnsi="Times New Roman" w:cs="Times New Roman"/>
        </w:rPr>
      </w:pPr>
      <w:r w:rsidRPr="50B5A393">
        <w:rPr>
          <w:rFonts w:ascii="Times New Roman" w:hAnsi="Times New Roman" w:cs="Times New Roman"/>
        </w:rPr>
        <w:t xml:space="preserve">Researchers coded all notes independently during three rounds of the data analysis process. The original intercoder agreement was calculated as the proportion of cases where both coders assigned the same value, resulting in an agreement rate of 84.3%. </w:t>
      </w:r>
      <w:proofErr w:type="spellStart"/>
      <w:r w:rsidRPr="50B5A393">
        <w:rPr>
          <w:rFonts w:ascii="Times New Roman" w:hAnsi="Times New Roman" w:cs="Times New Roman"/>
        </w:rPr>
        <w:t>Krippendorff’s</w:t>
      </w:r>
      <w:proofErr w:type="spellEnd"/>
      <w:r w:rsidRPr="50B5A393">
        <w:rPr>
          <w:rFonts w:ascii="Times New Roman" w:hAnsi="Times New Roman" w:cs="Times New Roman"/>
        </w:rPr>
        <w:t xml:space="preserve"> alpha was also computed, which accounts for chance agreement and allows for variable category usage. The resulting value of α = .97 exceeds the recommended thresholds for strong reliability (Krippendorff, 2018; </w:t>
      </w:r>
      <w:proofErr w:type="spellStart"/>
      <w:r w:rsidRPr="50B5A393">
        <w:rPr>
          <w:rFonts w:ascii="Times New Roman" w:hAnsi="Times New Roman" w:cs="Times New Roman"/>
        </w:rPr>
        <w:t>Tangpong</w:t>
      </w:r>
      <w:proofErr w:type="spellEnd"/>
      <w:r w:rsidRPr="50B5A393">
        <w:rPr>
          <w:rFonts w:ascii="Times New Roman" w:hAnsi="Times New Roman" w:cs="Times New Roman"/>
        </w:rPr>
        <w:t>, 2011). These results indicate a high degree of consistency between coders. Coding differences were reconciled through discussion until a consensus was reached in the final round. Such repeated coding-recoding process helped achieve the highest possible degree of inter-coder reliability (i.e., perfect consensus) and a proper understanding of the phenomenon of interest (Carter and Ellram, 2003). Analysis of the interview data enabled the identification of themes in returns management capability. In the reporting phase, findings were consolidated with our literature review results (Magnani and Gioia, 2023).</w:t>
      </w:r>
    </w:p>
    <w:p w14:paraId="7F367FEF" w14:textId="0194B7F3" w:rsidR="00FC048C" w:rsidRDefault="50B5A393" w:rsidP="00072B2F">
      <w:pPr>
        <w:spacing w:line="480" w:lineRule="auto"/>
        <w:rPr>
          <w:rFonts w:ascii="Times New Roman" w:hAnsi="Times New Roman" w:cs="Times New Roman"/>
          <w:b/>
          <w:bCs/>
        </w:rPr>
      </w:pPr>
      <w:r w:rsidRPr="50B5A393">
        <w:rPr>
          <w:rFonts w:ascii="Times New Roman" w:hAnsi="Times New Roman" w:cs="Times New Roman"/>
          <w:b/>
          <w:bCs/>
        </w:rPr>
        <w:t>2. STUDY 2</w:t>
      </w:r>
    </w:p>
    <w:p w14:paraId="4CEAA638" w14:textId="00CB35F4" w:rsidR="00831489" w:rsidRDefault="7DD5AF97" w:rsidP="00235F77">
      <w:pPr>
        <w:spacing w:line="480" w:lineRule="auto"/>
        <w:ind w:firstLine="720"/>
        <w:rPr>
          <w:rFonts w:ascii="Times New Roman" w:hAnsi="Times New Roman" w:cs="Times New Roman"/>
        </w:rPr>
      </w:pPr>
      <w:r w:rsidRPr="7DD5AF97">
        <w:rPr>
          <w:rFonts w:ascii="Times New Roman" w:hAnsi="Times New Roman" w:cs="Times New Roman"/>
        </w:rPr>
        <w:t xml:space="preserve">To ensure the development of robust measures of returns management capability, we utilized established best practices for scale development that advocate for a three-phase process of defining the constructs of interest, operationalizing them, and confirming the results empirically (e.g., Cortina et al., 2020; </w:t>
      </w:r>
      <w:proofErr w:type="spellStart"/>
      <w:r w:rsidRPr="7DD5AF97">
        <w:rPr>
          <w:rFonts w:ascii="Times New Roman" w:hAnsi="Times New Roman" w:cs="Times New Roman"/>
        </w:rPr>
        <w:t>Hinkin</w:t>
      </w:r>
      <w:proofErr w:type="spellEnd"/>
      <w:r w:rsidRPr="7DD5AF97">
        <w:rPr>
          <w:rFonts w:ascii="Times New Roman" w:hAnsi="Times New Roman" w:cs="Times New Roman"/>
        </w:rPr>
        <w:t xml:space="preserve">, 1998; Lambert and Newman, 2023). Consistent </w:t>
      </w:r>
      <w:r w:rsidRPr="7DD5AF97">
        <w:rPr>
          <w:rFonts w:ascii="Times New Roman" w:hAnsi="Times New Roman" w:cs="Times New Roman"/>
        </w:rPr>
        <w:lastRenderedPageBreak/>
        <w:t xml:space="preserve">with these recommendations and contemporary scale development work in related disciplines (e.g., </w:t>
      </w:r>
      <w:proofErr w:type="spellStart"/>
      <w:r w:rsidRPr="7DD5AF97">
        <w:rPr>
          <w:rFonts w:ascii="Times New Roman" w:hAnsi="Times New Roman" w:cs="Times New Roman"/>
        </w:rPr>
        <w:t>Dossinger</w:t>
      </w:r>
      <w:proofErr w:type="spellEnd"/>
      <w:r w:rsidRPr="7DD5AF97">
        <w:rPr>
          <w:rFonts w:ascii="Times New Roman" w:hAnsi="Times New Roman" w:cs="Times New Roman"/>
        </w:rPr>
        <w:t xml:space="preserve"> et al., 2025; </w:t>
      </w:r>
      <w:proofErr w:type="spellStart"/>
      <w:r w:rsidRPr="7DD5AF97">
        <w:rPr>
          <w:rFonts w:ascii="Times New Roman" w:hAnsi="Times New Roman" w:cs="Times New Roman"/>
        </w:rPr>
        <w:t>Oreg</w:t>
      </w:r>
      <w:proofErr w:type="spellEnd"/>
      <w:r w:rsidRPr="7DD5AF97">
        <w:rPr>
          <w:rFonts w:ascii="Times New Roman" w:hAnsi="Times New Roman" w:cs="Times New Roman"/>
        </w:rPr>
        <w:t xml:space="preserve"> et al., 2024), we implemented three corresponding phases to develop, refine, and validate our proposed measures using suggested tools and processes. </w:t>
      </w:r>
    </w:p>
    <w:p w14:paraId="37D4C2CB" w14:textId="5E1A2DB4" w:rsidR="00A353BA" w:rsidRDefault="45BA1AAA" w:rsidP="00235F77">
      <w:pPr>
        <w:spacing w:line="480" w:lineRule="auto"/>
        <w:ind w:firstLine="720"/>
        <w:rPr>
          <w:rFonts w:ascii="Times New Roman" w:hAnsi="Times New Roman" w:cs="Times New Roman"/>
        </w:rPr>
      </w:pPr>
      <w:r w:rsidRPr="45BA1AAA">
        <w:rPr>
          <w:rFonts w:ascii="Times New Roman" w:hAnsi="Times New Roman" w:cs="Times New Roman"/>
        </w:rPr>
        <w:t>Phase I was focused on generating and refining potential items that align with our conceptual returns management capability dimensions. Starting with appropriate definitions for the constructs to be measured is critically important to developing valid measurement scales (e.g., Cortina et al., 2020; Lambert &amp; Newman, 2023). The qualitative investigation conducted in Study 1 provided a sufficient theoretical and empirical base to support deductive item generation (</w:t>
      </w:r>
      <w:proofErr w:type="spellStart"/>
      <w:r w:rsidRPr="45BA1AAA">
        <w:rPr>
          <w:rFonts w:ascii="Times New Roman" w:hAnsi="Times New Roman" w:cs="Times New Roman"/>
        </w:rPr>
        <w:t>Dossinger</w:t>
      </w:r>
      <w:proofErr w:type="spellEnd"/>
      <w:r w:rsidRPr="45BA1AAA">
        <w:rPr>
          <w:rFonts w:ascii="Times New Roman" w:hAnsi="Times New Roman" w:cs="Times New Roman"/>
        </w:rPr>
        <w:t xml:space="preserve"> et al., 2025; </w:t>
      </w:r>
      <w:proofErr w:type="spellStart"/>
      <w:r w:rsidRPr="45BA1AAA">
        <w:rPr>
          <w:rFonts w:ascii="Times New Roman" w:hAnsi="Times New Roman" w:cs="Times New Roman"/>
        </w:rPr>
        <w:t>Hinkin</w:t>
      </w:r>
      <w:proofErr w:type="spellEnd"/>
      <w:r w:rsidRPr="45BA1AAA">
        <w:rPr>
          <w:rFonts w:ascii="Times New Roman" w:hAnsi="Times New Roman" w:cs="Times New Roman"/>
        </w:rPr>
        <w:t>, 1998). Based on these insights and the subsequent returns management capability dimension definitions, a pool of potential items was generated by members of the authorship team with expertise in the returns management literature, consistent with guidance to use subject matter experts (SMEs) to generate item candidates (Cortina, 2020). Following established recommendations, we generated more items than intended to be retained for the final scale to ensure adequate content validity (</w:t>
      </w:r>
      <w:proofErr w:type="spellStart"/>
      <w:r w:rsidRPr="45BA1AAA">
        <w:rPr>
          <w:rFonts w:ascii="Times New Roman" w:hAnsi="Times New Roman" w:cs="Times New Roman"/>
        </w:rPr>
        <w:t>Hinkin</w:t>
      </w:r>
      <w:proofErr w:type="spellEnd"/>
      <w:r w:rsidRPr="45BA1AAA">
        <w:rPr>
          <w:rFonts w:ascii="Times New Roman" w:hAnsi="Times New Roman" w:cs="Times New Roman"/>
        </w:rPr>
        <w:t>, 1998) and avoid "a primary source of measurement error" (Churchill, 1979 p. 68).</w:t>
      </w:r>
    </w:p>
    <w:p w14:paraId="72B8B170" w14:textId="0F5E42AF" w:rsidR="00ED2092" w:rsidRDefault="7DD5AF97" w:rsidP="00235F77">
      <w:pPr>
        <w:spacing w:line="480" w:lineRule="auto"/>
        <w:ind w:firstLine="720"/>
        <w:rPr>
          <w:rFonts w:ascii="Times New Roman" w:hAnsi="Times New Roman" w:cs="Times New Roman"/>
        </w:rPr>
      </w:pPr>
      <w:r w:rsidRPr="7DD5AF97">
        <w:rPr>
          <w:rFonts w:ascii="Times New Roman" w:hAnsi="Times New Roman" w:cs="Times New Roman"/>
        </w:rPr>
        <w:t xml:space="preserve">The items in the pool were then subject to both quantitative and qualitative refinement aimed at reducing redundancy and lack of clarity, drawing on multiple groups of SMEs (Cortina et al., 2020).  First, members of the authorship team selected a subset of items from the initial item pool based on the criteria of uniqueness and the ability to convey different meanings to respondents through content and face validity tests (Churchill, 1979). In addition, items were evaluated to ensure that they adhered to fundamental item construction guidelines (e.g., short, not double-barreled, simple: Cortina et al., 2020). Further, due to concerns about the </w:t>
      </w:r>
      <w:r w:rsidRPr="7DD5AF97">
        <w:rPr>
          <w:rFonts w:ascii="Times New Roman" w:hAnsi="Times New Roman" w:cs="Times New Roman"/>
        </w:rPr>
        <w:lastRenderedPageBreak/>
        <w:t xml:space="preserve">psychometric properties of reverse-scored items, only positively worded items were retained (Dalal and Carter, 2014). </w:t>
      </w:r>
    </w:p>
    <w:p w14:paraId="692DC4E9" w14:textId="0BB0B02D" w:rsidR="00FC048C" w:rsidRPr="00072B2F" w:rsidRDefault="7DD5AF97" w:rsidP="50B5A393">
      <w:pPr>
        <w:spacing w:line="480" w:lineRule="auto"/>
        <w:ind w:firstLine="720"/>
        <w:rPr>
          <w:rFonts w:ascii="Times New Roman" w:hAnsi="Times New Roman" w:cs="Times New Roman"/>
        </w:rPr>
      </w:pPr>
      <w:r w:rsidRPr="7DD5AF97">
        <w:rPr>
          <w:rFonts w:ascii="Times New Roman" w:hAnsi="Times New Roman" w:cs="Times New Roman"/>
        </w:rPr>
        <w:t>To further continue the refinement process, four experienced supply chain management researchers not affiliated with the research questions being evaluated were provided with the definitions for each returns management capability dimension and invited to review the items on aspects such as domain representativeness, item specificity, clarity of construct, and readability to ensure content and face validity (Anderson and Gerbing, 1991; Dillman, 2000), and measurement items were further refined based on their input. The remaining items were then reviewed by seven industry experts to get feedback from members of the intended population. In addition to reviewing items for alignment with construct definitions, these experts were asked to identify any ambiguities or difficulties they experienced when responding to the items to ensure that the items were written in a way that would be clear to the intended population of interest (Lambert &amp; Newman, 2023). Their feedback and suggestions were used to further modify the questionnaire and shrink the initial item pool down to 6 items per capability aspect (</w:t>
      </w:r>
      <w:proofErr w:type="spellStart"/>
      <w:r w:rsidRPr="7DD5AF97">
        <w:rPr>
          <w:rFonts w:ascii="Times New Roman" w:hAnsi="Times New Roman" w:cs="Times New Roman"/>
        </w:rPr>
        <w:t>Hinkin</w:t>
      </w:r>
      <w:proofErr w:type="spellEnd"/>
      <w:r w:rsidRPr="7DD5AF97">
        <w:rPr>
          <w:rFonts w:ascii="Times New Roman" w:hAnsi="Times New Roman" w:cs="Times New Roman"/>
        </w:rPr>
        <w:t xml:space="preserve">, 1998). This resulted in an initial measure comprised of 30 items assessing the five returns management capability dimensions. Both the iterative, multisource item refinement process and the number of items per dimension chosen to be retained are consistent with contemporary scale development best practice (e.g., </w:t>
      </w:r>
      <w:proofErr w:type="spellStart"/>
      <w:r w:rsidRPr="7DD5AF97">
        <w:rPr>
          <w:rFonts w:ascii="Times New Roman" w:hAnsi="Times New Roman" w:cs="Times New Roman"/>
        </w:rPr>
        <w:t>Oreg</w:t>
      </w:r>
      <w:proofErr w:type="spellEnd"/>
      <w:r w:rsidRPr="7DD5AF97">
        <w:rPr>
          <w:rFonts w:ascii="Times New Roman" w:hAnsi="Times New Roman" w:cs="Times New Roman"/>
        </w:rPr>
        <w:t xml:space="preserve"> et al., 2024).</w:t>
      </w:r>
    </w:p>
    <w:p w14:paraId="771E381D" w14:textId="4A7B4D27" w:rsidR="00F67FB6" w:rsidRDefault="00D65895" w:rsidP="00235F77">
      <w:pPr>
        <w:spacing w:line="480" w:lineRule="auto"/>
        <w:rPr>
          <w:rFonts w:ascii="Times New Roman" w:hAnsi="Times New Roman" w:cs="Times New Roman"/>
        </w:rPr>
      </w:pPr>
      <w:r>
        <w:rPr>
          <w:rFonts w:ascii="Times New Roman" w:hAnsi="Times New Roman" w:cs="Times New Roman"/>
        </w:rPr>
        <w:tab/>
        <w:t>Phase II</w:t>
      </w:r>
      <w:r w:rsidR="004F3E5E">
        <w:rPr>
          <w:rFonts w:ascii="Times New Roman" w:hAnsi="Times New Roman" w:cs="Times New Roman"/>
        </w:rPr>
        <w:t xml:space="preserve"> was aimed at examining the factor structure of the proposed scale using an exploratory factor analysis (EFA). </w:t>
      </w:r>
      <w:r w:rsidR="002E4385">
        <w:rPr>
          <w:rFonts w:ascii="Times New Roman" w:hAnsi="Times New Roman" w:cs="Times New Roman"/>
        </w:rPr>
        <w:t xml:space="preserve">The intent of this additional scale refinement was to ensure adequate domain coverage while </w:t>
      </w:r>
      <w:proofErr w:type="gramStart"/>
      <w:r w:rsidR="002E4385">
        <w:rPr>
          <w:rFonts w:ascii="Times New Roman" w:hAnsi="Times New Roman" w:cs="Times New Roman"/>
        </w:rPr>
        <w:t>retaining</w:t>
      </w:r>
      <w:proofErr w:type="gramEnd"/>
      <w:r w:rsidR="002E4385">
        <w:rPr>
          <w:rFonts w:ascii="Times New Roman" w:hAnsi="Times New Roman" w:cs="Times New Roman"/>
        </w:rPr>
        <w:t xml:space="preserve"> a parsimonious measure (e.g., </w:t>
      </w:r>
      <w:proofErr w:type="spellStart"/>
      <w:r w:rsidR="002E4385">
        <w:rPr>
          <w:rFonts w:ascii="Times New Roman" w:hAnsi="Times New Roman" w:cs="Times New Roman"/>
        </w:rPr>
        <w:t>Dossinger</w:t>
      </w:r>
      <w:proofErr w:type="spellEnd"/>
      <w:r w:rsidR="002E4385">
        <w:rPr>
          <w:rFonts w:ascii="Times New Roman" w:hAnsi="Times New Roman" w:cs="Times New Roman"/>
        </w:rPr>
        <w:t xml:space="preserve"> et al., 2025; </w:t>
      </w:r>
      <w:proofErr w:type="spellStart"/>
      <w:r w:rsidR="002E4385">
        <w:rPr>
          <w:rFonts w:ascii="Times New Roman" w:hAnsi="Times New Roman" w:cs="Times New Roman"/>
        </w:rPr>
        <w:t>Hinkin</w:t>
      </w:r>
      <w:proofErr w:type="spellEnd"/>
      <w:r w:rsidR="002E4385">
        <w:rPr>
          <w:rFonts w:ascii="Times New Roman" w:hAnsi="Times New Roman" w:cs="Times New Roman"/>
        </w:rPr>
        <w:t xml:space="preserve">, 1998). </w:t>
      </w:r>
      <w:r w:rsidR="007F183D">
        <w:rPr>
          <w:rFonts w:ascii="Times New Roman" w:hAnsi="Times New Roman" w:cs="Times New Roman"/>
        </w:rPr>
        <w:t xml:space="preserve">To avoid issues associated with </w:t>
      </w:r>
      <w:r w:rsidR="002E4385">
        <w:rPr>
          <w:rFonts w:ascii="Times New Roman" w:hAnsi="Times New Roman" w:cs="Times New Roman"/>
        </w:rPr>
        <w:t>capitalizing</w:t>
      </w:r>
      <w:r w:rsidR="007F183D">
        <w:rPr>
          <w:rFonts w:ascii="Times New Roman" w:hAnsi="Times New Roman" w:cs="Times New Roman"/>
        </w:rPr>
        <w:t xml:space="preserve"> on chance or overfitting a model to a particular sample, a</w:t>
      </w:r>
      <w:r w:rsidR="007F183D" w:rsidRPr="004F3E5E">
        <w:rPr>
          <w:rFonts w:ascii="Times New Roman" w:hAnsi="Times New Roman" w:cs="Times New Roman"/>
        </w:rPr>
        <w:t>n empirical separation between th</w:t>
      </w:r>
      <w:r w:rsidR="007F183D">
        <w:rPr>
          <w:rFonts w:ascii="Times New Roman" w:hAnsi="Times New Roman" w:cs="Times New Roman"/>
        </w:rPr>
        <w:t>is</w:t>
      </w:r>
      <w:r w:rsidR="007F183D" w:rsidRPr="004F3E5E">
        <w:rPr>
          <w:rFonts w:ascii="Times New Roman" w:hAnsi="Times New Roman" w:cs="Times New Roman"/>
        </w:rPr>
        <w:t xml:space="preserve"> initial</w:t>
      </w:r>
      <w:r w:rsidR="007F183D">
        <w:rPr>
          <w:rFonts w:ascii="Times New Roman" w:hAnsi="Times New Roman" w:cs="Times New Roman"/>
        </w:rPr>
        <w:t xml:space="preserve"> EFA model and the subsequent </w:t>
      </w:r>
      <w:r w:rsidR="007F183D" w:rsidRPr="004F3E5E">
        <w:rPr>
          <w:rFonts w:ascii="Times New Roman" w:hAnsi="Times New Roman" w:cs="Times New Roman"/>
        </w:rPr>
        <w:lastRenderedPageBreak/>
        <w:t xml:space="preserve">confirmatory analyses </w:t>
      </w:r>
      <w:r w:rsidR="007F183D">
        <w:rPr>
          <w:rFonts w:ascii="Times New Roman" w:hAnsi="Times New Roman" w:cs="Times New Roman"/>
        </w:rPr>
        <w:t xml:space="preserve">conducted in phase III </w:t>
      </w:r>
      <w:r w:rsidR="007F183D" w:rsidRPr="004F3E5E">
        <w:rPr>
          <w:rFonts w:ascii="Times New Roman" w:hAnsi="Times New Roman" w:cs="Times New Roman"/>
        </w:rPr>
        <w:t xml:space="preserve">was maintained by randomly assigning each observation to be included in either the exploratory or confirmatory analysis (Boateng et al., 2018; </w:t>
      </w:r>
      <w:proofErr w:type="spellStart"/>
      <w:r w:rsidR="007F183D" w:rsidRPr="004F3E5E">
        <w:rPr>
          <w:rFonts w:ascii="Times New Roman" w:hAnsi="Times New Roman" w:cs="Times New Roman"/>
        </w:rPr>
        <w:t>Hinkin</w:t>
      </w:r>
      <w:proofErr w:type="spellEnd"/>
      <w:r w:rsidR="007F183D" w:rsidRPr="004F3E5E">
        <w:rPr>
          <w:rFonts w:ascii="Times New Roman" w:hAnsi="Times New Roman" w:cs="Times New Roman"/>
        </w:rPr>
        <w:t>, 1998). As a result, the effective sample size for both the</w:t>
      </w:r>
      <w:r w:rsidR="007F183D">
        <w:rPr>
          <w:rFonts w:ascii="Times New Roman" w:hAnsi="Times New Roman" w:cs="Times New Roman"/>
        </w:rPr>
        <w:t xml:space="preserve"> EFA </w:t>
      </w:r>
      <w:r w:rsidR="007F183D" w:rsidRPr="004F3E5E">
        <w:rPr>
          <w:rFonts w:ascii="Times New Roman" w:hAnsi="Times New Roman" w:cs="Times New Roman"/>
        </w:rPr>
        <w:t>and confirmatory factor analysis (CFA) analyses was 214 each.</w:t>
      </w:r>
    </w:p>
    <w:p w14:paraId="20874EE3" w14:textId="1C2A5FFC" w:rsidR="006A0EE7" w:rsidRDefault="45BA1AAA" w:rsidP="007F183D">
      <w:pPr>
        <w:spacing w:line="480" w:lineRule="auto"/>
        <w:ind w:firstLine="720"/>
        <w:rPr>
          <w:rFonts w:ascii="Times New Roman" w:hAnsi="Times New Roman" w:cs="Times New Roman"/>
        </w:rPr>
      </w:pPr>
      <w:r w:rsidRPr="45BA1AAA">
        <w:rPr>
          <w:rFonts w:ascii="Times New Roman" w:hAnsi="Times New Roman" w:cs="Times New Roman"/>
        </w:rPr>
        <w:t xml:space="preserve">Consistent with best practices, a </w:t>
      </w:r>
      <w:proofErr w:type="spellStart"/>
      <w:r w:rsidRPr="45BA1AAA">
        <w:rPr>
          <w:rFonts w:ascii="Times New Roman" w:hAnsi="Times New Roman" w:cs="Times New Roman"/>
        </w:rPr>
        <w:t>multifacted</w:t>
      </w:r>
      <w:proofErr w:type="spellEnd"/>
      <w:r w:rsidRPr="45BA1AAA">
        <w:rPr>
          <w:rFonts w:ascii="Times New Roman" w:hAnsi="Times New Roman" w:cs="Times New Roman"/>
        </w:rPr>
        <w:t xml:space="preserve"> approach (i.e., parallel analysis, scree plot, Kaiser Criterion, Empirical Kaiser Criterion) was taken to determining the number of factors present in the data to capitalize on the strengths and weaknesses of each approach (Tabachnick et al., 2013). For example, while generally well regarded, parallel analysis can struggle to identify the current number of factors when the factors are correlated and measured with short scales, while the Empirical Kaiser Criterion can struggle with the combination of low dimensionality and high reliability (</w:t>
      </w:r>
      <w:proofErr w:type="spellStart"/>
      <w:r w:rsidRPr="45BA1AAA">
        <w:rPr>
          <w:rFonts w:ascii="Times New Roman" w:hAnsi="Times New Roman" w:cs="Times New Roman"/>
        </w:rPr>
        <w:t>Braeken</w:t>
      </w:r>
      <w:proofErr w:type="spellEnd"/>
      <w:r w:rsidRPr="45BA1AAA">
        <w:rPr>
          <w:rFonts w:ascii="Times New Roman" w:hAnsi="Times New Roman" w:cs="Times New Roman"/>
        </w:rPr>
        <w:t xml:space="preserve"> and van Assen, 2017). </w:t>
      </w:r>
      <w:r w:rsidR="00C67EF5">
        <w:rPr>
          <w:rFonts w:ascii="Times New Roman" w:hAnsi="Times New Roman" w:cs="Times New Roman"/>
        </w:rPr>
        <w:t xml:space="preserve">Based on this holistic assessment, five factors were specified for the focal EFA model, </w:t>
      </w:r>
      <w:r w:rsidRPr="45BA1AAA">
        <w:rPr>
          <w:rFonts w:ascii="Times New Roman" w:hAnsi="Times New Roman" w:cs="Times New Roman"/>
        </w:rPr>
        <w:t xml:space="preserve">with an oblique rotation (i.e., </w:t>
      </w:r>
      <w:proofErr w:type="spellStart"/>
      <w:r w:rsidRPr="45BA1AAA">
        <w:rPr>
          <w:rFonts w:ascii="Times New Roman" w:hAnsi="Times New Roman" w:cs="Times New Roman"/>
        </w:rPr>
        <w:t>oblimin</w:t>
      </w:r>
      <w:proofErr w:type="spellEnd"/>
      <w:r w:rsidRPr="45BA1AAA">
        <w:rPr>
          <w:rFonts w:ascii="Times New Roman" w:hAnsi="Times New Roman" w:cs="Times New Roman"/>
        </w:rPr>
        <w:t>) because the returns management capability dimensions were hypothesized to share a common conceptual core (Tabachnick et al., 2013). Results of the EFA are provided in Table I of the main document. The results indicate that all items exhibited simple structure with strong loadings on their intended factor and only minimal cross-loadings, all of which were below the level generally deemed trivial (Cortina, 2020; Tabachnick et al., 2013). Collectively, the five factors explained 72% of the variance in the items, with the proportion of variance explained across factors ranging from .16-.13. Providing initial support for the presence of a second-order factor, all dimensions exhibited medium to large inter-correlations (Cohen, 1992).</w:t>
      </w:r>
    </w:p>
    <w:p w14:paraId="04C0DDEC" w14:textId="6CCF2DC5" w:rsidR="006E1AEA" w:rsidRDefault="50B5A393" w:rsidP="006E1AEA">
      <w:pPr>
        <w:spacing w:line="480" w:lineRule="auto"/>
        <w:ind w:firstLine="720"/>
        <w:rPr>
          <w:rFonts w:ascii="Times New Roman" w:hAnsi="Times New Roman" w:cs="Times New Roman"/>
        </w:rPr>
      </w:pPr>
      <w:r w:rsidRPr="50B5A393">
        <w:rPr>
          <w:rFonts w:ascii="Times New Roman" w:hAnsi="Times New Roman" w:cs="Times New Roman"/>
        </w:rPr>
        <w:t xml:space="preserve">While the initial results were promising, further work was done to help ensure that we met our dual objectives of maintaining adequate domain coverage and developing a parsimonious measure (e.g., </w:t>
      </w:r>
      <w:proofErr w:type="spellStart"/>
      <w:r w:rsidRPr="50B5A393">
        <w:rPr>
          <w:rFonts w:ascii="Times New Roman" w:hAnsi="Times New Roman" w:cs="Times New Roman"/>
        </w:rPr>
        <w:t>Dossinger</w:t>
      </w:r>
      <w:proofErr w:type="spellEnd"/>
      <w:r w:rsidRPr="50B5A393">
        <w:rPr>
          <w:rFonts w:ascii="Times New Roman" w:hAnsi="Times New Roman" w:cs="Times New Roman"/>
        </w:rPr>
        <w:t xml:space="preserve"> et al., 2025; </w:t>
      </w:r>
      <w:proofErr w:type="spellStart"/>
      <w:r w:rsidRPr="50B5A393">
        <w:rPr>
          <w:rFonts w:ascii="Times New Roman" w:hAnsi="Times New Roman" w:cs="Times New Roman"/>
        </w:rPr>
        <w:t>Hinkin</w:t>
      </w:r>
      <w:proofErr w:type="spellEnd"/>
      <w:r w:rsidRPr="50B5A393">
        <w:rPr>
          <w:rFonts w:ascii="Times New Roman" w:hAnsi="Times New Roman" w:cs="Times New Roman"/>
        </w:rPr>
        <w:t xml:space="preserve">, 1998). Consistent with contemporary </w:t>
      </w:r>
      <w:r w:rsidRPr="50B5A393">
        <w:rPr>
          <w:rFonts w:ascii="Times New Roman" w:hAnsi="Times New Roman" w:cs="Times New Roman"/>
        </w:rPr>
        <w:lastRenderedPageBreak/>
        <w:t xml:space="preserve">scale development best practices, to attain the latter goal, we targeted scales comprised of four items per dimension to minimize the overall response burden on respondents. This is consistent with other work employing multi-dimensional scales (e.g. </w:t>
      </w:r>
      <w:proofErr w:type="spellStart"/>
      <w:r w:rsidRPr="50B5A393">
        <w:rPr>
          <w:rFonts w:ascii="Times New Roman" w:hAnsi="Times New Roman" w:cs="Times New Roman"/>
        </w:rPr>
        <w:t>Oreg</w:t>
      </w:r>
      <w:proofErr w:type="spellEnd"/>
      <w:r w:rsidRPr="50B5A393">
        <w:rPr>
          <w:rFonts w:ascii="Times New Roman" w:hAnsi="Times New Roman" w:cs="Times New Roman"/>
        </w:rPr>
        <w:t xml:space="preserve"> et al., 2024), and four items per scale </w:t>
      </w:r>
      <w:proofErr w:type="gramStart"/>
      <w:r w:rsidRPr="50B5A393">
        <w:rPr>
          <w:rFonts w:ascii="Times New Roman" w:hAnsi="Times New Roman" w:cs="Times New Roman"/>
        </w:rPr>
        <w:t>has</w:t>
      </w:r>
      <w:proofErr w:type="gramEnd"/>
      <w:r w:rsidRPr="50B5A393">
        <w:rPr>
          <w:rFonts w:ascii="Times New Roman" w:hAnsi="Times New Roman" w:cs="Times New Roman"/>
        </w:rPr>
        <w:t xml:space="preserve"> been proposed as being sufficient (e.g., Hinken, 1998), especially when the </w:t>
      </w:r>
      <w:proofErr w:type="gramStart"/>
      <w:r w:rsidRPr="50B5A393">
        <w:rPr>
          <w:rFonts w:ascii="Times New Roman" w:hAnsi="Times New Roman" w:cs="Times New Roman"/>
        </w:rPr>
        <w:t>construct</w:t>
      </w:r>
      <w:proofErr w:type="gramEnd"/>
      <w:r w:rsidRPr="50B5A393">
        <w:rPr>
          <w:rFonts w:ascii="Times New Roman" w:hAnsi="Times New Roman" w:cs="Times New Roman"/>
        </w:rPr>
        <w:t xml:space="preserve"> being measured is </w:t>
      </w:r>
      <w:proofErr w:type="gramStart"/>
      <w:r w:rsidRPr="50B5A393">
        <w:rPr>
          <w:rFonts w:ascii="Times New Roman" w:hAnsi="Times New Roman" w:cs="Times New Roman"/>
        </w:rPr>
        <w:t>fairly narrow</w:t>
      </w:r>
      <w:proofErr w:type="gramEnd"/>
      <w:r w:rsidRPr="50B5A393">
        <w:rPr>
          <w:rFonts w:ascii="Times New Roman" w:hAnsi="Times New Roman" w:cs="Times New Roman"/>
        </w:rPr>
        <w:t xml:space="preserve"> (Lambert &amp; Newman, 2023), which is the case for each of our dimensions. To implement this further (Cortina et al., 2020), we targeted the two items from each sub-dimension with the lowest loadings on their expected factor as primary candidates for removal from the final scale. However, prior to removing those items, a qualitative assessment of the remaining items was made by the authorship team to ensure adequate domain coverage. This combination of quantitative and qualitative evaluation to fulfill this dual purpose is consistent with measure development recommendations and other contemporary work in the measure development space (</w:t>
      </w:r>
      <w:proofErr w:type="spellStart"/>
      <w:r w:rsidRPr="50B5A393">
        <w:rPr>
          <w:rFonts w:ascii="Times New Roman" w:hAnsi="Times New Roman" w:cs="Times New Roman"/>
        </w:rPr>
        <w:t>Dossinger</w:t>
      </w:r>
      <w:proofErr w:type="spellEnd"/>
      <w:r w:rsidRPr="50B5A393">
        <w:rPr>
          <w:rFonts w:ascii="Times New Roman" w:hAnsi="Times New Roman" w:cs="Times New Roman"/>
        </w:rPr>
        <w:t xml:space="preserve">, 2025). This process resulted in the identification of twenty proposed scale items for our final measure. </w:t>
      </w:r>
    </w:p>
    <w:p w14:paraId="631B6269" w14:textId="143BE8F2" w:rsidR="004F3E5E" w:rsidRPr="004F3E5E" w:rsidRDefault="7DD5AF97" w:rsidP="50B5A393">
      <w:pPr>
        <w:spacing w:line="480" w:lineRule="auto"/>
        <w:ind w:firstLine="720"/>
        <w:rPr>
          <w:rFonts w:ascii="Times New Roman" w:hAnsi="Times New Roman" w:cs="Times New Roman"/>
        </w:rPr>
      </w:pPr>
      <w:r w:rsidRPr="7DD5AF97">
        <w:rPr>
          <w:rFonts w:ascii="Times New Roman" w:hAnsi="Times New Roman" w:cs="Times New Roman"/>
        </w:rPr>
        <w:t>Phase III was undertaken to confirm the psychometric properties of the proposed scale developed in Phase II. As is typical, his assessment was made using CFA (Cortina, 2020; Hinken, 1998; Lambert &amp; Newman, 2023). Consistent with the theorized structure, a five-factor model with four indicators per factor was estimated using fixed-factor scaling for identification. Consistent with best practices in assessing CFA models (Little, 2024), a holistic assessment of model fit was made using multiple fit indices (χ2 = 343 (</w:t>
      </w:r>
      <w:proofErr w:type="spellStart"/>
      <w:r w:rsidRPr="7DD5AF97">
        <w:rPr>
          <w:rFonts w:ascii="Times New Roman" w:hAnsi="Times New Roman" w:cs="Times New Roman"/>
        </w:rPr>
        <w:t>df</w:t>
      </w:r>
      <w:proofErr w:type="spellEnd"/>
      <w:r w:rsidRPr="7DD5AF97">
        <w:rPr>
          <w:rFonts w:ascii="Times New Roman" w:hAnsi="Times New Roman" w:cs="Times New Roman"/>
        </w:rPr>
        <w:t xml:space="preserve"> = 160, p &lt; .05), CFI = .95, TLI = .94, RMSEA = .07, SRMR = .05), which collectively indicate adequate model fit (Rönkkö and Cho, 2022). In addition to the baseline measurement model, a model that included the financial performance measure was also estimated to help evaluate the convergent and discriminant validity of the proposed scale. This model also demonstrated adequate fit to the data (χ2 = 496 </w:t>
      </w:r>
      <w:r w:rsidRPr="7DD5AF97">
        <w:rPr>
          <w:rFonts w:ascii="Times New Roman" w:hAnsi="Times New Roman" w:cs="Times New Roman"/>
        </w:rPr>
        <w:lastRenderedPageBreak/>
        <w:t>(</w:t>
      </w:r>
      <w:proofErr w:type="spellStart"/>
      <w:r w:rsidRPr="7DD5AF97">
        <w:rPr>
          <w:rFonts w:ascii="Times New Roman" w:hAnsi="Times New Roman" w:cs="Times New Roman"/>
        </w:rPr>
        <w:t>df</w:t>
      </w:r>
      <w:proofErr w:type="spellEnd"/>
      <w:r w:rsidRPr="7DD5AF97">
        <w:rPr>
          <w:rFonts w:ascii="Times New Roman" w:hAnsi="Times New Roman" w:cs="Times New Roman"/>
        </w:rPr>
        <w:t xml:space="preserve"> = 237, p &lt; .05), CFI = .94, TLI = .93, RMSEA = .07, SRMR = .04). For both models, all factor loadings were positive and statistically significant (p &lt; .001). </w:t>
      </w:r>
    </w:p>
    <w:p w14:paraId="500CD1E1" w14:textId="77777777" w:rsidR="00C32292" w:rsidRDefault="004F3E5E" w:rsidP="004F3E5E">
      <w:pPr>
        <w:spacing w:line="480" w:lineRule="auto"/>
        <w:rPr>
          <w:rFonts w:ascii="Times New Roman" w:hAnsi="Times New Roman" w:cs="Times New Roman"/>
        </w:rPr>
      </w:pPr>
      <w:r w:rsidRPr="004F3E5E">
        <w:rPr>
          <w:rFonts w:ascii="Times New Roman" w:hAnsi="Times New Roman" w:cs="Times New Roman"/>
        </w:rPr>
        <w:tab/>
      </w:r>
      <w:r w:rsidR="00234C38">
        <w:rPr>
          <w:rFonts w:ascii="Times New Roman" w:hAnsi="Times New Roman" w:cs="Times New Roman"/>
        </w:rPr>
        <w:t>Further extending this model</w:t>
      </w:r>
      <w:r w:rsidRPr="004F3E5E">
        <w:rPr>
          <w:rFonts w:ascii="Times New Roman" w:hAnsi="Times New Roman" w:cs="Times New Roman"/>
        </w:rPr>
        <w:t xml:space="preserve">, a CFA model with a </w:t>
      </w:r>
      <w:proofErr w:type="gramStart"/>
      <w:r w:rsidRPr="004F3E5E">
        <w:rPr>
          <w:rFonts w:ascii="Times New Roman" w:hAnsi="Times New Roman" w:cs="Times New Roman"/>
        </w:rPr>
        <w:t>second-order</w:t>
      </w:r>
      <w:proofErr w:type="gramEnd"/>
      <w:r w:rsidRPr="004F3E5E">
        <w:rPr>
          <w:rFonts w:ascii="Times New Roman" w:hAnsi="Times New Roman" w:cs="Times New Roman"/>
        </w:rPr>
        <w:t xml:space="preserve"> returns management capability factor was estimated. </w:t>
      </w:r>
      <w:r w:rsidR="00C32292" w:rsidRPr="00C32292">
        <w:rPr>
          <w:rFonts w:ascii="Times New Roman" w:hAnsi="Times New Roman" w:cs="Times New Roman"/>
        </w:rPr>
        <w:t xml:space="preserve">To further extend the </w:t>
      </w:r>
      <w:proofErr w:type="gramStart"/>
      <w:r w:rsidR="00C32292" w:rsidRPr="00C32292">
        <w:rPr>
          <w:rFonts w:ascii="Times New Roman" w:hAnsi="Times New Roman" w:cs="Times New Roman"/>
        </w:rPr>
        <w:t>constructs</w:t>
      </w:r>
      <w:proofErr w:type="gramEnd"/>
      <w:r w:rsidR="00C32292" w:rsidRPr="00C32292">
        <w:rPr>
          <w:rFonts w:ascii="Times New Roman" w:hAnsi="Times New Roman" w:cs="Times New Roman"/>
        </w:rPr>
        <w:t>’ nomological validity, firm financial performance was included when estimating this model (Min and Mentzer, 2004). Even though it is generally believed that effective returns management has a positive impact on firm financial performance, the cross-sectional nature of the data doesn't allow a reciprocal or reverse causal argument to be ruled out. Therefore, the relationship between returns management capability and performance was estimated as a covariance rather than being causal in nature.</w:t>
      </w:r>
    </w:p>
    <w:p w14:paraId="4C2B19DD" w14:textId="59AD6C10" w:rsidR="00072B2F" w:rsidRDefault="45BA1AAA" w:rsidP="50B5A393">
      <w:pPr>
        <w:spacing w:line="480" w:lineRule="auto"/>
        <w:ind w:firstLine="720"/>
        <w:rPr>
          <w:rFonts w:ascii="Times New Roman" w:hAnsi="Times New Roman" w:cs="Times New Roman"/>
        </w:rPr>
      </w:pPr>
      <w:r w:rsidRPr="45BA1AAA">
        <w:rPr>
          <w:rFonts w:ascii="Times New Roman" w:hAnsi="Times New Roman" w:cs="Times New Roman"/>
        </w:rPr>
        <w:t>The fit of this model was again assessed using multiple fit indices to assess multiple aspects of model fit (χ2 = 528 (</w:t>
      </w:r>
      <w:proofErr w:type="spellStart"/>
      <w:r w:rsidRPr="45BA1AAA">
        <w:rPr>
          <w:rFonts w:ascii="Times New Roman" w:hAnsi="Times New Roman" w:cs="Times New Roman"/>
        </w:rPr>
        <w:t>df</w:t>
      </w:r>
      <w:proofErr w:type="spellEnd"/>
      <w:r w:rsidRPr="45BA1AAA">
        <w:rPr>
          <w:rFonts w:ascii="Times New Roman" w:hAnsi="Times New Roman" w:cs="Times New Roman"/>
        </w:rPr>
        <w:t xml:space="preserve"> = 246, p &lt; .05), CFI = .94, TLI = .93, RMSEA = .07, SRMR = .06). In support of our theorizing, this model demonstrates adequate fit to the data (Rönkkö and Cho, 2022). Paralleling efforts with the earlier analyses, the estimated loadings were evaluated to ensure that the </w:t>
      </w:r>
      <w:proofErr w:type="spellStart"/>
      <w:r w:rsidRPr="45BA1AAA">
        <w:rPr>
          <w:rFonts w:ascii="Times New Roman" w:hAnsi="Times New Roman" w:cs="Times New Roman"/>
        </w:rPr>
        <w:t>unidmensionality</w:t>
      </w:r>
      <w:proofErr w:type="spellEnd"/>
      <w:r w:rsidRPr="45BA1AAA">
        <w:rPr>
          <w:rFonts w:ascii="Times New Roman" w:hAnsi="Times New Roman" w:cs="Times New Roman"/>
        </w:rPr>
        <w:t xml:space="preserve"> of the proposed measures was retained with this more complex model. All factor loadings were positive and statistically significant at p &lt; .001, with standardized factor loadings ranging from .59 to .93, providing evidence for the </w:t>
      </w:r>
      <w:proofErr w:type="spellStart"/>
      <w:r w:rsidRPr="45BA1AAA">
        <w:rPr>
          <w:rFonts w:ascii="Times New Roman" w:hAnsi="Times New Roman" w:cs="Times New Roman"/>
        </w:rPr>
        <w:t>unidimensionality</w:t>
      </w:r>
      <w:proofErr w:type="spellEnd"/>
      <w:r w:rsidRPr="45BA1AAA">
        <w:rPr>
          <w:rFonts w:ascii="Times New Roman" w:hAnsi="Times New Roman" w:cs="Times New Roman"/>
        </w:rPr>
        <w:t xml:space="preserve"> of each construct (Gerbing and Anderson, 1988). In addition, the estimated correlation between firm financial performance and returns management capability was moderate (0.64, 95% confidence interval = (0.54, 0.74)). Because the upper limit of the 95% confidence interval was less than 0.8, the returns management capability construct exhibits sufficient discriminant validity with respect to firm performance (Rönkkö and Cho, 2022).  </w:t>
      </w:r>
    </w:p>
    <w:p w14:paraId="3DEDAC85" w14:textId="77777777" w:rsidR="00A972D3" w:rsidRDefault="00A972D3" w:rsidP="50B5A393">
      <w:pPr>
        <w:spacing w:line="480" w:lineRule="auto"/>
        <w:ind w:firstLine="720"/>
        <w:rPr>
          <w:rFonts w:ascii="Times New Roman" w:hAnsi="Times New Roman" w:cs="Times New Roman"/>
        </w:rPr>
      </w:pPr>
    </w:p>
    <w:p w14:paraId="75F8B394" w14:textId="77777777" w:rsidR="00A972D3" w:rsidRPr="00072B2F" w:rsidRDefault="00A972D3" w:rsidP="50B5A393">
      <w:pPr>
        <w:spacing w:line="480" w:lineRule="auto"/>
        <w:ind w:firstLine="720"/>
        <w:rPr>
          <w:rFonts w:ascii="Times New Roman" w:hAnsi="Times New Roman" w:cs="Times New Roman"/>
        </w:rPr>
      </w:pPr>
    </w:p>
    <w:p w14:paraId="3B174EDD" w14:textId="58B157B7" w:rsidR="00FC048C" w:rsidRDefault="50B5A393" w:rsidP="50B5A393">
      <w:pPr>
        <w:spacing w:line="480" w:lineRule="auto"/>
        <w:rPr>
          <w:rFonts w:ascii="Times New Roman" w:hAnsi="Times New Roman" w:cs="Times New Roman"/>
          <w:b/>
          <w:bCs/>
        </w:rPr>
      </w:pPr>
      <w:r w:rsidRPr="50B5A393">
        <w:rPr>
          <w:rFonts w:ascii="Times New Roman" w:hAnsi="Times New Roman" w:cs="Times New Roman"/>
          <w:b/>
          <w:bCs/>
        </w:rPr>
        <w:lastRenderedPageBreak/>
        <w:t>3. STUDY 3</w:t>
      </w:r>
    </w:p>
    <w:p w14:paraId="085A2188" w14:textId="73590256" w:rsidR="00550BAC" w:rsidRPr="00550BAC" w:rsidRDefault="50B5A393" w:rsidP="50B5A393">
      <w:pPr>
        <w:spacing w:line="480" w:lineRule="auto"/>
        <w:rPr>
          <w:rFonts w:ascii="Times New Roman" w:hAnsi="Times New Roman" w:cs="Times New Roman"/>
        </w:rPr>
      </w:pPr>
      <w:r w:rsidRPr="50B5A393">
        <w:rPr>
          <w:rFonts w:ascii="Times New Roman" w:hAnsi="Times New Roman" w:cs="Times New Roman"/>
        </w:rPr>
        <w:t>When asked whether the identified returns management capability dimensions would differ in a business-to-business setting compared to a business-to-consumer setting, all interviewees suggested that these dimensions apply to both settings, though the specific challenges may differ somewhat based on the setting. For example, many interviewees dealing with product returns originating directly from consumers mentioned the challenges related to achieving economies of scale for the processing and asset recovery dimensions. In contrast, this concern was not as emphasized by interviewees in business-to-business settings. Similarly, interviewees processing returns directly from consumers were often concerned with issues related to fraud. One interviewee detailed the ways in which some consumers fraudulently return electronics products, highlighting the prevalence of this issue. Several interviewees who were concerned with consumer product returns fraud discussed the importance of an effective returns policy design as part of the customer interface dimension. However, return fraud was not a big concern for companies in business-to-business settings. Participants in both the business-to-business and business-to-consumer contexts emphasized the importance of information systems support and network design to mitigate their unique challenges.</w:t>
      </w:r>
    </w:p>
    <w:p w14:paraId="04C50F7D" w14:textId="77777777" w:rsidR="00550BAC" w:rsidRPr="00550BAC" w:rsidRDefault="50B5A393" w:rsidP="50B5A393">
      <w:pPr>
        <w:spacing w:line="480" w:lineRule="auto"/>
        <w:ind w:firstLine="720"/>
        <w:rPr>
          <w:rFonts w:ascii="Times New Roman" w:hAnsi="Times New Roman" w:cs="Times New Roman"/>
        </w:rPr>
      </w:pPr>
      <w:r w:rsidRPr="50B5A393">
        <w:rPr>
          <w:rFonts w:ascii="Times New Roman" w:hAnsi="Times New Roman" w:cs="Times New Roman"/>
        </w:rPr>
        <w:t xml:space="preserve">To explore the organizational boundaries of the returns management capability dimensions, the interview participants were asked to discuss whether any of the capability dimensions identified in this study were currently external to their operations. It appears that a company’s supply chain position could impact the organizational boundary of certain capability dimensions. For example, several interviewees overseeing warehousing and other upstream operations stated that their operations dealt primarily with the processing and asset recovery dimensions, but many aspects of the customer-interface dimension, such as </w:t>
      </w:r>
      <w:proofErr w:type="gramStart"/>
      <w:r w:rsidRPr="50B5A393">
        <w:rPr>
          <w:rFonts w:ascii="Times New Roman" w:hAnsi="Times New Roman" w:cs="Times New Roman"/>
        </w:rPr>
        <w:t>the direct</w:t>
      </w:r>
      <w:proofErr w:type="gramEnd"/>
      <w:r w:rsidRPr="50B5A393">
        <w:rPr>
          <w:rFonts w:ascii="Times New Roman" w:hAnsi="Times New Roman" w:cs="Times New Roman"/>
        </w:rPr>
        <w:t xml:space="preserve"> interactions </w:t>
      </w:r>
      <w:r w:rsidRPr="50B5A393">
        <w:rPr>
          <w:rFonts w:ascii="Times New Roman" w:hAnsi="Times New Roman" w:cs="Times New Roman"/>
        </w:rPr>
        <w:lastRenderedPageBreak/>
        <w:t xml:space="preserve">with consumers and return policy design, were outside of their control. However, they emphasized that some of the decisions made outside of their firms were critical for their operational efficiency and overall success. For instance, it was noted that overly lenient return policies led to higher volumes of product returns that could have been avoided otherwise. </w:t>
      </w:r>
    </w:p>
    <w:p w14:paraId="0E92BE17" w14:textId="16EFE0EA" w:rsidR="00FC048C" w:rsidRDefault="50B5A393" w:rsidP="50B5A393">
      <w:pPr>
        <w:spacing w:line="480" w:lineRule="auto"/>
        <w:ind w:firstLine="720"/>
        <w:rPr>
          <w:rFonts w:ascii="Times New Roman" w:hAnsi="Times New Roman" w:cs="Times New Roman"/>
        </w:rPr>
      </w:pPr>
      <w:r w:rsidRPr="50B5A393">
        <w:rPr>
          <w:rFonts w:ascii="Times New Roman" w:hAnsi="Times New Roman" w:cs="Times New Roman"/>
        </w:rPr>
        <w:t xml:space="preserve">Product return format appears to be an important factor that could impact return management capability. The emergence of different return formats, such as buy online return to store, necessitates the effective management of different return channels and emphasizes different returns management capability dimensions. When asked to compare in-store and online returns, interviewees noted the importance of the customer interface dimension in both settings as both share the same goal of maximizing customer satisfaction, although the processes involved are different. All the interviewees stressed the importance of collecting data on reasons for returns (to decrease future product returns), but they reported that collecting this data for the in-store returns was much more difficult than online returns. In addition, the network structure for these two different types of returns can also differ drastically. Online returns are often collected and transported directly to a facility by third-party logistics service providers. In contrast, in-store returns require stores to be able to accept and process returns effectively, so that proper decisions can be made regarding whether the items should be put back on the store shelf or shipped back upstream to a facility for activities such as repair, repackaging, or disposal. </w:t>
      </w:r>
    </w:p>
    <w:p w14:paraId="2EFB8DAA" w14:textId="77777777" w:rsidR="00FC048C" w:rsidRDefault="00FC048C" w:rsidP="00240696">
      <w:pPr>
        <w:rPr>
          <w:rFonts w:ascii="Times New Roman" w:hAnsi="Times New Roman" w:cs="Times New Roman"/>
        </w:rPr>
      </w:pPr>
    </w:p>
    <w:p w14:paraId="23D17F6E" w14:textId="77777777" w:rsidR="00FC048C" w:rsidRDefault="00FC048C" w:rsidP="00240696">
      <w:pPr>
        <w:rPr>
          <w:rFonts w:ascii="Times New Roman" w:hAnsi="Times New Roman" w:cs="Times New Roman"/>
        </w:rPr>
      </w:pPr>
    </w:p>
    <w:p w14:paraId="03D9EAAA" w14:textId="77777777" w:rsidR="005E723F" w:rsidRDefault="005E723F">
      <w:pPr>
        <w:rPr>
          <w:rFonts w:ascii="Times New Roman" w:hAnsi="Times New Roman" w:cs="Times New Roman"/>
          <w:b/>
          <w:bCs/>
        </w:rPr>
      </w:pPr>
      <w:r w:rsidRPr="50B5A393">
        <w:rPr>
          <w:rFonts w:ascii="Times New Roman" w:hAnsi="Times New Roman" w:cs="Times New Roman"/>
          <w:b/>
          <w:bCs/>
        </w:rPr>
        <w:br w:type="page"/>
      </w:r>
    </w:p>
    <w:p w14:paraId="743CA0A2" w14:textId="133F70E0" w:rsidR="00FC048C" w:rsidRDefault="50B5A393" w:rsidP="00240696">
      <w:pPr>
        <w:rPr>
          <w:rFonts w:ascii="Times New Roman" w:hAnsi="Times New Roman" w:cs="Times New Roman"/>
          <w:b/>
          <w:bCs/>
        </w:rPr>
      </w:pPr>
      <w:r w:rsidRPr="50B5A393">
        <w:rPr>
          <w:rFonts w:ascii="Times New Roman" w:hAnsi="Times New Roman" w:cs="Times New Roman"/>
          <w:b/>
          <w:bCs/>
        </w:rPr>
        <w:lastRenderedPageBreak/>
        <w:t>Supplementary File S3 References</w:t>
      </w:r>
    </w:p>
    <w:p w14:paraId="4837A778" w14:textId="77777777" w:rsidR="005E723F" w:rsidRPr="00072B2F" w:rsidRDefault="005E723F" w:rsidP="00240696">
      <w:pPr>
        <w:rPr>
          <w:rFonts w:ascii="Times New Roman" w:hAnsi="Times New Roman" w:cs="Times New Roman"/>
        </w:rPr>
      </w:pPr>
    </w:p>
    <w:p w14:paraId="26DCAE65" w14:textId="1F0D5C3E" w:rsidR="00512839"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Anderson, J. C., and Gerbing, D. W. (1991), “Predicting the performance of measures in a confirmatory factor analysis with a pretest assessment of their substantive validities”, </w:t>
      </w:r>
      <w:r w:rsidRPr="50B5A393">
        <w:rPr>
          <w:rFonts w:ascii="Times New Roman" w:hAnsi="Times New Roman" w:cs="Times New Roman"/>
          <w:i/>
          <w:iCs/>
        </w:rPr>
        <w:t>Journal of Applied Psychology</w:t>
      </w:r>
      <w:r w:rsidRPr="50B5A393">
        <w:rPr>
          <w:rFonts w:ascii="Times New Roman" w:hAnsi="Times New Roman" w:cs="Times New Roman"/>
        </w:rPr>
        <w:t>, Vol. 76, pp. 732–740. https://doi.org/10.1037/0021-9010.76.5.732</w:t>
      </w:r>
    </w:p>
    <w:p w14:paraId="535A93C6" w14:textId="77777777" w:rsidR="00314E2A"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Boateng, G. O., </w:t>
      </w:r>
      <w:proofErr w:type="spellStart"/>
      <w:r w:rsidRPr="50B5A393">
        <w:rPr>
          <w:rFonts w:ascii="Times New Roman" w:hAnsi="Times New Roman" w:cs="Times New Roman"/>
        </w:rPr>
        <w:t>Neilands</w:t>
      </w:r>
      <w:proofErr w:type="spellEnd"/>
      <w:r w:rsidRPr="50B5A393">
        <w:rPr>
          <w:rFonts w:ascii="Times New Roman" w:hAnsi="Times New Roman" w:cs="Times New Roman"/>
        </w:rPr>
        <w:t xml:space="preserve">, T. B., Frongillo, E. A., Melgar-Quiñonez, H. R., and Young, S. L. (2018), “Best practices for developing and validating scales for health, social, and behavioral research: a primer”, </w:t>
      </w:r>
      <w:r w:rsidRPr="50B5A393">
        <w:rPr>
          <w:rFonts w:ascii="Times New Roman" w:hAnsi="Times New Roman" w:cs="Times New Roman"/>
          <w:i/>
          <w:iCs/>
        </w:rPr>
        <w:t>Frontiers in Public Health</w:t>
      </w:r>
      <w:r w:rsidRPr="50B5A393">
        <w:rPr>
          <w:rFonts w:ascii="Times New Roman" w:hAnsi="Times New Roman" w:cs="Times New Roman"/>
        </w:rPr>
        <w:t>, Vol. 6 No. 149, pp. 1–18. https://doi.org/10.3389/fpubh.2018.00149</w:t>
      </w:r>
    </w:p>
    <w:p w14:paraId="201270D7" w14:textId="68122AE6" w:rsidR="00314E2A" w:rsidRDefault="50B5A393" w:rsidP="00072B2F">
      <w:pPr>
        <w:spacing w:after="240"/>
        <w:ind w:left="720" w:hanging="720"/>
        <w:rPr>
          <w:rFonts w:ascii="Times New Roman" w:hAnsi="Times New Roman" w:cs="Times New Roman"/>
        </w:rPr>
      </w:pPr>
      <w:proofErr w:type="spellStart"/>
      <w:r w:rsidRPr="50B5A393">
        <w:rPr>
          <w:rFonts w:ascii="Times New Roman" w:hAnsi="Times New Roman" w:cs="Times New Roman"/>
        </w:rPr>
        <w:t>Braeken</w:t>
      </w:r>
      <w:proofErr w:type="spellEnd"/>
      <w:r w:rsidRPr="50B5A393">
        <w:rPr>
          <w:rFonts w:ascii="Times New Roman" w:hAnsi="Times New Roman" w:cs="Times New Roman"/>
        </w:rPr>
        <w:t>, J., and van Assen, M. A. (2017), “An empirical Kaiser criterion”, </w:t>
      </w:r>
      <w:r w:rsidRPr="50B5A393">
        <w:rPr>
          <w:rFonts w:ascii="Times New Roman" w:hAnsi="Times New Roman" w:cs="Times New Roman"/>
          <w:i/>
          <w:iCs/>
        </w:rPr>
        <w:t>Psychological Methods</w:t>
      </w:r>
      <w:r w:rsidRPr="50B5A393">
        <w:rPr>
          <w:rFonts w:ascii="Times New Roman" w:hAnsi="Times New Roman" w:cs="Times New Roman"/>
        </w:rPr>
        <w:t>, Vol. 22 No. 3, pp. 450–466. https://doi.org/10.1037/met0000074</w:t>
      </w:r>
    </w:p>
    <w:p w14:paraId="24A3A3BD" w14:textId="521C3B0E" w:rsidR="005E723F" w:rsidRPr="00072B2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Carter, C. R., and </w:t>
      </w:r>
      <w:proofErr w:type="spellStart"/>
      <w:r w:rsidRPr="50B5A393">
        <w:rPr>
          <w:rFonts w:ascii="Times New Roman" w:hAnsi="Times New Roman" w:cs="Times New Roman"/>
        </w:rPr>
        <w:t>Ellram</w:t>
      </w:r>
      <w:proofErr w:type="spellEnd"/>
      <w:r w:rsidRPr="50B5A393">
        <w:rPr>
          <w:rFonts w:ascii="Times New Roman" w:hAnsi="Times New Roman" w:cs="Times New Roman"/>
        </w:rPr>
        <w:t xml:space="preserve">, L. M. (2003), “Thirty-five years of the Journal of Supply Chain Management: where have we been and where are we going?”, </w:t>
      </w:r>
      <w:r w:rsidRPr="50B5A393">
        <w:rPr>
          <w:rFonts w:ascii="Times New Roman" w:hAnsi="Times New Roman" w:cs="Times New Roman"/>
          <w:i/>
          <w:iCs/>
        </w:rPr>
        <w:t>Journal of Supply Chain Management</w:t>
      </w:r>
      <w:r w:rsidRPr="50B5A393">
        <w:rPr>
          <w:rFonts w:ascii="Times New Roman" w:hAnsi="Times New Roman" w:cs="Times New Roman"/>
        </w:rPr>
        <w:t>, Vol. 39 No. 1, pp. 27–39. https://doi.org/10.1111/j.1745-493X.2003.tb00152.x</w:t>
      </w:r>
    </w:p>
    <w:p w14:paraId="74F0061E" w14:textId="77777777" w:rsidR="003A7AA4"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Churchill Jr, G. A. (1979), “A paradigm for developing better measures of marketing constructs”, </w:t>
      </w:r>
      <w:r w:rsidRPr="50B5A393">
        <w:rPr>
          <w:rFonts w:ascii="Times New Roman" w:hAnsi="Times New Roman" w:cs="Times New Roman"/>
          <w:i/>
          <w:iCs/>
        </w:rPr>
        <w:t>Journal of Marketing Research</w:t>
      </w:r>
      <w:r w:rsidRPr="50B5A393">
        <w:rPr>
          <w:rFonts w:ascii="Times New Roman" w:hAnsi="Times New Roman" w:cs="Times New Roman"/>
        </w:rPr>
        <w:t>, Vol. 16 No. 1, pp. 64–73. https://doi.org/10.1177/002224377901600110</w:t>
      </w:r>
    </w:p>
    <w:p w14:paraId="35BADCB0" w14:textId="77777777" w:rsidR="001D7167"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Cohen, J. (1992), “Statistical power analysis”, </w:t>
      </w:r>
      <w:r w:rsidRPr="50B5A393">
        <w:rPr>
          <w:rFonts w:ascii="Times New Roman" w:hAnsi="Times New Roman" w:cs="Times New Roman"/>
          <w:i/>
          <w:iCs/>
        </w:rPr>
        <w:t>Current Directions in Psychological Science</w:t>
      </w:r>
      <w:r w:rsidRPr="50B5A393">
        <w:rPr>
          <w:rFonts w:ascii="Times New Roman" w:hAnsi="Times New Roman" w:cs="Times New Roman"/>
        </w:rPr>
        <w:t>, Vol. 1 No. 3, pp. 98–101. https://doi.org/10.1111/1467-8721.ep10768783</w:t>
      </w:r>
    </w:p>
    <w:p w14:paraId="4C64DD61" w14:textId="4F3EC290" w:rsidR="00D21274"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Cortina, J. M., Sheng, Z., Keener, S. K., Keeler, K. R., Grubb, L. K., Schmitt, N., </w:t>
      </w:r>
      <w:proofErr w:type="spellStart"/>
      <w:r w:rsidRPr="50B5A393">
        <w:rPr>
          <w:rFonts w:ascii="Times New Roman" w:hAnsi="Times New Roman" w:cs="Times New Roman"/>
        </w:rPr>
        <w:t>Tonidandel</w:t>
      </w:r>
      <w:proofErr w:type="spellEnd"/>
      <w:r w:rsidRPr="50B5A393">
        <w:rPr>
          <w:rFonts w:ascii="Times New Roman" w:hAnsi="Times New Roman" w:cs="Times New Roman"/>
        </w:rPr>
        <w:t xml:space="preserve">, S., Summerville, K. M., Heggestad, E. D., and Banks, G. C. (2020), “From alpha to omega and beyond! A look at the past, present, and (possible) future of psychometric soundness in the Journal of Applied Psychology”, </w:t>
      </w:r>
      <w:r w:rsidRPr="50B5A393">
        <w:rPr>
          <w:rFonts w:ascii="Times New Roman" w:hAnsi="Times New Roman" w:cs="Times New Roman"/>
          <w:i/>
          <w:iCs/>
        </w:rPr>
        <w:t>Journal of Applied Psychology</w:t>
      </w:r>
      <w:r w:rsidRPr="50B5A393">
        <w:rPr>
          <w:rFonts w:ascii="Times New Roman" w:hAnsi="Times New Roman" w:cs="Times New Roman"/>
        </w:rPr>
        <w:t>, Vol. 105, pp. 1351–1381. https://psycnet.apa.org/doi/10.1037/apl0000815</w:t>
      </w:r>
    </w:p>
    <w:p w14:paraId="3CD87CF3" w14:textId="4A7F196C" w:rsidR="003A7AA4" w:rsidRDefault="50B5A393" w:rsidP="00072B2F">
      <w:pPr>
        <w:spacing w:after="240"/>
        <w:ind w:left="720" w:hanging="720"/>
        <w:rPr>
          <w:rFonts w:ascii="Times New Roman" w:hAnsi="Times New Roman" w:cs="Times New Roman"/>
        </w:rPr>
      </w:pPr>
      <w:r w:rsidRPr="50B5A393">
        <w:rPr>
          <w:rFonts w:ascii="Times New Roman" w:hAnsi="Times New Roman" w:cs="Times New Roman"/>
        </w:rPr>
        <w:t>Dalal, D. K., and Carter, N. T. (2014), “Negatively worded items negatively impact survey research”, In </w:t>
      </w:r>
      <w:r w:rsidRPr="50B5A393">
        <w:rPr>
          <w:rFonts w:ascii="Times New Roman" w:hAnsi="Times New Roman" w:cs="Times New Roman"/>
          <w:i/>
          <w:iCs/>
        </w:rPr>
        <w:t>More statistical and methodological myths and urban legends,</w:t>
      </w:r>
      <w:r w:rsidRPr="50B5A393">
        <w:rPr>
          <w:rFonts w:ascii="Times New Roman" w:hAnsi="Times New Roman" w:cs="Times New Roman"/>
        </w:rPr>
        <w:t xml:space="preserve"> pp. 112–132. Routledge. </w:t>
      </w:r>
    </w:p>
    <w:p w14:paraId="77D217B1" w14:textId="77777777" w:rsidR="00FC16F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Dillman, D. (2000), </w:t>
      </w:r>
      <w:r w:rsidRPr="50B5A393">
        <w:rPr>
          <w:rFonts w:ascii="Times New Roman" w:hAnsi="Times New Roman" w:cs="Times New Roman"/>
          <w:i/>
          <w:iCs/>
        </w:rPr>
        <w:t>Constructing the Questionnaire: Mail and Internet Surveys</w:t>
      </w:r>
      <w:r w:rsidRPr="50B5A393">
        <w:rPr>
          <w:rFonts w:ascii="Times New Roman" w:hAnsi="Times New Roman" w:cs="Times New Roman"/>
        </w:rPr>
        <w:t>, Wiley.</w:t>
      </w:r>
    </w:p>
    <w:p w14:paraId="3FF3D8C2" w14:textId="1F00ABF8" w:rsidR="00D21274" w:rsidRPr="00D21274"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Dossinger, K., Wanberg, C. R., Song, Y., and </w:t>
      </w:r>
      <w:proofErr w:type="spellStart"/>
      <w:r w:rsidRPr="50B5A393">
        <w:rPr>
          <w:rFonts w:ascii="Times New Roman" w:hAnsi="Times New Roman" w:cs="Times New Roman"/>
        </w:rPr>
        <w:t>Basbug</w:t>
      </w:r>
      <w:proofErr w:type="spellEnd"/>
      <w:r w:rsidRPr="50B5A393">
        <w:rPr>
          <w:rFonts w:ascii="Times New Roman" w:hAnsi="Times New Roman" w:cs="Times New Roman"/>
        </w:rPr>
        <w:t>, G. (2025), “Lookism climate in organizations: construct development and validation of a scale”, </w:t>
      </w:r>
      <w:r w:rsidRPr="50B5A393">
        <w:rPr>
          <w:rFonts w:ascii="Times New Roman" w:hAnsi="Times New Roman" w:cs="Times New Roman"/>
          <w:i/>
          <w:iCs/>
        </w:rPr>
        <w:t>Journal of Management</w:t>
      </w:r>
      <w:r w:rsidRPr="50B5A393">
        <w:rPr>
          <w:rFonts w:ascii="Times New Roman" w:hAnsi="Times New Roman" w:cs="Times New Roman"/>
        </w:rPr>
        <w:t xml:space="preserve">, Vol. </w:t>
      </w:r>
      <w:r w:rsidRPr="50B5A393">
        <w:rPr>
          <w:rFonts w:ascii="Times New Roman" w:hAnsi="Times New Roman" w:cs="Times New Roman"/>
          <w:i/>
          <w:iCs/>
        </w:rPr>
        <w:t>51</w:t>
      </w:r>
      <w:r w:rsidRPr="50B5A393">
        <w:rPr>
          <w:rFonts w:ascii="Times New Roman" w:hAnsi="Times New Roman" w:cs="Times New Roman"/>
        </w:rPr>
        <w:t xml:space="preserve"> No. 2, pp. 609–636. https://doi.org/10.1177/01492063231196555</w:t>
      </w:r>
    </w:p>
    <w:p w14:paraId="676E5457" w14:textId="348AD046" w:rsidR="005E723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Elo, S., and </w:t>
      </w:r>
      <w:proofErr w:type="spellStart"/>
      <w:r w:rsidRPr="50B5A393">
        <w:rPr>
          <w:rFonts w:ascii="Times New Roman" w:hAnsi="Times New Roman" w:cs="Times New Roman"/>
        </w:rPr>
        <w:t>Kyngäs</w:t>
      </w:r>
      <w:proofErr w:type="spellEnd"/>
      <w:r w:rsidRPr="50B5A393">
        <w:rPr>
          <w:rFonts w:ascii="Times New Roman" w:hAnsi="Times New Roman" w:cs="Times New Roman"/>
        </w:rPr>
        <w:t xml:space="preserve">, H. (2008), “The qualitative content analysis process”, </w:t>
      </w:r>
      <w:r w:rsidRPr="50B5A393">
        <w:rPr>
          <w:rFonts w:ascii="Times New Roman" w:hAnsi="Times New Roman" w:cs="Times New Roman"/>
          <w:i/>
          <w:iCs/>
        </w:rPr>
        <w:t>Journal of Advanced Nursing</w:t>
      </w:r>
      <w:r w:rsidRPr="50B5A393">
        <w:rPr>
          <w:rFonts w:ascii="Times New Roman" w:hAnsi="Times New Roman" w:cs="Times New Roman"/>
        </w:rPr>
        <w:t>, Vol. 62 No. 1, pp. 107–115.</w:t>
      </w:r>
    </w:p>
    <w:p w14:paraId="40AF3963" w14:textId="061B7BF0" w:rsidR="005E723F" w:rsidRDefault="50B5A393" w:rsidP="00072B2F">
      <w:pPr>
        <w:spacing w:after="240"/>
        <w:ind w:left="720" w:hanging="720"/>
        <w:rPr>
          <w:rFonts w:ascii="Times New Roman" w:hAnsi="Times New Roman" w:cs="Times New Roman"/>
        </w:rPr>
      </w:pPr>
      <w:proofErr w:type="spellStart"/>
      <w:r w:rsidRPr="50B5A393">
        <w:rPr>
          <w:rFonts w:ascii="Times New Roman" w:hAnsi="Times New Roman" w:cs="Times New Roman"/>
        </w:rPr>
        <w:lastRenderedPageBreak/>
        <w:t>Fahimnia</w:t>
      </w:r>
      <w:proofErr w:type="spellEnd"/>
      <w:r w:rsidRPr="50B5A393">
        <w:rPr>
          <w:rFonts w:ascii="Times New Roman" w:hAnsi="Times New Roman" w:cs="Times New Roman"/>
        </w:rPr>
        <w:t xml:space="preserve">, B., </w:t>
      </w:r>
      <w:proofErr w:type="spellStart"/>
      <w:r w:rsidRPr="50B5A393">
        <w:rPr>
          <w:rFonts w:ascii="Times New Roman" w:hAnsi="Times New Roman" w:cs="Times New Roman"/>
        </w:rPr>
        <w:t>Pournader</w:t>
      </w:r>
      <w:proofErr w:type="spellEnd"/>
      <w:r w:rsidRPr="50B5A393">
        <w:rPr>
          <w:rFonts w:ascii="Times New Roman" w:hAnsi="Times New Roman" w:cs="Times New Roman"/>
        </w:rPr>
        <w:t xml:space="preserve">, M., Siemsen, E., </w:t>
      </w:r>
      <w:proofErr w:type="spellStart"/>
      <w:r w:rsidRPr="50B5A393">
        <w:rPr>
          <w:rFonts w:ascii="Times New Roman" w:hAnsi="Times New Roman" w:cs="Times New Roman"/>
        </w:rPr>
        <w:t>Bendoly</w:t>
      </w:r>
      <w:proofErr w:type="spellEnd"/>
      <w:r w:rsidRPr="50B5A393">
        <w:rPr>
          <w:rFonts w:ascii="Times New Roman" w:hAnsi="Times New Roman" w:cs="Times New Roman"/>
        </w:rPr>
        <w:t xml:space="preserve">, E., and Wang, C. (2019), “Behavioral operations and supply chain management–a review and literature mapping”, </w:t>
      </w:r>
      <w:r w:rsidRPr="50B5A393">
        <w:rPr>
          <w:rFonts w:ascii="Times New Roman" w:hAnsi="Times New Roman" w:cs="Times New Roman"/>
          <w:i/>
          <w:iCs/>
        </w:rPr>
        <w:t>Decision Sciences</w:t>
      </w:r>
      <w:r w:rsidRPr="50B5A393">
        <w:rPr>
          <w:rFonts w:ascii="Times New Roman" w:hAnsi="Times New Roman" w:cs="Times New Roman"/>
        </w:rPr>
        <w:t xml:space="preserve">, Vol. 50 No. 6, pp. 1127–1183. </w:t>
      </w:r>
      <w:r>
        <w:t>https://doi.org/10.1111/deci.12369</w:t>
      </w:r>
    </w:p>
    <w:p w14:paraId="4BECC59B" w14:textId="77777777" w:rsidR="00B91FE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Gerbing, D. W. and Anderson, J. C. (1988), “An updated paradigm for scale development incorporating </w:t>
      </w:r>
      <w:proofErr w:type="spellStart"/>
      <w:r w:rsidRPr="50B5A393">
        <w:rPr>
          <w:rFonts w:ascii="Times New Roman" w:hAnsi="Times New Roman" w:cs="Times New Roman"/>
        </w:rPr>
        <w:t>unidimensionality</w:t>
      </w:r>
      <w:proofErr w:type="spellEnd"/>
      <w:r w:rsidRPr="50B5A393">
        <w:rPr>
          <w:rFonts w:ascii="Times New Roman" w:hAnsi="Times New Roman" w:cs="Times New Roman"/>
        </w:rPr>
        <w:t xml:space="preserve"> and its assessment”, </w:t>
      </w:r>
      <w:r w:rsidRPr="50B5A393">
        <w:rPr>
          <w:rFonts w:ascii="Times New Roman" w:hAnsi="Times New Roman" w:cs="Times New Roman"/>
          <w:i/>
          <w:iCs/>
        </w:rPr>
        <w:t>Journal of Marketing Research</w:t>
      </w:r>
      <w:r w:rsidRPr="50B5A393">
        <w:rPr>
          <w:rFonts w:ascii="Times New Roman" w:hAnsi="Times New Roman" w:cs="Times New Roman"/>
        </w:rPr>
        <w:t>, Vol. 25 No. 2, pp. 186–192. https://doi.org/10.1177/002224378802500207</w:t>
      </w:r>
    </w:p>
    <w:p w14:paraId="403F2D04" w14:textId="4B425CBE" w:rsidR="00D21274" w:rsidRDefault="50B5A393" w:rsidP="00072B2F">
      <w:pPr>
        <w:spacing w:after="240"/>
        <w:ind w:left="720" w:hanging="720"/>
        <w:rPr>
          <w:rFonts w:ascii="Times New Roman" w:hAnsi="Times New Roman" w:cs="Times New Roman"/>
        </w:rPr>
      </w:pPr>
      <w:r w:rsidRPr="50B5A393">
        <w:rPr>
          <w:rFonts w:ascii="Times New Roman" w:hAnsi="Times New Roman" w:cs="Times New Roman"/>
        </w:rPr>
        <w:t>Hinkin, T. R. (1998), “A brief tutorial on the development of measures for use in survey questionnaires”, Organizational Research Methods, Vol. 1 No. 1, pp. 104–121. https://doi.org/10.1177/109442819800100106</w:t>
      </w:r>
    </w:p>
    <w:p w14:paraId="652CA358" w14:textId="733480D4" w:rsidR="005E723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Kaufmann, L. and </w:t>
      </w:r>
      <w:proofErr w:type="spellStart"/>
      <w:r w:rsidRPr="50B5A393">
        <w:rPr>
          <w:rFonts w:ascii="Times New Roman" w:hAnsi="Times New Roman" w:cs="Times New Roman"/>
        </w:rPr>
        <w:t>Gaeckler</w:t>
      </w:r>
      <w:proofErr w:type="spellEnd"/>
      <w:r w:rsidRPr="50B5A393">
        <w:rPr>
          <w:rFonts w:ascii="Times New Roman" w:hAnsi="Times New Roman" w:cs="Times New Roman"/>
        </w:rPr>
        <w:t>, J. (2015), “A structured review of partial least squares in supply chain management research”, Journal of Purchasing and Supply Management, Vol. 21 No. 4, pp. 259–272. https://doi.org/10.1016/j.pursup.2015.04.005</w:t>
      </w:r>
    </w:p>
    <w:p w14:paraId="4C54AD74" w14:textId="77777777" w:rsidR="005C523E"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Krippendorff, K. (2018), </w:t>
      </w:r>
      <w:r w:rsidRPr="50B5A393">
        <w:rPr>
          <w:rFonts w:ascii="Times New Roman" w:hAnsi="Times New Roman" w:cs="Times New Roman"/>
          <w:i/>
          <w:iCs/>
        </w:rPr>
        <w:t>Content Analysis: An Introduction to its Methodology</w:t>
      </w:r>
      <w:r w:rsidRPr="50B5A393">
        <w:rPr>
          <w:rFonts w:ascii="Times New Roman" w:hAnsi="Times New Roman" w:cs="Times New Roman"/>
        </w:rPr>
        <w:t>. Sage publications.</w:t>
      </w:r>
    </w:p>
    <w:p w14:paraId="4F55BFDE" w14:textId="4361EFA2" w:rsidR="005E723F" w:rsidRPr="00072B2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Kristensen, J., and Jonsson, P. (2018), “Context-based sales and operations planning (S&amp;OP) research: a literature review and future agenda”, </w:t>
      </w:r>
      <w:r w:rsidRPr="50B5A393">
        <w:rPr>
          <w:rFonts w:ascii="Times New Roman" w:hAnsi="Times New Roman" w:cs="Times New Roman"/>
          <w:i/>
          <w:iCs/>
        </w:rPr>
        <w:t>International Journal of Physical Distribution &amp; Logistics Management</w:t>
      </w:r>
      <w:r w:rsidRPr="50B5A393">
        <w:rPr>
          <w:rFonts w:ascii="Times New Roman" w:hAnsi="Times New Roman" w:cs="Times New Roman"/>
        </w:rPr>
        <w:t>, Vol. 48 No. 1, pp. 19–46. https://doi.org/10.1108/IJPDLM-11-2017-0352</w:t>
      </w:r>
    </w:p>
    <w:p w14:paraId="7B990C2E" w14:textId="280BAD58" w:rsidR="00620516" w:rsidRPr="00620516" w:rsidRDefault="50B5A393" w:rsidP="00072B2F">
      <w:pPr>
        <w:spacing w:after="240"/>
        <w:ind w:left="720" w:hanging="720"/>
        <w:rPr>
          <w:rFonts w:ascii="Times New Roman" w:hAnsi="Times New Roman" w:cs="Times New Roman"/>
        </w:rPr>
      </w:pPr>
      <w:r w:rsidRPr="50B5A393">
        <w:rPr>
          <w:rFonts w:ascii="Times New Roman" w:hAnsi="Times New Roman" w:cs="Times New Roman"/>
        </w:rPr>
        <w:t>Lambert, L. S., and Newman, D. A. (2023), “Construct development and validation in three practical steps: recommendations for reviewers, editors, and authors”, </w:t>
      </w:r>
      <w:r w:rsidRPr="50B5A393">
        <w:rPr>
          <w:rFonts w:ascii="Times New Roman" w:hAnsi="Times New Roman" w:cs="Times New Roman"/>
          <w:i/>
          <w:iCs/>
        </w:rPr>
        <w:t>Organizational Research Methods</w:t>
      </w:r>
      <w:r w:rsidRPr="50B5A393">
        <w:rPr>
          <w:rFonts w:ascii="Times New Roman" w:hAnsi="Times New Roman" w:cs="Times New Roman"/>
        </w:rPr>
        <w:t xml:space="preserve">, Vol. </w:t>
      </w:r>
      <w:r w:rsidRPr="50B5A393">
        <w:rPr>
          <w:rFonts w:ascii="Times New Roman" w:hAnsi="Times New Roman" w:cs="Times New Roman"/>
          <w:i/>
          <w:iCs/>
        </w:rPr>
        <w:t>26</w:t>
      </w:r>
      <w:r w:rsidRPr="50B5A393">
        <w:rPr>
          <w:rFonts w:ascii="Times New Roman" w:hAnsi="Times New Roman" w:cs="Times New Roman"/>
        </w:rPr>
        <w:t xml:space="preserve"> No. 4, pp. 574–607. https://doi.org/10.1177/10944281221115374</w:t>
      </w:r>
    </w:p>
    <w:p w14:paraId="5A51043B" w14:textId="77777777" w:rsidR="001D7167" w:rsidRDefault="50B5A393" w:rsidP="00072B2F">
      <w:pPr>
        <w:spacing w:after="240"/>
        <w:ind w:left="720" w:hanging="720"/>
        <w:rPr>
          <w:rFonts w:ascii="Times New Roman" w:hAnsi="Times New Roman" w:cs="Times New Roman"/>
        </w:rPr>
      </w:pPr>
      <w:r w:rsidRPr="50B5A393">
        <w:rPr>
          <w:rFonts w:ascii="Times New Roman" w:hAnsi="Times New Roman" w:cs="Times New Roman"/>
        </w:rPr>
        <w:t>Little, T. D. (2024). </w:t>
      </w:r>
      <w:r w:rsidRPr="50B5A393">
        <w:rPr>
          <w:rFonts w:ascii="Times New Roman" w:hAnsi="Times New Roman" w:cs="Times New Roman"/>
          <w:i/>
          <w:iCs/>
        </w:rPr>
        <w:t>Longitudinal structural equation modeling</w:t>
      </w:r>
      <w:r w:rsidRPr="50B5A393">
        <w:rPr>
          <w:rFonts w:ascii="Times New Roman" w:hAnsi="Times New Roman" w:cs="Times New Roman"/>
        </w:rPr>
        <w:t xml:space="preserve">. Guilford Publications. </w:t>
      </w:r>
    </w:p>
    <w:p w14:paraId="613302F8" w14:textId="546FA670" w:rsidR="00620516" w:rsidRDefault="50B5A393" w:rsidP="00072B2F">
      <w:pPr>
        <w:spacing w:after="240"/>
        <w:ind w:left="720" w:hanging="720"/>
        <w:rPr>
          <w:rFonts w:ascii="Times New Roman" w:hAnsi="Times New Roman" w:cs="Times New Roman"/>
        </w:rPr>
      </w:pPr>
      <w:r w:rsidRPr="50B5A393">
        <w:rPr>
          <w:rFonts w:ascii="Times New Roman" w:hAnsi="Times New Roman" w:cs="Times New Roman"/>
        </w:rPr>
        <w:t>Magnani, G., and Gioia, D. (2023), “Using the Gioia Methodology in international business and entrepreneurship research”, International Business Review, Vol. 32 No. 2, 102097. https://doi.org/10.1016/j.ibusrev.2022.102097</w:t>
      </w:r>
    </w:p>
    <w:p w14:paraId="5B70F530" w14:textId="77777777" w:rsidR="00AF1AC1"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Min, S. and Mentzer, J. T. (2004), “Developing and measuring supply chain management concepts”, </w:t>
      </w:r>
      <w:r w:rsidRPr="50B5A393">
        <w:rPr>
          <w:rFonts w:ascii="Times New Roman" w:hAnsi="Times New Roman" w:cs="Times New Roman"/>
          <w:i/>
          <w:iCs/>
        </w:rPr>
        <w:t>Journal of Business Logistics</w:t>
      </w:r>
      <w:r w:rsidRPr="50B5A393">
        <w:rPr>
          <w:rFonts w:ascii="Times New Roman" w:hAnsi="Times New Roman" w:cs="Times New Roman"/>
        </w:rPr>
        <w:t>, Vol. 25 No. 1, pp. 63–99. https://doi.org/10.1002/j.2158-1592.2004.tb00170.x</w:t>
      </w:r>
    </w:p>
    <w:p w14:paraId="4A0E57A8" w14:textId="4525EFE5" w:rsidR="00D21274" w:rsidRDefault="50B5A393" w:rsidP="00072B2F">
      <w:pPr>
        <w:spacing w:after="240"/>
        <w:ind w:left="720" w:hanging="720"/>
        <w:rPr>
          <w:rFonts w:ascii="Times New Roman" w:hAnsi="Times New Roman" w:cs="Times New Roman"/>
        </w:rPr>
      </w:pPr>
      <w:proofErr w:type="spellStart"/>
      <w:r w:rsidRPr="50B5A393">
        <w:rPr>
          <w:rFonts w:ascii="Times New Roman" w:hAnsi="Times New Roman" w:cs="Times New Roman"/>
        </w:rPr>
        <w:t>Oreg</w:t>
      </w:r>
      <w:proofErr w:type="spellEnd"/>
      <w:r w:rsidRPr="50B5A393">
        <w:rPr>
          <w:rFonts w:ascii="Times New Roman" w:hAnsi="Times New Roman" w:cs="Times New Roman"/>
        </w:rPr>
        <w:t xml:space="preserve">, S., </w:t>
      </w:r>
      <w:proofErr w:type="spellStart"/>
      <w:r w:rsidRPr="50B5A393">
        <w:rPr>
          <w:rFonts w:ascii="Times New Roman" w:hAnsi="Times New Roman" w:cs="Times New Roman"/>
        </w:rPr>
        <w:t>Sverdlik</w:t>
      </w:r>
      <w:proofErr w:type="spellEnd"/>
      <w:r w:rsidRPr="50B5A393">
        <w:rPr>
          <w:rFonts w:ascii="Times New Roman" w:hAnsi="Times New Roman" w:cs="Times New Roman"/>
        </w:rPr>
        <w:t>, N., Paine, J. W., and Seo, M. G. (2024), “Activation and valence in responses to organizational change: development and validation of the change response circumplex scale”, </w:t>
      </w:r>
      <w:r w:rsidRPr="50B5A393">
        <w:rPr>
          <w:rFonts w:ascii="Times New Roman" w:hAnsi="Times New Roman" w:cs="Times New Roman"/>
          <w:i/>
          <w:iCs/>
        </w:rPr>
        <w:t>Journal of Applied Psychology</w:t>
      </w:r>
      <w:r w:rsidRPr="50B5A393">
        <w:rPr>
          <w:rFonts w:ascii="Times New Roman" w:hAnsi="Times New Roman" w:cs="Times New Roman"/>
        </w:rPr>
        <w:t xml:space="preserve">, Vol. </w:t>
      </w:r>
      <w:r w:rsidRPr="50B5A393">
        <w:rPr>
          <w:rFonts w:ascii="Times New Roman" w:hAnsi="Times New Roman" w:cs="Times New Roman"/>
          <w:i/>
          <w:iCs/>
        </w:rPr>
        <w:t>109</w:t>
      </w:r>
      <w:r w:rsidRPr="50B5A393">
        <w:rPr>
          <w:rFonts w:ascii="Times New Roman" w:hAnsi="Times New Roman" w:cs="Times New Roman"/>
        </w:rPr>
        <w:t xml:space="preserve"> No. 1, pp. 135–155. https://doi.org/10.1037/apl0001132 </w:t>
      </w:r>
    </w:p>
    <w:p w14:paraId="13118FF6" w14:textId="77777777" w:rsidR="001D7167"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Rönkkö, M., and Cho, E. (2022), “An updated guideline for assessing discriminant validity”, </w:t>
      </w:r>
      <w:r w:rsidRPr="50B5A393">
        <w:rPr>
          <w:rFonts w:ascii="Times New Roman" w:hAnsi="Times New Roman" w:cs="Times New Roman"/>
          <w:i/>
          <w:iCs/>
        </w:rPr>
        <w:t>Organizational Research Methods</w:t>
      </w:r>
      <w:r w:rsidRPr="50B5A393">
        <w:rPr>
          <w:rFonts w:ascii="Times New Roman" w:hAnsi="Times New Roman" w:cs="Times New Roman"/>
        </w:rPr>
        <w:t>, Vol. 25 No. 1, pp. 6–14. https://doi.org/10.1177/1094428120968614</w:t>
      </w:r>
    </w:p>
    <w:p w14:paraId="5998067C" w14:textId="541DB765" w:rsidR="005E723F" w:rsidRDefault="50B5A393" w:rsidP="00072B2F">
      <w:pPr>
        <w:spacing w:after="240"/>
        <w:ind w:left="720" w:hanging="720"/>
        <w:rPr>
          <w:rFonts w:ascii="Times New Roman" w:hAnsi="Times New Roman" w:cs="Times New Roman"/>
        </w:rPr>
      </w:pPr>
      <w:r w:rsidRPr="50B5A393">
        <w:rPr>
          <w:rFonts w:ascii="Times New Roman" w:hAnsi="Times New Roman" w:cs="Times New Roman"/>
        </w:rPr>
        <w:lastRenderedPageBreak/>
        <w:t xml:space="preserve">Saxena, S., Chawla, V., and Agrawal, R. (2025), “Should e-returns services be “one-size-fits-all” for consumers? Segmentation using return policy promises and constraints”, </w:t>
      </w:r>
      <w:r w:rsidRPr="50B5A393">
        <w:rPr>
          <w:rFonts w:ascii="Times New Roman" w:hAnsi="Times New Roman" w:cs="Times New Roman"/>
          <w:i/>
          <w:iCs/>
        </w:rPr>
        <w:t>International Journal of Physical Distribution &amp; Logistics Management</w:t>
      </w:r>
      <w:r w:rsidRPr="50B5A393">
        <w:rPr>
          <w:rFonts w:ascii="Times New Roman" w:hAnsi="Times New Roman" w:cs="Times New Roman"/>
        </w:rPr>
        <w:t>, Vol. 55 No. 5, pp. 452–481. https://doi.org/10.1108/IJPDLM-07-2024-0280</w:t>
      </w:r>
    </w:p>
    <w:p w14:paraId="63FAA0A6" w14:textId="77777777" w:rsidR="005E723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Silverman, D. and </w:t>
      </w:r>
      <w:proofErr w:type="spellStart"/>
      <w:r w:rsidRPr="50B5A393">
        <w:rPr>
          <w:rFonts w:ascii="Times New Roman" w:hAnsi="Times New Roman" w:cs="Times New Roman"/>
        </w:rPr>
        <w:t>Marvasti</w:t>
      </w:r>
      <w:proofErr w:type="spellEnd"/>
      <w:r w:rsidRPr="50B5A393">
        <w:rPr>
          <w:rFonts w:ascii="Times New Roman" w:hAnsi="Times New Roman" w:cs="Times New Roman"/>
        </w:rPr>
        <w:t xml:space="preserve">, A. (2008), </w:t>
      </w:r>
      <w:r w:rsidRPr="50B5A393">
        <w:rPr>
          <w:rFonts w:ascii="Times New Roman" w:hAnsi="Times New Roman" w:cs="Times New Roman"/>
          <w:i/>
          <w:iCs/>
        </w:rPr>
        <w:t>Doing Qualitative Research: A Comprehensive Guide</w:t>
      </w:r>
      <w:r w:rsidRPr="50B5A393">
        <w:rPr>
          <w:rFonts w:ascii="Times New Roman" w:hAnsi="Times New Roman" w:cs="Times New Roman"/>
        </w:rPr>
        <w:t>. Sage.</w:t>
      </w:r>
    </w:p>
    <w:p w14:paraId="767011B0" w14:textId="77777777" w:rsidR="00314E2A"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Tabachnick, B. G., Fidell, L. S., and Ullman, J. B. (2013), </w:t>
      </w:r>
      <w:r w:rsidRPr="50B5A393">
        <w:rPr>
          <w:rFonts w:ascii="Times New Roman" w:hAnsi="Times New Roman" w:cs="Times New Roman"/>
          <w:i/>
          <w:iCs/>
        </w:rPr>
        <w:t>Using Multivariate Statistics</w:t>
      </w:r>
      <w:r w:rsidRPr="50B5A393">
        <w:rPr>
          <w:rFonts w:ascii="Times New Roman" w:hAnsi="Times New Roman" w:cs="Times New Roman"/>
        </w:rPr>
        <w:t xml:space="preserve"> (Vol. 6). Pearson Boston, MA.</w:t>
      </w:r>
    </w:p>
    <w:p w14:paraId="3B29ED68" w14:textId="68D2B4D4" w:rsidR="005C523E" w:rsidRDefault="50B5A393" w:rsidP="00072B2F">
      <w:pPr>
        <w:spacing w:after="240"/>
        <w:ind w:left="720" w:hanging="720"/>
        <w:rPr>
          <w:rFonts w:ascii="Times New Roman" w:hAnsi="Times New Roman" w:cs="Times New Roman"/>
        </w:rPr>
      </w:pPr>
      <w:proofErr w:type="spellStart"/>
      <w:r w:rsidRPr="50B5A393">
        <w:rPr>
          <w:rFonts w:ascii="Times New Roman" w:hAnsi="Times New Roman" w:cs="Times New Roman"/>
        </w:rPr>
        <w:t>Tangpong</w:t>
      </w:r>
      <w:proofErr w:type="spellEnd"/>
      <w:r w:rsidRPr="50B5A393">
        <w:rPr>
          <w:rFonts w:ascii="Times New Roman" w:hAnsi="Times New Roman" w:cs="Times New Roman"/>
        </w:rPr>
        <w:t xml:space="preserve">, C. (2011). “Content analytic approach to measuring constructs in operations and supply chain management”, </w:t>
      </w:r>
      <w:r w:rsidRPr="50B5A393">
        <w:rPr>
          <w:rFonts w:ascii="Times New Roman" w:hAnsi="Times New Roman" w:cs="Times New Roman"/>
          <w:i/>
          <w:iCs/>
        </w:rPr>
        <w:t>Journal of Operations Management</w:t>
      </w:r>
      <w:r w:rsidRPr="50B5A393">
        <w:rPr>
          <w:rFonts w:ascii="Times New Roman" w:hAnsi="Times New Roman" w:cs="Times New Roman"/>
        </w:rPr>
        <w:t xml:space="preserve">, Vol. 29 No. 6, pp. 627–638. https://doi.org/10.1016/j.jom.2010.08.001 </w:t>
      </w:r>
    </w:p>
    <w:p w14:paraId="3DCBC549" w14:textId="67668B4B" w:rsidR="005E723F" w:rsidRPr="00072B2F" w:rsidRDefault="50B5A393" w:rsidP="00072B2F">
      <w:pPr>
        <w:spacing w:after="240"/>
        <w:ind w:left="720" w:hanging="720"/>
        <w:rPr>
          <w:rFonts w:ascii="Times New Roman" w:hAnsi="Times New Roman" w:cs="Times New Roman"/>
        </w:rPr>
      </w:pPr>
      <w:r w:rsidRPr="50B5A393">
        <w:rPr>
          <w:rFonts w:ascii="Times New Roman" w:hAnsi="Times New Roman" w:cs="Times New Roman"/>
        </w:rPr>
        <w:t xml:space="preserve">Wang, S., Cheah, J. H., Wong, C. Y., and Ramayah, T. (2024), “Progress in partial least squares structural equation modeling use in logistics and supply chain management in the last decade: a structured literature review”, </w:t>
      </w:r>
      <w:r w:rsidRPr="50B5A393">
        <w:rPr>
          <w:rFonts w:ascii="Times New Roman" w:hAnsi="Times New Roman" w:cs="Times New Roman"/>
          <w:i/>
          <w:iCs/>
        </w:rPr>
        <w:t>International Journal of Physical Distribution &amp; Logistics Management</w:t>
      </w:r>
      <w:r w:rsidRPr="50B5A393">
        <w:rPr>
          <w:rFonts w:ascii="Times New Roman" w:hAnsi="Times New Roman" w:cs="Times New Roman"/>
        </w:rPr>
        <w:t>, Vol. 54 No. 7/8, pp. 673–704. https://doi.org/10.1108/IJPDLM-06-2023-0200</w:t>
      </w:r>
    </w:p>
    <w:p w14:paraId="3AD20E48" w14:textId="2C802AEE" w:rsidR="005E723F" w:rsidRPr="00072B2F" w:rsidRDefault="005E723F" w:rsidP="50B5A393">
      <w:pPr>
        <w:ind w:left="720" w:hanging="720"/>
        <w:rPr>
          <w:rFonts w:ascii="Times New Roman" w:hAnsi="Times New Roman" w:cs="Times New Roman"/>
        </w:rPr>
      </w:pPr>
    </w:p>
    <w:sectPr w:rsidR="005E723F" w:rsidRPr="00072B2F" w:rsidSect="00EE6E4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499D" w14:textId="77777777" w:rsidR="00193433" w:rsidRDefault="00193433" w:rsidP="004248EA">
      <w:r>
        <w:separator/>
      </w:r>
    </w:p>
  </w:endnote>
  <w:endnote w:type="continuationSeparator" w:id="0">
    <w:p w14:paraId="3C55FEEA" w14:textId="77777777" w:rsidR="00193433" w:rsidRDefault="00193433" w:rsidP="0042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23245393"/>
      <w:docPartObj>
        <w:docPartGallery w:val="Page Numbers (Bottom of Page)"/>
        <w:docPartUnique/>
      </w:docPartObj>
    </w:sdtPr>
    <w:sdtEndPr>
      <w:rPr>
        <w:noProof/>
      </w:rPr>
    </w:sdtEndPr>
    <w:sdtContent>
      <w:p w14:paraId="72AF57B4" w14:textId="087DE9DD" w:rsidR="00314E2A" w:rsidRPr="00072B2F" w:rsidRDefault="00314E2A">
        <w:pPr>
          <w:pStyle w:val="Footer"/>
          <w:jc w:val="center"/>
          <w:rPr>
            <w:rFonts w:ascii="Times New Roman" w:hAnsi="Times New Roman" w:cs="Times New Roman"/>
          </w:rPr>
        </w:pPr>
        <w:r w:rsidRPr="50B5A393">
          <w:rPr>
            <w:rFonts w:ascii="Times New Roman" w:hAnsi="Times New Roman" w:cs="Times New Roman"/>
            <w:noProof/>
          </w:rPr>
          <w:fldChar w:fldCharType="begin"/>
        </w:r>
        <w:r w:rsidRPr="50B5A393">
          <w:rPr>
            <w:rFonts w:ascii="Times New Roman" w:hAnsi="Times New Roman" w:cs="Times New Roman"/>
          </w:rPr>
          <w:instrText xml:space="preserve"> PAGE   \* MERGEFORMAT </w:instrText>
        </w:r>
        <w:r w:rsidRPr="50B5A393">
          <w:rPr>
            <w:rFonts w:ascii="Times New Roman" w:hAnsi="Times New Roman" w:cs="Times New Roman"/>
          </w:rPr>
          <w:fldChar w:fldCharType="separate"/>
        </w:r>
        <w:r w:rsidR="50B5A393" w:rsidRPr="50B5A393">
          <w:rPr>
            <w:rFonts w:ascii="Times New Roman" w:hAnsi="Times New Roman" w:cs="Times New Roman"/>
            <w:noProof/>
          </w:rPr>
          <w:t>2</w:t>
        </w:r>
        <w:r w:rsidRPr="50B5A393">
          <w:rPr>
            <w:rFonts w:ascii="Times New Roman" w:hAnsi="Times New Roman" w:cs="Times New Roman"/>
            <w:noProof/>
          </w:rPr>
          <w:fldChar w:fldCharType="end"/>
        </w:r>
      </w:p>
    </w:sdtContent>
  </w:sdt>
  <w:p w14:paraId="114B7A4A" w14:textId="77777777" w:rsidR="00314E2A" w:rsidRPr="00072B2F" w:rsidRDefault="00314E2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462B" w14:textId="77777777" w:rsidR="00193433" w:rsidRDefault="00193433" w:rsidP="004248EA">
      <w:r>
        <w:separator/>
      </w:r>
    </w:p>
  </w:footnote>
  <w:footnote w:type="continuationSeparator" w:id="0">
    <w:p w14:paraId="08B4B7AB" w14:textId="77777777" w:rsidR="00193433" w:rsidRDefault="00193433" w:rsidP="00424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519F"/>
    <w:multiLevelType w:val="hybridMultilevel"/>
    <w:tmpl w:val="1C78AA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024C4"/>
    <w:multiLevelType w:val="hybridMultilevel"/>
    <w:tmpl w:val="CEE82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D45F1"/>
    <w:multiLevelType w:val="hybridMultilevel"/>
    <w:tmpl w:val="EAB6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D4F11"/>
    <w:multiLevelType w:val="hybridMultilevel"/>
    <w:tmpl w:val="45C64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22FCD"/>
    <w:multiLevelType w:val="hybridMultilevel"/>
    <w:tmpl w:val="28CEACCC"/>
    <w:lvl w:ilvl="0" w:tplc="233AE5E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D751B"/>
    <w:multiLevelType w:val="hybridMultilevel"/>
    <w:tmpl w:val="3FF2B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05ADF"/>
    <w:multiLevelType w:val="hybridMultilevel"/>
    <w:tmpl w:val="F8A8E918"/>
    <w:lvl w:ilvl="0" w:tplc="DFFECCDE">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E51EE"/>
    <w:multiLevelType w:val="hybridMultilevel"/>
    <w:tmpl w:val="6D26CB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42C2B43"/>
    <w:multiLevelType w:val="hybridMultilevel"/>
    <w:tmpl w:val="D668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A10EE"/>
    <w:multiLevelType w:val="multilevel"/>
    <w:tmpl w:val="3E1E7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4504203">
    <w:abstractNumId w:val="6"/>
  </w:num>
  <w:num w:numId="2" w16cid:durableId="1779520927">
    <w:abstractNumId w:val="0"/>
  </w:num>
  <w:num w:numId="3" w16cid:durableId="1199123919">
    <w:abstractNumId w:val="4"/>
  </w:num>
  <w:num w:numId="4" w16cid:durableId="1131051231">
    <w:abstractNumId w:val="5"/>
  </w:num>
  <w:num w:numId="5" w16cid:durableId="559827214">
    <w:abstractNumId w:val="7"/>
  </w:num>
  <w:num w:numId="6" w16cid:durableId="1138762516">
    <w:abstractNumId w:val="2"/>
  </w:num>
  <w:num w:numId="7" w16cid:durableId="1801533739">
    <w:abstractNumId w:val="8"/>
  </w:num>
  <w:num w:numId="8" w16cid:durableId="176621393">
    <w:abstractNumId w:val="1"/>
  </w:num>
  <w:num w:numId="9" w16cid:durableId="193883487">
    <w:abstractNumId w:val="3"/>
  </w:num>
  <w:num w:numId="10" w16cid:durableId="1481927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3FAC"/>
    <w:rsid w:val="00072B2F"/>
    <w:rsid w:val="0008173A"/>
    <w:rsid w:val="000A1972"/>
    <w:rsid w:val="000E1334"/>
    <w:rsid w:val="000E6E29"/>
    <w:rsid w:val="00133617"/>
    <w:rsid w:val="00137470"/>
    <w:rsid w:val="0014235A"/>
    <w:rsid w:val="00154E61"/>
    <w:rsid w:val="00193433"/>
    <w:rsid w:val="0019669F"/>
    <w:rsid w:val="001B17FA"/>
    <w:rsid w:val="001D3118"/>
    <w:rsid w:val="001D7167"/>
    <w:rsid w:val="0023448A"/>
    <w:rsid w:val="00234C38"/>
    <w:rsid w:val="00235F77"/>
    <w:rsid w:val="00240696"/>
    <w:rsid w:val="00246FC1"/>
    <w:rsid w:val="002515FD"/>
    <w:rsid w:val="00297BA3"/>
    <w:rsid w:val="002B4645"/>
    <w:rsid w:val="002D3CE8"/>
    <w:rsid w:val="002E4385"/>
    <w:rsid w:val="002E514C"/>
    <w:rsid w:val="003128B3"/>
    <w:rsid w:val="00314E2A"/>
    <w:rsid w:val="003A7AA4"/>
    <w:rsid w:val="003B2DF2"/>
    <w:rsid w:val="003D20B3"/>
    <w:rsid w:val="003E59BA"/>
    <w:rsid w:val="003F6E0C"/>
    <w:rsid w:val="00407CE4"/>
    <w:rsid w:val="004248EA"/>
    <w:rsid w:val="00451F12"/>
    <w:rsid w:val="00461EB2"/>
    <w:rsid w:val="004B6015"/>
    <w:rsid w:val="004B62A7"/>
    <w:rsid w:val="004C6EF8"/>
    <w:rsid w:val="004D1D2F"/>
    <w:rsid w:val="004F3E5E"/>
    <w:rsid w:val="00502BC1"/>
    <w:rsid w:val="00512839"/>
    <w:rsid w:val="0053666D"/>
    <w:rsid w:val="00550BAC"/>
    <w:rsid w:val="00562EB2"/>
    <w:rsid w:val="00564F60"/>
    <w:rsid w:val="00597E03"/>
    <w:rsid w:val="005C523E"/>
    <w:rsid w:val="005E5EF4"/>
    <w:rsid w:val="005E723F"/>
    <w:rsid w:val="00620516"/>
    <w:rsid w:val="00620684"/>
    <w:rsid w:val="00632D0E"/>
    <w:rsid w:val="0064608D"/>
    <w:rsid w:val="006954CD"/>
    <w:rsid w:val="0069658E"/>
    <w:rsid w:val="006A0EE7"/>
    <w:rsid w:val="006A4D59"/>
    <w:rsid w:val="006D0827"/>
    <w:rsid w:val="006E1AEA"/>
    <w:rsid w:val="006E424D"/>
    <w:rsid w:val="006E541C"/>
    <w:rsid w:val="006E5B6D"/>
    <w:rsid w:val="006F6AE4"/>
    <w:rsid w:val="00721A89"/>
    <w:rsid w:val="00766E02"/>
    <w:rsid w:val="007749C1"/>
    <w:rsid w:val="007A4D22"/>
    <w:rsid w:val="007A5BDD"/>
    <w:rsid w:val="007B2E21"/>
    <w:rsid w:val="007B69DC"/>
    <w:rsid w:val="007C6C31"/>
    <w:rsid w:val="007D39CA"/>
    <w:rsid w:val="007E6BDC"/>
    <w:rsid w:val="007F183D"/>
    <w:rsid w:val="007F2D2C"/>
    <w:rsid w:val="00804177"/>
    <w:rsid w:val="008064FA"/>
    <w:rsid w:val="00806E40"/>
    <w:rsid w:val="00822DD6"/>
    <w:rsid w:val="00825F15"/>
    <w:rsid w:val="00831489"/>
    <w:rsid w:val="008330BC"/>
    <w:rsid w:val="00841BA0"/>
    <w:rsid w:val="00846115"/>
    <w:rsid w:val="00850AB4"/>
    <w:rsid w:val="008765D4"/>
    <w:rsid w:val="00890829"/>
    <w:rsid w:val="008C7832"/>
    <w:rsid w:val="008E5501"/>
    <w:rsid w:val="008F7ECF"/>
    <w:rsid w:val="00930C93"/>
    <w:rsid w:val="009574EB"/>
    <w:rsid w:val="009879CF"/>
    <w:rsid w:val="00996A41"/>
    <w:rsid w:val="009C62AB"/>
    <w:rsid w:val="009E013D"/>
    <w:rsid w:val="009F1856"/>
    <w:rsid w:val="00A23E00"/>
    <w:rsid w:val="00A3182C"/>
    <w:rsid w:val="00A353BA"/>
    <w:rsid w:val="00A36D7C"/>
    <w:rsid w:val="00A62929"/>
    <w:rsid w:val="00A77083"/>
    <w:rsid w:val="00A94994"/>
    <w:rsid w:val="00A972D3"/>
    <w:rsid w:val="00A978AD"/>
    <w:rsid w:val="00AE7C3C"/>
    <w:rsid w:val="00AF0570"/>
    <w:rsid w:val="00AF1AC1"/>
    <w:rsid w:val="00B33DD2"/>
    <w:rsid w:val="00B35E82"/>
    <w:rsid w:val="00B53AF6"/>
    <w:rsid w:val="00B63948"/>
    <w:rsid w:val="00B766FD"/>
    <w:rsid w:val="00B84DA8"/>
    <w:rsid w:val="00B87926"/>
    <w:rsid w:val="00B91FEF"/>
    <w:rsid w:val="00BB4054"/>
    <w:rsid w:val="00BC1BBC"/>
    <w:rsid w:val="00BC570A"/>
    <w:rsid w:val="00BC73DB"/>
    <w:rsid w:val="00BD05BE"/>
    <w:rsid w:val="00BD2DBA"/>
    <w:rsid w:val="00BD5065"/>
    <w:rsid w:val="00BE510C"/>
    <w:rsid w:val="00C03AFC"/>
    <w:rsid w:val="00C1018F"/>
    <w:rsid w:val="00C167F1"/>
    <w:rsid w:val="00C24034"/>
    <w:rsid w:val="00C32292"/>
    <w:rsid w:val="00C61899"/>
    <w:rsid w:val="00C67EF5"/>
    <w:rsid w:val="00CB6520"/>
    <w:rsid w:val="00CB6D89"/>
    <w:rsid w:val="00CC5559"/>
    <w:rsid w:val="00CD075D"/>
    <w:rsid w:val="00CD213C"/>
    <w:rsid w:val="00CD25A3"/>
    <w:rsid w:val="00CE775A"/>
    <w:rsid w:val="00CE7AB5"/>
    <w:rsid w:val="00D1010D"/>
    <w:rsid w:val="00D21274"/>
    <w:rsid w:val="00D30E08"/>
    <w:rsid w:val="00D406D5"/>
    <w:rsid w:val="00D65895"/>
    <w:rsid w:val="00D7378F"/>
    <w:rsid w:val="00DA10CA"/>
    <w:rsid w:val="00DA540F"/>
    <w:rsid w:val="00DE2713"/>
    <w:rsid w:val="00DF43A6"/>
    <w:rsid w:val="00E035F7"/>
    <w:rsid w:val="00E24DDF"/>
    <w:rsid w:val="00E267E4"/>
    <w:rsid w:val="00E42AC2"/>
    <w:rsid w:val="00E43F0C"/>
    <w:rsid w:val="00E636D3"/>
    <w:rsid w:val="00E743EB"/>
    <w:rsid w:val="00EA2CB3"/>
    <w:rsid w:val="00EA7DA2"/>
    <w:rsid w:val="00EC35FE"/>
    <w:rsid w:val="00EC45CA"/>
    <w:rsid w:val="00ED2092"/>
    <w:rsid w:val="00EE6E42"/>
    <w:rsid w:val="00EE7210"/>
    <w:rsid w:val="00EF0B50"/>
    <w:rsid w:val="00F55144"/>
    <w:rsid w:val="00F62503"/>
    <w:rsid w:val="00F63A35"/>
    <w:rsid w:val="00F67FB6"/>
    <w:rsid w:val="00F80123"/>
    <w:rsid w:val="00F94C9A"/>
    <w:rsid w:val="00FB2A27"/>
    <w:rsid w:val="00FB5820"/>
    <w:rsid w:val="00FB5830"/>
    <w:rsid w:val="00FB74DB"/>
    <w:rsid w:val="00FC048C"/>
    <w:rsid w:val="00FC16FF"/>
    <w:rsid w:val="00FC6144"/>
    <w:rsid w:val="00FD342C"/>
    <w:rsid w:val="00FF3E4F"/>
    <w:rsid w:val="0DC619A4"/>
    <w:rsid w:val="196A4005"/>
    <w:rsid w:val="1C93DF62"/>
    <w:rsid w:val="26F57B4B"/>
    <w:rsid w:val="30ED806C"/>
    <w:rsid w:val="3118ADA1"/>
    <w:rsid w:val="3EC9761B"/>
    <w:rsid w:val="45BA1AAA"/>
    <w:rsid w:val="4BD89256"/>
    <w:rsid w:val="50B5A393"/>
    <w:rsid w:val="5B44A326"/>
    <w:rsid w:val="7DD5AF97"/>
    <w:rsid w:val="7F2C47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B12A3EF2-E125-483C-82FB-841F64D7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514C"/>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E6BDC"/>
    <w:rPr>
      <w:rFonts w:ascii="Times New Roman" w:eastAsiaTheme="minorEastAsia" w:hAnsi="Times New Roman"/>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67E4"/>
  </w:style>
  <w:style w:type="paragraph" w:styleId="ListParagraph">
    <w:name w:val="List Paragraph"/>
    <w:basedOn w:val="Normal"/>
    <w:uiPriority w:val="34"/>
    <w:qFormat/>
    <w:rsid w:val="007B69DC"/>
    <w:pPr>
      <w:ind w:left="720"/>
      <w:contextualSpacing/>
    </w:pPr>
  </w:style>
  <w:style w:type="character" w:styleId="CommentReference">
    <w:name w:val="annotation reference"/>
    <w:basedOn w:val="DefaultParagraphFont"/>
    <w:uiPriority w:val="99"/>
    <w:semiHidden/>
    <w:unhideWhenUsed/>
    <w:rsid w:val="007C6C31"/>
    <w:rPr>
      <w:sz w:val="16"/>
      <w:szCs w:val="16"/>
    </w:rPr>
  </w:style>
  <w:style w:type="paragraph" w:styleId="CommentText">
    <w:name w:val="annotation text"/>
    <w:basedOn w:val="Normal"/>
    <w:link w:val="CommentTextChar"/>
    <w:uiPriority w:val="99"/>
    <w:unhideWhenUsed/>
    <w:rsid w:val="007C6C31"/>
    <w:pPr>
      <w:spacing w:after="160"/>
    </w:pPr>
    <w:rPr>
      <w:rFonts w:ascii="Times New Roman" w:eastAsiaTheme="minorEastAsia" w:hAnsi="Times New Roman"/>
      <w:sz w:val="20"/>
      <w:szCs w:val="20"/>
      <w:lang w:val="en-GB" w:eastAsia="zh-CN"/>
    </w:rPr>
  </w:style>
  <w:style w:type="character" w:customStyle="1" w:styleId="CommentTextChar">
    <w:name w:val="Comment Text Char"/>
    <w:basedOn w:val="DefaultParagraphFont"/>
    <w:link w:val="CommentText"/>
    <w:uiPriority w:val="99"/>
    <w:rsid w:val="007C6C31"/>
    <w:rPr>
      <w:rFonts w:ascii="Times New Roman" w:eastAsiaTheme="minorEastAsia" w:hAnsi="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7C6C31"/>
    <w:pPr>
      <w:spacing w:after="0"/>
    </w:pPr>
    <w:rPr>
      <w:rFonts w:asciiTheme="minorHAnsi" w:eastAsiaTheme="minorHAnsi" w:hAnsiTheme="minorHAnsi"/>
      <w:b/>
      <w:bCs/>
      <w:lang w:val="en-US" w:eastAsia="en-US"/>
    </w:rPr>
  </w:style>
  <w:style w:type="character" w:customStyle="1" w:styleId="CommentSubjectChar">
    <w:name w:val="Comment Subject Char"/>
    <w:basedOn w:val="CommentTextChar"/>
    <w:link w:val="CommentSubject"/>
    <w:uiPriority w:val="99"/>
    <w:semiHidden/>
    <w:rsid w:val="007C6C31"/>
    <w:rPr>
      <w:rFonts w:ascii="Times New Roman" w:eastAsiaTheme="minorEastAsia" w:hAnsi="Times New Roman"/>
      <w:b/>
      <w:bCs/>
      <w:sz w:val="20"/>
      <w:szCs w:val="20"/>
      <w:lang w:val="en-GB" w:eastAsia="zh-CN"/>
    </w:rPr>
  </w:style>
  <w:style w:type="paragraph" w:styleId="Header">
    <w:name w:val="header"/>
    <w:basedOn w:val="Normal"/>
    <w:link w:val="HeaderChar"/>
    <w:uiPriority w:val="99"/>
    <w:unhideWhenUsed/>
    <w:rsid w:val="004248EA"/>
    <w:pPr>
      <w:tabs>
        <w:tab w:val="center" w:pos="4680"/>
        <w:tab w:val="right" w:pos="9360"/>
      </w:tabs>
    </w:pPr>
  </w:style>
  <w:style w:type="character" w:customStyle="1" w:styleId="HeaderChar">
    <w:name w:val="Header Char"/>
    <w:basedOn w:val="DefaultParagraphFont"/>
    <w:link w:val="Header"/>
    <w:uiPriority w:val="99"/>
    <w:rsid w:val="004248EA"/>
  </w:style>
  <w:style w:type="paragraph" w:styleId="Footer">
    <w:name w:val="footer"/>
    <w:basedOn w:val="Normal"/>
    <w:link w:val="FooterChar"/>
    <w:uiPriority w:val="99"/>
    <w:unhideWhenUsed/>
    <w:rsid w:val="004248EA"/>
    <w:pPr>
      <w:tabs>
        <w:tab w:val="center" w:pos="4680"/>
        <w:tab w:val="right" w:pos="9360"/>
      </w:tabs>
    </w:pPr>
  </w:style>
  <w:style w:type="character" w:customStyle="1" w:styleId="FooterChar">
    <w:name w:val="Footer Char"/>
    <w:basedOn w:val="DefaultParagraphFont"/>
    <w:link w:val="Footer"/>
    <w:uiPriority w:val="99"/>
    <w:rsid w:val="004248EA"/>
  </w:style>
  <w:style w:type="paragraph" w:styleId="Bibliography">
    <w:name w:val="Bibliography"/>
    <w:basedOn w:val="Normal"/>
    <w:next w:val="Normal"/>
    <w:uiPriority w:val="37"/>
    <w:semiHidden/>
    <w:unhideWhenUsed/>
    <w:rsid w:val="005E723F"/>
  </w:style>
  <w:style w:type="character" w:styleId="Hyperlink">
    <w:name w:val="Hyperlink"/>
    <w:basedOn w:val="DefaultParagraphFont"/>
    <w:uiPriority w:val="99"/>
    <w:unhideWhenUsed/>
    <w:rsid w:val="005E723F"/>
    <w:rPr>
      <w:color w:val="0563C1" w:themeColor="hyperlink"/>
      <w:u w:val="single"/>
    </w:rPr>
  </w:style>
  <w:style w:type="character" w:styleId="UnresolvedMention">
    <w:name w:val="Unresolved Mention"/>
    <w:basedOn w:val="DefaultParagraphFont"/>
    <w:uiPriority w:val="99"/>
    <w:rsid w:val="005E7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8067">
      <w:marLeft w:val="0"/>
      <w:marRight w:val="0"/>
      <w:marTop w:val="0"/>
      <w:marBottom w:val="0"/>
      <w:divBdr>
        <w:top w:val="none" w:sz="0" w:space="0" w:color="auto"/>
        <w:left w:val="none" w:sz="0" w:space="0" w:color="auto"/>
        <w:bottom w:val="none" w:sz="0" w:space="0" w:color="auto"/>
        <w:right w:val="none" w:sz="0" w:space="0" w:color="auto"/>
      </w:divBdr>
    </w:div>
    <w:div w:id="606304573">
      <w:marLeft w:val="0"/>
      <w:marRight w:val="0"/>
      <w:marTop w:val="0"/>
      <w:marBottom w:val="0"/>
      <w:divBdr>
        <w:top w:val="none" w:sz="0" w:space="0" w:color="auto"/>
        <w:left w:val="none" w:sz="0" w:space="0" w:color="auto"/>
        <w:bottom w:val="none" w:sz="0" w:space="0" w:color="auto"/>
        <w:right w:val="none" w:sz="0" w:space="0" w:color="auto"/>
      </w:divBdr>
    </w:div>
    <w:div w:id="1325164648">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C138-3E16-4A84-A8F7-4D2C65B9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6090</Words>
  <Characters>34714</Characters>
  <Application>Microsoft Office Word</Application>
  <DocSecurity>0</DocSecurity>
  <Lines>289</Lines>
  <Paragraphs>81</Paragraphs>
  <ScaleCrop>false</ScaleCrop>
  <Company/>
  <LinksUpToDate>false</LinksUpToDate>
  <CharactersWithSpaces>40723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Paluzzi, Haley M</cp:lastModifiedBy>
  <cp:revision>93</cp:revision>
  <dcterms:created xsi:type="dcterms:W3CDTF">2018-02-09T21:34:00Z</dcterms:created>
  <dcterms:modified xsi:type="dcterms:W3CDTF">2026-04-14T15:01:00Z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e424c1ef-5a9f-4074-b68d-f4f56ba51ba4</vt:lpwstr>
  </property>
</Properties>
</file>